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2C9E40">
      <w:pPr>
        <w:pageBreakBefore w:val="0"/>
        <w:kinsoku/>
        <w:wordWrap/>
        <w:overflowPunct/>
        <w:topLinePunct w:val="0"/>
        <w:bidi w:val="0"/>
        <w:spacing w:line="360" w:lineRule="auto"/>
        <w:ind w:left="0" w:leftChars="0" w:firstLine="480" w:firstLineChars="200"/>
        <w:jc w:val="right"/>
        <w:rPr>
          <w:rFonts w:hint="default" w:ascii="Times New Roman" w:hAnsi="Times New Roman" w:eastAsia="宋体" w:cs="Times New Roman"/>
          <w:color w:val="auto"/>
          <w:sz w:val="24"/>
          <w:szCs w:val="24"/>
          <w:highlight w:val="none"/>
          <w:u w:val="none" w:color="auto"/>
        </w:rPr>
      </w:pPr>
      <w:bookmarkStart w:id="167" w:name="_GoBack"/>
      <w:bookmarkEnd w:id="167"/>
      <w:r>
        <w:rPr>
          <w:rFonts w:hint="default" w:ascii="Times New Roman" w:hAnsi="Times New Roman" w:eastAsia="宋体" w:cs="Times New Roman"/>
          <w:color w:val="auto"/>
          <w:sz w:val="24"/>
          <w:szCs w:val="24"/>
          <w:highlight w:val="none"/>
          <w:u w:val="none" w:color="auto"/>
        </w:rPr>
        <w:drawing>
          <wp:inline distT="0" distB="0" distL="0" distR="0">
            <wp:extent cx="1676400" cy="714375"/>
            <wp:effectExtent l="0" t="0" r="0" b="9525"/>
            <wp:docPr id="11" name="图片 1" descr="C:\Users\ADMINI~1\AppData\Local\Temp\WeChat Files\df0b82eb3a09deebe02e0f155ae7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1\AppData\Local\Temp\WeChat Files\df0b82eb3a09deebe02e0f155ae7610.png"/>
                    <pic:cNvPicPr>
                      <a:picLocks noChangeAspect="1" noChangeArrowheads="1"/>
                    </pic:cNvPicPr>
                  </pic:nvPicPr>
                  <pic:blipFill>
                    <a:blip r:embed="rId14" cstate="print"/>
                    <a:srcRect/>
                    <a:stretch>
                      <a:fillRect/>
                    </a:stretch>
                  </pic:blipFill>
                  <pic:spPr>
                    <a:xfrm>
                      <a:off x="0" y="0"/>
                      <a:ext cx="1676400" cy="714375"/>
                    </a:xfrm>
                    <a:prstGeom prst="rect">
                      <a:avLst/>
                    </a:prstGeom>
                    <a:noFill/>
                    <a:ln w="9525">
                      <a:noFill/>
                      <a:miter lim="800000"/>
                      <a:headEnd/>
                      <a:tailEnd/>
                    </a:ln>
                  </pic:spPr>
                </pic:pic>
              </a:graphicData>
            </a:graphic>
          </wp:inline>
        </w:drawing>
      </w:r>
    </w:p>
    <w:p w14:paraId="3C3BB2CB">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65F917A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40"/>
          <w:szCs w:val="40"/>
          <w:highlight w:val="none"/>
          <w:u w:val="none" w:color="auto"/>
          <w:lang w:eastAsia="zh-CN"/>
        </w:rPr>
      </w:pPr>
      <w:r>
        <w:rPr>
          <w:rFonts w:hint="default" w:ascii="Times New Roman" w:hAnsi="Times New Roman" w:eastAsia="宋体" w:cs="Times New Roman"/>
          <w:b/>
          <w:bCs/>
          <w:color w:val="auto"/>
          <w:sz w:val="40"/>
          <w:szCs w:val="40"/>
          <w:highlight w:val="none"/>
          <w:u w:val="none" w:color="auto"/>
          <w:lang w:eastAsia="zh-CN"/>
        </w:rPr>
        <w:t>湖南昂拓科技有限责任公司年产1000万件</w:t>
      </w:r>
    </w:p>
    <w:p w14:paraId="452F601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40"/>
          <w:szCs w:val="40"/>
          <w:highlight w:val="none"/>
          <w:u w:val="none" w:color="auto"/>
          <w:lang w:eastAsia="zh-CN"/>
        </w:rPr>
      </w:pPr>
      <w:r>
        <w:rPr>
          <w:rFonts w:hint="default" w:ascii="Times New Roman" w:hAnsi="Times New Roman" w:eastAsia="宋体" w:cs="Times New Roman"/>
          <w:b/>
          <w:bCs/>
          <w:color w:val="auto"/>
          <w:sz w:val="40"/>
          <w:szCs w:val="40"/>
          <w:highlight w:val="none"/>
          <w:u w:val="none" w:color="auto"/>
          <w:lang w:eastAsia="zh-CN"/>
        </w:rPr>
        <w:t>超硬材料制品建设项目</w:t>
      </w:r>
    </w:p>
    <w:p w14:paraId="1389F8E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szCs w:val="24"/>
          <w:highlight w:val="none"/>
          <w:u w:val="none" w:color="auto"/>
          <w:lang w:eastAsia="zh-CN"/>
        </w:rPr>
      </w:pPr>
    </w:p>
    <w:p w14:paraId="5A479DB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imes New Roman" w:hAnsi="Times New Roman" w:eastAsia="宋体" w:cs="Times New Roman"/>
          <w:b/>
          <w:bCs/>
          <w:color w:val="auto"/>
          <w:sz w:val="56"/>
          <w:szCs w:val="56"/>
          <w:highlight w:val="none"/>
          <w:u w:val="none" w:color="auto"/>
        </w:rPr>
      </w:pPr>
      <w:r>
        <w:rPr>
          <w:rFonts w:hint="default" w:ascii="Times New Roman" w:hAnsi="Times New Roman" w:eastAsia="宋体" w:cs="Times New Roman"/>
          <w:b/>
          <w:bCs/>
          <w:color w:val="auto"/>
          <w:sz w:val="56"/>
          <w:szCs w:val="56"/>
          <w:highlight w:val="none"/>
          <w:u w:val="none" w:color="auto"/>
        </w:rPr>
        <w:t>环境影响报告书</w:t>
      </w:r>
    </w:p>
    <w:p w14:paraId="200D8D3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Times New Roman" w:hAnsi="Times New Roman" w:eastAsia="宋体" w:cs="Times New Roman"/>
          <w:b/>
          <w:bCs/>
          <w:color w:val="auto"/>
          <w:sz w:val="36"/>
          <w:szCs w:val="36"/>
          <w:highlight w:val="none"/>
          <w:u w:val="none" w:color="auto"/>
        </w:rPr>
      </w:pPr>
      <w:r>
        <w:rPr>
          <w:rFonts w:hint="default" w:ascii="Times New Roman" w:hAnsi="Times New Roman" w:eastAsia="宋体" w:cs="Times New Roman"/>
          <w:b/>
          <w:bCs/>
          <w:color w:val="auto"/>
          <w:sz w:val="36"/>
          <w:szCs w:val="36"/>
          <w:highlight w:val="none"/>
          <w:u w:val="none" w:color="auto"/>
        </w:rPr>
        <w:t>（</w:t>
      </w:r>
      <w:r>
        <w:rPr>
          <w:rFonts w:hint="default" w:ascii="Times New Roman" w:hAnsi="Times New Roman" w:eastAsia="宋体" w:cs="Times New Roman"/>
          <w:b/>
          <w:bCs/>
          <w:color w:val="auto"/>
          <w:sz w:val="36"/>
          <w:szCs w:val="36"/>
          <w:highlight w:val="none"/>
          <w:u w:val="none" w:color="auto"/>
          <w:lang w:eastAsia="zh-CN"/>
        </w:rPr>
        <w:t>报批</w:t>
      </w:r>
      <w:r>
        <w:rPr>
          <w:rFonts w:hint="default" w:ascii="Times New Roman" w:hAnsi="Times New Roman" w:eastAsia="宋体" w:cs="Times New Roman"/>
          <w:b/>
          <w:bCs/>
          <w:color w:val="auto"/>
          <w:sz w:val="36"/>
          <w:szCs w:val="36"/>
          <w:highlight w:val="none"/>
          <w:u w:val="none" w:color="auto"/>
        </w:rPr>
        <w:t>稿）</w:t>
      </w:r>
    </w:p>
    <w:p w14:paraId="14D5D8E9">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7F60C5DC">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5778A1FD">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46A0B55C">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7F4377D7">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67632861">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57609684">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3A72632B">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574035F4">
      <w:pPr>
        <w:pageBreakBefore w:val="0"/>
        <w:kinsoku/>
        <w:wordWrap/>
        <w:overflowPunct/>
        <w:topLinePunct w:val="0"/>
        <w:bidi w:val="0"/>
        <w:spacing w:line="360" w:lineRule="auto"/>
        <w:ind w:left="0" w:leftChars="0" w:firstLine="643" w:firstLineChars="200"/>
        <w:jc w:val="center"/>
        <w:rPr>
          <w:rFonts w:hint="default" w:ascii="Times New Roman" w:hAnsi="Times New Roman" w:eastAsia="宋体" w:cs="Times New Roman"/>
          <w:b/>
          <w:bCs/>
          <w:color w:val="auto"/>
          <w:sz w:val="32"/>
          <w:szCs w:val="32"/>
          <w:highlight w:val="none"/>
          <w:u w:val="none" w:color="auto"/>
        </w:rPr>
      </w:pPr>
    </w:p>
    <w:p w14:paraId="119ADE8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32"/>
          <w:szCs w:val="32"/>
          <w:highlight w:val="none"/>
          <w:u w:val="none" w:color="auto"/>
          <w:lang w:eastAsia="zh-CN"/>
        </w:rPr>
      </w:pPr>
      <w:r>
        <w:rPr>
          <w:rFonts w:hint="default" w:ascii="Times New Roman" w:hAnsi="Times New Roman" w:eastAsia="宋体" w:cs="Times New Roman"/>
          <w:b/>
          <w:bCs/>
          <w:color w:val="auto"/>
          <w:sz w:val="32"/>
          <w:szCs w:val="32"/>
          <w:highlight w:val="none"/>
          <w:u w:val="none" w:color="auto"/>
        </w:rPr>
        <w:t>建设单位：</w:t>
      </w:r>
      <w:r>
        <w:rPr>
          <w:rFonts w:hint="default" w:ascii="Times New Roman" w:hAnsi="Times New Roman" w:eastAsia="宋体" w:cs="Times New Roman"/>
          <w:b/>
          <w:bCs/>
          <w:color w:val="auto"/>
          <w:sz w:val="32"/>
          <w:szCs w:val="32"/>
          <w:highlight w:val="none"/>
          <w:u w:val="none" w:color="auto"/>
          <w:lang w:eastAsia="zh-CN"/>
        </w:rPr>
        <w:t>湖南昂拓科技有限责任公司</w:t>
      </w:r>
    </w:p>
    <w:p w14:paraId="6B99171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32"/>
          <w:szCs w:val="32"/>
          <w:highlight w:val="none"/>
          <w:u w:val="none" w:color="auto"/>
        </w:rPr>
      </w:pPr>
      <w:r>
        <w:rPr>
          <w:rFonts w:hint="default" w:ascii="Times New Roman" w:hAnsi="Times New Roman" w:eastAsia="宋体" w:cs="Times New Roman"/>
          <w:b/>
          <w:bCs/>
          <w:color w:val="auto"/>
          <w:sz w:val="32"/>
          <w:szCs w:val="32"/>
          <w:highlight w:val="none"/>
          <w:u w:val="none" w:color="auto"/>
        </w:rPr>
        <w:t>环评单位：湖南朗润环境咨询有限公司</w:t>
      </w:r>
    </w:p>
    <w:p w14:paraId="713791D2">
      <w:pPr>
        <w:pageBreakBefore w:val="0"/>
        <w:kinsoku/>
        <w:wordWrap/>
        <w:overflowPunct/>
        <w:topLinePunct w:val="0"/>
        <w:bidi w:val="0"/>
        <w:spacing w:line="360" w:lineRule="auto"/>
        <w:ind w:left="0" w:leftChars="0" w:firstLine="643" w:firstLineChars="200"/>
        <w:jc w:val="center"/>
        <w:rPr>
          <w:rFonts w:hint="default" w:ascii="Times New Roman" w:hAnsi="Times New Roman" w:eastAsia="宋体" w:cs="Times New Roman"/>
          <w:b/>
          <w:bCs/>
          <w:color w:val="auto"/>
          <w:sz w:val="32"/>
          <w:szCs w:val="32"/>
          <w:highlight w:val="none"/>
          <w:u w:val="none" w:color="auto"/>
        </w:rPr>
      </w:pPr>
    </w:p>
    <w:p w14:paraId="352B9103">
      <w:pPr>
        <w:pageBreakBefore w:val="0"/>
        <w:kinsoku/>
        <w:wordWrap/>
        <w:overflowPunct/>
        <w:topLinePunct w:val="0"/>
        <w:bidi w:val="0"/>
        <w:spacing w:line="360" w:lineRule="auto"/>
        <w:ind w:left="0" w:leftChars="0" w:firstLine="643" w:firstLineChars="200"/>
        <w:jc w:val="center"/>
        <w:rPr>
          <w:rFonts w:hint="default" w:ascii="Times New Roman" w:hAnsi="Times New Roman" w:eastAsia="宋体" w:cs="Times New Roman"/>
          <w:b/>
          <w:bCs/>
          <w:color w:val="auto"/>
          <w:sz w:val="32"/>
          <w:szCs w:val="32"/>
          <w:highlight w:val="none"/>
          <w:u w:val="none" w:color="auto"/>
        </w:rPr>
      </w:pPr>
    </w:p>
    <w:p w14:paraId="4314BE8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32"/>
          <w:szCs w:val="32"/>
          <w:highlight w:val="none"/>
          <w:u w:val="none" w:color="auto"/>
        </w:rPr>
      </w:pPr>
      <w:r>
        <w:rPr>
          <w:rFonts w:hint="default" w:ascii="Times New Roman" w:hAnsi="Times New Roman" w:eastAsia="宋体" w:cs="Times New Roman"/>
          <w:b/>
          <w:bCs/>
          <w:color w:val="auto"/>
          <w:sz w:val="32"/>
          <w:szCs w:val="32"/>
          <w:highlight w:val="none"/>
          <w:u w:val="none" w:color="auto"/>
        </w:rPr>
        <w:t>二O二</w:t>
      </w:r>
      <w:r>
        <w:rPr>
          <w:rFonts w:hint="eastAsia" w:ascii="Times New Roman" w:hAnsi="Times New Roman" w:eastAsia="宋体" w:cs="Times New Roman"/>
          <w:b/>
          <w:bCs/>
          <w:color w:val="auto"/>
          <w:sz w:val="32"/>
          <w:szCs w:val="32"/>
          <w:highlight w:val="none"/>
          <w:u w:val="none" w:color="auto"/>
          <w:lang w:val="en-US" w:eastAsia="zh-CN"/>
        </w:rPr>
        <w:t>四</w:t>
      </w:r>
      <w:r>
        <w:rPr>
          <w:rFonts w:hint="default" w:ascii="Times New Roman" w:hAnsi="Times New Roman" w:eastAsia="宋体" w:cs="Times New Roman"/>
          <w:b/>
          <w:bCs/>
          <w:color w:val="auto"/>
          <w:sz w:val="32"/>
          <w:szCs w:val="32"/>
          <w:highlight w:val="none"/>
          <w:u w:val="none" w:color="auto"/>
        </w:rPr>
        <w:t>年</w:t>
      </w:r>
      <w:r>
        <w:rPr>
          <w:rFonts w:hint="eastAsia" w:ascii="Times New Roman" w:hAnsi="Times New Roman" w:eastAsia="宋体" w:cs="Times New Roman"/>
          <w:b/>
          <w:bCs/>
          <w:color w:val="auto"/>
          <w:sz w:val="32"/>
          <w:szCs w:val="32"/>
          <w:highlight w:val="none"/>
          <w:u w:val="none" w:color="auto"/>
          <w:lang w:val="en-US" w:eastAsia="zh-CN"/>
        </w:rPr>
        <w:t>一</w:t>
      </w:r>
      <w:r>
        <w:rPr>
          <w:rFonts w:hint="default" w:ascii="Times New Roman" w:hAnsi="Times New Roman" w:eastAsia="宋体" w:cs="Times New Roman"/>
          <w:b/>
          <w:bCs/>
          <w:color w:val="auto"/>
          <w:sz w:val="32"/>
          <w:szCs w:val="32"/>
          <w:highlight w:val="none"/>
          <w:u w:val="none" w:color="auto"/>
        </w:rPr>
        <w:t>月</w:t>
      </w:r>
    </w:p>
    <w:p w14:paraId="3976B94C">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3A4183D4">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p>
    <w:p w14:paraId="73F4E51A">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162E62F0">
      <w:pPr>
        <w:pageBreakBefore w:val="0"/>
        <w:kinsoku/>
        <w:wordWrap/>
        <w:overflowPunct/>
        <w:topLinePunct w:val="0"/>
        <w:bidi w:val="0"/>
        <w:spacing w:line="360" w:lineRule="auto"/>
        <w:ind w:left="0" w:leftChars="0" w:firstLine="562" w:firstLineChars="200"/>
        <w:jc w:val="center"/>
        <w:rPr>
          <w:rFonts w:hint="default" w:ascii="Times New Roman" w:hAnsi="Times New Roman" w:eastAsia="宋体" w:cs="Times New Roman"/>
          <w:b/>
          <w:bCs/>
          <w:color w:val="auto"/>
          <w:sz w:val="28"/>
          <w:szCs w:val="28"/>
          <w:highlight w:val="none"/>
          <w:u w:val="none" w:color="auto"/>
        </w:rPr>
      </w:pPr>
      <w:r>
        <w:rPr>
          <w:rFonts w:hint="default" w:ascii="Times New Roman" w:hAnsi="Times New Roman" w:eastAsia="宋体" w:cs="Times New Roman"/>
          <w:b/>
          <w:bCs/>
          <w:color w:val="auto"/>
          <w:sz w:val="28"/>
          <w:szCs w:val="28"/>
          <w:highlight w:val="none"/>
          <w:u w:val="none" w:color="auto"/>
        </w:rPr>
        <w:t>目</w:t>
      </w:r>
      <w:r>
        <w:rPr>
          <w:rFonts w:hint="default" w:ascii="Times New Roman" w:hAnsi="Times New Roman" w:eastAsia="宋体" w:cs="Times New Roman"/>
          <w:b/>
          <w:bCs/>
          <w:color w:val="auto"/>
          <w:sz w:val="28"/>
          <w:szCs w:val="28"/>
          <w:highlight w:val="none"/>
          <w:u w:val="none" w:color="auto"/>
          <w:lang w:val="en-US" w:eastAsia="zh-CN"/>
        </w:rPr>
        <w:t xml:space="preserve">  </w:t>
      </w:r>
      <w:r>
        <w:rPr>
          <w:rFonts w:hint="default" w:ascii="Times New Roman" w:hAnsi="Times New Roman" w:eastAsia="宋体" w:cs="Times New Roman"/>
          <w:b/>
          <w:bCs/>
          <w:color w:val="auto"/>
          <w:sz w:val="28"/>
          <w:szCs w:val="28"/>
          <w:highlight w:val="none"/>
          <w:u w:val="none" w:color="auto"/>
        </w:rPr>
        <w:t>录</w:t>
      </w:r>
    </w:p>
    <w:p w14:paraId="159CFE08">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TOC \o "1-2" \h \z \u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_Toc27779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1前言</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_Toc27779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084C506C">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_Toc4843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1.1任务由来</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_Toc4843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024F9F8F">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_Toc4700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1.2项目特点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_Toc4700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7CF014C">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_Toc4219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1.3评价程序</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_Toc4219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B908F29">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_Toc25467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1.4本次评价关注的主要环境问题</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_Toc25467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A034917">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_Toc31314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1.5主要结论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_Toc31314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3FB87B88">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_Toc24182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2总则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_Toc24182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7B8B6A6">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_Toc28549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2.1编制依据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_Toc28549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8D9EEFE">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_Toc7576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2.2评价目的和原则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_Toc7576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9B8DD1F">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_Toc25231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2.3环境影响因子识别及评价因子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_Toc25231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374AF0D">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_Toc3402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2.4区域环境功能区划及评价标准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_Toc3402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1C417CD3">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_Toc10920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2.5评价等级及评价范围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_Toc10920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0FA88113">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_Toc6797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2.6评价重点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_Toc6797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9B51AB0">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_Toc20691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2.7环境保护目标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_Toc20691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877ACAA">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_Toc16980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拟建项目概况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_Toc16980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2625604">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_Toc32323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3.1基本情况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_Toc32323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04EF10D0">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_Toc28881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3.2项目组成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_Toc28881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19B49DE9">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_Toc24330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3.3项目总平面布置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_Toc24330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A3C95DB">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_Toc22500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3.4项目主要生产设备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_Toc22500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2D2AF05">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_Toc9013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3.5项目主要原辅料及能耗</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_Toc9013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98E5FAA">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_Toc24146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3.6项目产品方案及生产规模</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_Toc24146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E6CC3FB">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_Toc22971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3.7项目公用工程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_Toc22971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BC2B04E">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_Toc5490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3.8项目劳动定员及工作制度</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_Toc5490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2D12EB8">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_Toc31720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3.9施工组织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_Toc31720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1814DD5">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_Toc20840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_Toc20840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EB74FB5">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_Toc30000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4.1 工艺流程及说明</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_Toc30000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4CF8BF8">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_Toc8241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4.2项目相关平衡</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_Toc8241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199F4951">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_Toc4751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4.3施工期污染源分析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_Toc4751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F61D202">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_Toc32263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4.4运营期污染源分析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_Toc32263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3C0DF592">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_Toc24024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4.5污染物总量控制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_Toc24024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03A446D5">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_Toc23014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5区域环境概况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_Toc23014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A66162E">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_Toc19627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5.1自然环境状况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_Toc19627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EE84089">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_Toc21306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5.2 松木经开区概况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_Toc21306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60E34235">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_Toc10217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5.3 湘江衡阳段四大家鱼国家级水产种质资源保护区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_Toc10217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6B780736">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_Toc8699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5.4 区域污染源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_Toc8699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F137FEA">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_Toc30676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6 环境质量现状调查与评价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_Toc30676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6AFCF557">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_Toc25804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6.1环境空气质量现状调查与评价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_Toc25804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3DCDF16">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_Toc25161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6.2地表水环境质量现状调查与评价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_Toc25161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1AB1D8BE">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_Toc11471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6.3地下水环境质量现状调查与评价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_Toc11471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54BFE4B">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_Toc5046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6.4声环境质量现状调查与评价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_Toc5046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6D036F82">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_Toc7496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6.5土壤环境质量现状调查与评价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_Toc7496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9381D49">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_Toc20655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6.6生态环境现状调查与评价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_Toc20655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0AC7447B">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_Toc25937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7环境影响分析与评价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_Toc25937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69B70942">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_Toc32090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7.1施工期环境影响分析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_Toc32090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121A802A">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_Toc19493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7.2运营期环境影响分析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_Toc19493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061C808E">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_Toc4358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8环境风险评价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_Toc4358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192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C8A80B9">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_Toc3277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8.1环境风险潜势分析及评价等级判定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192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0593CF8">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_Toc24487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8.2风险识别</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_Toc24487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198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794C272">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_Toc25658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8.3源项分析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_Toc25658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3B727F5">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_Toc12306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8.4风险影响分析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_Toc12306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3AECBEBB">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_Toc3334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8.5环境风险管理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_Toc3334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17C27E99">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_Toc3368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8.6风险评价结论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_Toc3368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6FB0D486">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_Toc32376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9环境保护措施及其可行性论证</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_Toc32376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CD8BA18">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_Toc29013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9.1施工期污染防治措施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_Toc29013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54EAEF4">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_Toc12420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9.2运营期污染防治措施及其可行性分析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_Toc12420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AC6539D">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_Toc9999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10 产业政策及环境可行性分析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_Toc9999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A470541">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_Toc29911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10.1 产业政策符合性分析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_Toc29911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0EA7BC1">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_Toc20020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10.2 与相关规划相符性分析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_Toc20020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963AE38">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_Toc13615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10.3 与其他相关政策法规相符性分析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_Toc13615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802201C">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_Toc13690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10.4 选址与总平面布局合理性分析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_Toc13690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4E73E69">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_Toc10641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10.5 环境制约因素分析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_Toc10641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77D6F12">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_Toc28758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10.6小结</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_Toc28758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6D9423D0">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_Toc27933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11环境影响经济损益分析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_Toc27933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30777CE">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_Toc5366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11.1环保投资估算</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_Toc5366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3F527C5">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_Toc20111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11.2环境效益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_Toc20111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6BAD537E">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_Toc11085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11.3社会效益分析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_Toc11085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4DF63EE">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_Toc25001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11.4小结</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_Toc25001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6A21E244">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_Toc23873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12环境管理与监测计划</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_Toc23873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1EF877B0">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_Toc16672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12.1环境管理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_Toc16672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5DE4712">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_Toc14712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12.2环境管理计划</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_Toc14712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767C773A">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_Toc11461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12.3排污单位自行监测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_Toc11461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EAB1C6C">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_Toc9557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12.4排污口规范化</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_Toc9557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419937AD">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_Toc19953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12.5竣工验收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_Toc19953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18F5E6D">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_Toc16423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12.6排污许可证</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_Toc16423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1BF1B481">
      <w:pPr>
        <w:pStyle w:val="1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_Toc31889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13结论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_Toc31889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02D95DAC">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_Toc18593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13.1评价结论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_Toc18593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1D7590BE">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_Toc28986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13.2总结论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_Toc28986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237A96C7">
      <w:pPr>
        <w:pStyle w:val="18"/>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rPr>
        <w:instrText xml:space="preserve"> HYPERLINK \l _Toc24321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lang w:val="en-US" w:eastAsia="zh-CN"/>
        </w:rPr>
        <w:t>13.3建议与要求</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_Toc24321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u w:val="none" w:color="auto"/>
        </w:rPr>
        <w:fldChar w:fldCharType="end"/>
      </w:r>
    </w:p>
    <w:p w14:paraId="53BC5969">
      <w:pPr>
        <w:keepNext w:val="0"/>
        <w:keepLines w:val="0"/>
        <w:pageBreakBefore w:val="0"/>
        <w:widowControl w:val="0"/>
        <w:kinsoku/>
        <w:wordWrap/>
        <w:overflowPunct/>
        <w:topLinePunct w:val="0"/>
        <w:autoSpaceDE/>
        <w:autoSpaceDN/>
        <w:bidi w:val="0"/>
        <w:adjustRightInd/>
        <w:snapToGrid/>
        <w:spacing w:line="324"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宋体" w:cs="Times New Roman"/>
          <w:color w:val="auto"/>
          <w:sz w:val="24"/>
          <w:szCs w:val="24"/>
          <w:highlight w:val="none"/>
          <w:u w:val="none" w:color="auto"/>
        </w:rPr>
        <w:fldChar w:fldCharType="end"/>
      </w:r>
    </w:p>
    <w:p w14:paraId="4958EE6F">
      <w:pPr>
        <w:keepNext w:val="0"/>
        <w:keepLines w:val="0"/>
        <w:pageBreakBefore w:val="0"/>
        <w:widowControl w:val="0"/>
        <w:kinsoku/>
        <w:wordWrap/>
        <w:overflowPunct/>
        <w:topLinePunct w:val="0"/>
        <w:autoSpaceDE/>
        <w:autoSpaceDN/>
        <w:bidi w:val="0"/>
        <w:adjustRightInd/>
        <w:snapToGrid/>
        <w:spacing w:line="324" w:lineRule="auto"/>
        <w:ind w:left="0" w:leftChars="0" w:firstLine="482" w:firstLineChars="200"/>
        <w:textAlignment w:val="auto"/>
        <w:rPr>
          <w:rFonts w:hint="default" w:ascii="Times New Roman" w:hAnsi="Times New Roman" w:eastAsia="宋体" w:cs="Times New Roman"/>
          <w:b/>
          <w:color w:val="auto"/>
          <w:sz w:val="24"/>
          <w:szCs w:val="24"/>
          <w:highlight w:val="none"/>
          <w:u w:val="none" w:color="auto"/>
        </w:rPr>
      </w:pPr>
      <w:r>
        <w:rPr>
          <w:rFonts w:hint="default" w:ascii="Times New Roman" w:hAnsi="Times New Roman" w:eastAsia="宋体" w:cs="Times New Roman"/>
          <w:b/>
          <w:color w:val="auto"/>
          <w:sz w:val="24"/>
          <w:szCs w:val="24"/>
          <w:highlight w:val="none"/>
          <w:u w:val="none" w:color="auto"/>
        </w:rPr>
        <w:t>附图：</w:t>
      </w:r>
    </w:p>
    <w:p w14:paraId="54B86C6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附图1：项目地理位置图</w:t>
      </w:r>
    </w:p>
    <w:p w14:paraId="68BA00C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附图2：评价范围与敏感点分布图</w:t>
      </w:r>
    </w:p>
    <w:p w14:paraId="164926A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rPr>
        <w:t>附图3：本项目总平面布置图</w:t>
      </w:r>
      <w:r>
        <w:rPr>
          <w:rFonts w:hint="default" w:ascii="Times New Roman" w:hAnsi="Times New Roman" w:eastAsia="宋体" w:cs="Times New Roman"/>
          <w:color w:val="auto"/>
          <w:sz w:val="24"/>
          <w:szCs w:val="24"/>
          <w:highlight w:val="none"/>
          <w:u w:val="single" w:color="auto"/>
          <w:lang w:eastAsia="zh-CN"/>
        </w:rPr>
        <w:t>（内含管网布置、环保设施分布）</w:t>
      </w:r>
    </w:p>
    <w:p w14:paraId="05DAF28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附图</w:t>
      </w: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：本项目周边环境质量现状监测布点图</w:t>
      </w:r>
    </w:p>
    <w:p w14:paraId="317C624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附图</w:t>
      </w:r>
      <w:r>
        <w:rPr>
          <w:rFonts w:hint="default" w:ascii="Times New Roman" w:hAnsi="Times New Roman" w:eastAsia="宋体" w:cs="Times New Roman"/>
          <w:color w:val="auto"/>
          <w:sz w:val="24"/>
          <w:szCs w:val="24"/>
          <w:highlight w:val="none"/>
          <w:u w:val="none" w:color="auto"/>
          <w:lang w:val="en-US" w:eastAsia="zh-CN"/>
        </w:rPr>
        <w:t>5</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土地利用规划图</w:t>
      </w:r>
    </w:p>
    <w:p w14:paraId="5B3695D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附图6：土地利用现状图</w:t>
      </w:r>
    </w:p>
    <w:p w14:paraId="74FBCF6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附图7：给排水规划图</w:t>
      </w:r>
    </w:p>
    <w:p w14:paraId="59CE4F09">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附图8：区域水系图</w:t>
      </w:r>
    </w:p>
    <w:p w14:paraId="569047E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附图9：衡阳市城市总体规划</w:t>
      </w:r>
    </w:p>
    <w:p w14:paraId="7C21D2E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附图10</w:t>
      </w:r>
      <w:r>
        <w:rPr>
          <w:rFonts w:hint="eastAsia"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lang w:val="en-US" w:eastAsia="zh-CN"/>
        </w:rPr>
        <w:t>与种质资源保护区关系图</w:t>
      </w:r>
    </w:p>
    <w:p w14:paraId="3DAFB02B">
      <w:pPr>
        <w:pageBreakBefore w:val="0"/>
        <w:kinsoku/>
        <w:wordWrap/>
        <w:overflowPunct/>
        <w:topLinePunct w:val="0"/>
        <w:bidi w:val="0"/>
        <w:spacing w:line="360" w:lineRule="auto"/>
        <w:ind w:left="0" w:leftChars="0" w:firstLine="482" w:firstLineChars="200"/>
        <w:rPr>
          <w:rFonts w:hint="default" w:ascii="Times New Roman" w:hAnsi="Times New Roman" w:eastAsia="宋体" w:cs="Times New Roman"/>
          <w:b/>
          <w:color w:val="auto"/>
          <w:sz w:val="24"/>
          <w:szCs w:val="24"/>
          <w:highlight w:val="none"/>
          <w:u w:val="none" w:color="auto"/>
        </w:rPr>
      </w:pPr>
      <w:r>
        <w:rPr>
          <w:rFonts w:hint="default" w:ascii="Times New Roman" w:hAnsi="Times New Roman" w:eastAsia="宋体" w:cs="Times New Roman"/>
          <w:b/>
          <w:color w:val="auto"/>
          <w:sz w:val="24"/>
          <w:szCs w:val="24"/>
          <w:highlight w:val="none"/>
          <w:u w:val="none" w:color="auto"/>
        </w:rPr>
        <w:t>附件：</w:t>
      </w:r>
    </w:p>
    <w:p w14:paraId="340519E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附件1：环评委托书</w:t>
      </w:r>
    </w:p>
    <w:p w14:paraId="24E584C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eastAsia="zh-CN"/>
        </w:rPr>
        <w:t>附件</w:t>
      </w:r>
      <w:r>
        <w:rPr>
          <w:rFonts w:hint="default" w:ascii="Times New Roman" w:hAnsi="Times New Roman" w:eastAsia="宋体" w:cs="Times New Roman"/>
          <w:color w:val="auto"/>
          <w:sz w:val="24"/>
          <w:szCs w:val="24"/>
          <w:highlight w:val="none"/>
          <w:u w:val="none" w:color="auto"/>
          <w:lang w:val="en-US" w:eastAsia="zh-CN"/>
        </w:rPr>
        <w:t>2：营业执照</w:t>
      </w:r>
    </w:p>
    <w:p w14:paraId="72E30A9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val="en-US" w:eastAsia="zh-CN"/>
        </w:rPr>
        <w:t>附件3：</w:t>
      </w:r>
      <w:r>
        <w:rPr>
          <w:rFonts w:hint="default" w:ascii="Times New Roman" w:hAnsi="Times New Roman" w:eastAsia="宋体" w:cs="Times New Roman"/>
          <w:color w:val="auto"/>
          <w:sz w:val="24"/>
          <w:szCs w:val="24"/>
          <w:highlight w:val="none"/>
          <w:u w:val="none" w:color="auto"/>
          <w:lang w:eastAsia="zh-CN"/>
        </w:rPr>
        <w:t>园区</w:t>
      </w:r>
      <w:r>
        <w:rPr>
          <w:rFonts w:hint="default" w:ascii="Times New Roman" w:hAnsi="Times New Roman" w:eastAsia="宋体" w:cs="Times New Roman"/>
          <w:color w:val="auto"/>
          <w:sz w:val="24"/>
          <w:szCs w:val="24"/>
          <w:highlight w:val="none"/>
          <w:u w:val="none" w:color="auto"/>
        </w:rPr>
        <w:t>扩区规划</w:t>
      </w:r>
      <w:r>
        <w:rPr>
          <w:rFonts w:hint="default" w:ascii="Times New Roman" w:hAnsi="Times New Roman" w:eastAsia="宋体" w:cs="Times New Roman"/>
          <w:color w:val="auto"/>
          <w:sz w:val="24"/>
          <w:szCs w:val="24"/>
          <w:highlight w:val="none"/>
          <w:u w:val="none" w:color="auto"/>
          <w:lang w:eastAsia="zh-CN"/>
        </w:rPr>
        <w:t>环评批复</w:t>
      </w:r>
    </w:p>
    <w:p w14:paraId="2E0A0AE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附件4：监测报告</w:t>
      </w:r>
    </w:p>
    <w:p w14:paraId="039EFD7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附件5：项目备案证明</w:t>
      </w:r>
    </w:p>
    <w:p w14:paraId="1387D07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附件</w:t>
      </w:r>
      <w:r>
        <w:rPr>
          <w:rFonts w:hint="eastAsia" w:ascii="Times New Roman" w:hAnsi="Times New Roman" w:eastAsia="宋体" w:cs="Times New Roman"/>
          <w:color w:val="auto"/>
          <w:sz w:val="24"/>
          <w:szCs w:val="24"/>
          <w:highlight w:val="none"/>
          <w:u w:val="single" w:color="auto"/>
          <w:lang w:val="en-US" w:eastAsia="zh-CN"/>
        </w:rPr>
        <w:t>6</w:t>
      </w:r>
      <w:r>
        <w:rPr>
          <w:rFonts w:hint="default" w:ascii="Times New Roman" w:hAnsi="Times New Roman" w:eastAsia="宋体" w:cs="Times New Roman"/>
          <w:color w:val="auto"/>
          <w:sz w:val="24"/>
          <w:szCs w:val="24"/>
          <w:highlight w:val="none"/>
          <w:u w:val="single" w:color="auto"/>
          <w:lang w:val="en-US" w:eastAsia="zh-CN"/>
        </w:rPr>
        <w:t>：湘环函[2016]263号</w:t>
      </w:r>
    </w:p>
    <w:p w14:paraId="70EF1D8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附件</w:t>
      </w:r>
      <w:r>
        <w:rPr>
          <w:rFonts w:hint="eastAsia" w:ascii="Times New Roman" w:hAnsi="Times New Roman" w:eastAsia="宋体" w:cs="Times New Roman"/>
          <w:color w:val="auto"/>
          <w:sz w:val="24"/>
          <w:szCs w:val="24"/>
          <w:highlight w:val="none"/>
          <w:u w:val="single" w:color="auto"/>
          <w:lang w:val="en-US" w:eastAsia="zh-CN"/>
        </w:rPr>
        <w:t>7</w:t>
      </w:r>
      <w:r>
        <w:rPr>
          <w:rFonts w:hint="default" w:ascii="Times New Roman" w:hAnsi="Times New Roman" w:eastAsia="宋体" w:cs="Times New Roman"/>
          <w:color w:val="auto"/>
          <w:sz w:val="24"/>
          <w:szCs w:val="24"/>
          <w:highlight w:val="none"/>
          <w:u w:val="single" w:color="auto"/>
          <w:lang w:val="en-US" w:eastAsia="zh-CN"/>
        </w:rPr>
        <w:t>：专家签到表及综合意见</w:t>
      </w:r>
    </w:p>
    <w:p w14:paraId="47C3271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附件8：总量审批表</w:t>
      </w:r>
    </w:p>
    <w:p w14:paraId="02986B25">
      <w:pPr>
        <w:pageBreakBefore w:val="0"/>
        <w:kinsoku/>
        <w:wordWrap/>
        <w:overflowPunct/>
        <w:topLinePunct w:val="0"/>
        <w:bidi w:val="0"/>
        <w:spacing w:line="360" w:lineRule="auto"/>
        <w:ind w:left="0" w:leftChars="0" w:firstLine="482" w:firstLineChars="200"/>
        <w:rPr>
          <w:rFonts w:hint="default" w:ascii="Times New Roman" w:hAnsi="Times New Roman" w:eastAsia="宋体" w:cs="Times New Roman"/>
          <w:b/>
          <w:color w:val="auto"/>
          <w:sz w:val="24"/>
          <w:szCs w:val="24"/>
          <w:highlight w:val="none"/>
          <w:u w:val="none" w:color="auto"/>
        </w:rPr>
      </w:pPr>
      <w:r>
        <w:rPr>
          <w:rFonts w:hint="default" w:ascii="Times New Roman" w:hAnsi="Times New Roman" w:eastAsia="宋体" w:cs="Times New Roman"/>
          <w:b/>
          <w:color w:val="auto"/>
          <w:sz w:val="24"/>
          <w:szCs w:val="24"/>
          <w:highlight w:val="none"/>
          <w:u w:val="none" w:color="auto"/>
        </w:rPr>
        <w:t>附表：</w:t>
      </w:r>
    </w:p>
    <w:p w14:paraId="6450373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附表1：大气环境影响评价自查表</w:t>
      </w:r>
    </w:p>
    <w:p w14:paraId="5AE1BAE9">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附表2：地表水环境影响评价自查表</w:t>
      </w:r>
    </w:p>
    <w:p w14:paraId="736C941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附表3：环境风险评价自查表</w:t>
      </w:r>
    </w:p>
    <w:p w14:paraId="665FC14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附表4：土壤</w:t>
      </w:r>
      <w:r>
        <w:rPr>
          <w:rFonts w:hint="default" w:ascii="Times New Roman" w:hAnsi="Times New Roman" w:eastAsia="宋体" w:cs="Times New Roman"/>
          <w:color w:val="auto"/>
          <w:sz w:val="24"/>
          <w:szCs w:val="24"/>
          <w:highlight w:val="none"/>
          <w:u w:val="none" w:color="auto"/>
          <w:lang w:val="en-US" w:eastAsia="zh-CN"/>
        </w:rPr>
        <w:t>环境影响评价</w:t>
      </w:r>
      <w:r>
        <w:rPr>
          <w:rFonts w:hint="default" w:ascii="Times New Roman" w:hAnsi="Times New Roman" w:eastAsia="宋体" w:cs="Times New Roman"/>
          <w:color w:val="auto"/>
          <w:sz w:val="24"/>
          <w:szCs w:val="24"/>
          <w:highlight w:val="none"/>
          <w:u w:val="none" w:color="auto"/>
        </w:rPr>
        <w:t>自查表</w:t>
      </w:r>
    </w:p>
    <w:p w14:paraId="4BB88F1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eastAsia="zh-CN"/>
        </w:rPr>
        <w:t>附表</w:t>
      </w:r>
      <w:r>
        <w:rPr>
          <w:rFonts w:hint="default" w:ascii="Times New Roman" w:hAnsi="Times New Roman" w:eastAsia="宋体" w:cs="Times New Roman"/>
          <w:color w:val="auto"/>
          <w:sz w:val="24"/>
          <w:szCs w:val="24"/>
          <w:highlight w:val="none"/>
          <w:u w:val="none" w:color="auto"/>
          <w:lang w:val="en-US" w:eastAsia="zh-CN"/>
        </w:rPr>
        <w:t>5：生态环境影响评价自查表</w:t>
      </w:r>
    </w:p>
    <w:p w14:paraId="4F15E2D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eastAsia="zh-CN"/>
        </w:rPr>
        <w:t>附表</w:t>
      </w:r>
      <w:r>
        <w:rPr>
          <w:rFonts w:hint="default" w:ascii="Times New Roman" w:hAnsi="Times New Roman" w:eastAsia="宋体" w:cs="Times New Roman"/>
          <w:color w:val="auto"/>
          <w:sz w:val="24"/>
          <w:szCs w:val="24"/>
          <w:highlight w:val="none"/>
          <w:u w:val="none" w:color="auto"/>
          <w:lang w:val="en-US" w:eastAsia="zh-CN"/>
        </w:rPr>
        <w:t>6：声环境影响评价自查表</w:t>
      </w:r>
    </w:p>
    <w:p w14:paraId="6270653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附表</w:t>
      </w:r>
      <w:r>
        <w:rPr>
          <w:rFonts w:hint="default" w:ascii="Times New Roman" w:hAnsi="Times New Roman" w:eastAsia="宋体" w:cs="Times New Roman"/>
          <w:color w:val="auto"/>
          <w:sz w:val="24"/>
          <w:szCs w:val="24"/>
          <w:highlight w:val="none"/>
          <w:u w:val="none" w:color="auto"/>
          <w:lang w:val="en-US" w:eastAsia="zh-CN"/>
        </w:rPr>
        <w:t>7</w:t>
      </w:r>
      <w:r>
        <w:rPr>
          <w:rFonts w:hint="default" w:ascii="Times New Roman" w:hAnsi="Times New Roman" w:eastAsia="宋体" w:cs="Times New Roman"/>
          <w:color w:val="auto"/>
          <w:sz w:val="24"/>
          <w:szCs w:val="24"/>
          <w:highlight w:val="none"/>
          <w:u w:val="none" w:color="auto"/>
        </w:rPr>
        <w:t>：环评审批基础信息表</w:t>
      </w:r>
    </w:p>
    <w:p w14:paraId="33E5C32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756E884A">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rPr>
      </w:pPr>
      <w:bookmarkStart w:id="0" w:name="_Toc480366179"/>
      <w:bookmarkStart w:id="1" w:name="_Toc27779"/>
      <w:r>
        <w:rPr>
          <w:rFonts w:hint="default" w:ascii="Times New Roman" w:hAnsi="Times New Roman" w:eastAsia="宋体" w:cs="Times New Roman"/>
          <w:color w:val="auto"/>
          <w:sz w:val="32"/>
          <w:szCs w:val="32"/>
          <w:highlight w:val="none"/>
          <w:u w:val="none" w:color="auto"/>
        </w:rPr>
        <w:t>1前言</w:t>
      </w:r>
      <w:bookmarkEnd w:id="0"/>
      <w:bookmarkEnd w:id="1"/>
    </w:p>
    <w:p w14:paraId="468978CB">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2" w:name="_Toc4843"/>
      <w:r>
        <w:rPr>
          <w:rFonts w:hint="default" w:ascii="Times New Roman" w:hAnsi="Times New Roman" w:eastAsia="宋体" w:cs="Times New Roman"/>
          <w:color w:val="auto"/>
          <w:sz w:val="28"/>
          <w:szCs w:val="28"/>
          <w:highlight w:val="none"/>
          <w:u w:val="none" w:color="auto"/>
        </w:rPr>
        <w:t>1.1任务由来</w:t>
      </w:r>
      <w:bookmarkEnd w:id="2"/>
    </w:p>
    <w:p w14:paraId="19D220A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随着产业升级与技术进步，加工工件的复杂性和困难程度持续提升，工业加工从粗放式、手动式加工向精细化、自动化加工不断演变，对加工材料的稳定性、精细程度要求不断提高，超硬材料开始广泛应用于工业加工，并逐步替代硬质合金等材料。</w:t>
      </w:r>
    </w:p>
    <w:p w14:paraId="4EAE420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超硬材料制品产业是高新技术领域中正在迅速发展的朝阳工业，以超硬材料制品为工具的磨削加工，是机械加工方法中最重要的一类方法，且是精密加工和超精加工最基本的和首选的加工方法，在工业上得到广泛</w:t>
      </w:r>
      <w:r>
        <w:rPr>
          <w:rFonts w:hint="eastAsia" w:ascii="Times New Roman" w:hAnsi="Times New Roman" w:eastAsia="宋体" w:cs="Times New Roman"/>
          <w:color w:val="auto"/>
          <w:sz w:val="24"/>
          <w:szCs w:val="24"/>
          <w:highlight w:val="none"/>
          <w:u w:val="single" w:color="auto"/>
          <w:lang w:eastAsia="zh-CN"/>
        </w:rPr>
        <w:t>的</w:t>
      </w:r>
      <w:r>
        <w:rPr>
          <w:rFonts w:hint="default" w:ascii="Times New Roman" w:hAnsi="Times New Roman" w:eastAsia="宋体" w:cs="Times New Roman"/>
          <w:color w:val="auto"/>
          <w:sz w:val="24"/>
          <w:szCs w:val="24"/>
          <w:highlight w:val="none"/>
          <w:u w:val="single" w:color="auto"/>
          <w:lang w:eastAsia="zh-CN"/>
        </w:rPr>
        <w:t>应用是工业生产加工中必不可少的工具，具有“工业牙齿”之誉。</w:t>
      </w:r>
    </w:p>
    <w:p w14:paraId="2BC4B2D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湖南昂拓科技有限责任公司</w:t>
      </w:r>
      <w:r>
        <w:rPr>
          <w:rFonts w:hint="eastAsia" w:ascii="Times New Roman" w:hAnsi="Times New Roman" w:eastAsia="宋体" w:cs="Times New Roman"/>
          <w:color w:val="auto"/>
          <w:sz w:val="24"/>
          <w:szCs w:val="24"/>
          <w:highlight w:val="none"/>
          <w:u w:val="single" w:color="auto"/>
          <w:lang w:eastAsia="zh-CN"/>
        </w:rPr>
        <w:t>成立于</w:t>
      </w:r>
      <w:r>
        <w:rPr>
          <w:rFonts w:hint="eastAsia" w:ascii="Times New Roman" w:hAnsi="Times New Roman" w:eastAsia="宋体" w:cs="Times New Roman"/>
          <w:color w:val="auto"/>
          <w:sz w:val="24"/>
          <w:szCs w:val="24"/>
          <w:highlight w:val="none"/>
          <w:u w:val="single" w:color="auto"/>
          <w:lang w:val="en-US" w:eastAsia="zh-CN"/>
        </w:rPr>
        <w:t>2022年，主要生产产品为：</w:t>
      </w:r>
      <w:r>
        <w:rPr>
          <w:rFonts w:hint="default" w:ascii="Times New Roman" w:hAnsi="Times New Roman" w:eastAsia="宋体" w:cs="Times New Roman"/>
          <w:color w:val="auto"/>
          <w:sz w:val="24"/>
          <w:szCs w:val="24"/>
          <w:highlight w:val="none"/>
          <w:u w:val="single" w:color="auto"/>
          <w:lang w:eastAsia="zh-CN"/>
        </w:rPr>
        <w:t>超硬材料砂轮、套瓦刀、磨头</w:t>
      </w:r>
      <w:r>
        <w:rPr>
          <w:rFonts w:hint="eastAsia" w:ascii="Times New Roman" w:hAnsi="Times New Roman" w:eastAsia="宋体" w:cs="Times New Roman"/>
          <w:color w:val="auto"/>
          <w:sz w:val="24"/>
          <w:szCs w:val="24"/>
          <w:highlight w:val="none"/>
          <w:u w:val="single" w:color="auto"/>
          <w:lang w:eastAsia="zh-CN"/>
        </w:rPr>
        <w:t>、金刚石划片刀等。</w:t>
      </w:r>
      <w:r>
        <w:rPr>
          <w:rFonts w:hint="eastAsia" w:ascii="Times New Roman" w:hAnsi="Times New Roman" w:eastAsia="宋体" w:cs="Times New Roman"/>
          <w:color w:val="auto"/>
          <w:sz w:val="24"/>
          <w:szCs w:val="24"/>
          <w:highlight w:val="none"/>
          <w:u w:val="single" w:color="auto"/>
          <w:lang w:val="en-US" w:eastAsia="zh-CN"/>
        </w:rPr>
        <w:t>其中</w:t>
      </w:r>
      <w:r>
        <w:rPr>
          <w:rFonts w:hint="default" w:ascii="Times New Roman" w:hAnsi="Times New Roman" w:eastAsia="宋体" w:cs="Times New Roman"/>
          <w:color w:val="auto"/>
          <w:sz w:val="24"/>
          <w:szCs w:val="24"/>
          <w:highlight w:val="none"/>
          <w:u w:val="single" w:color="auto"/>
          <w:lang w:eastAsia="zh-CN"/>
        </w:rPr>
        <w:t>超硬材料砂轮、套瓦刀、磨头等广泛应用于稀土永磁材料加工</w:t>
      </w:r>
      <w:r>
        <w:rPr>
          <w:rFonts w:hint="eastAsia"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lang w:eastAsia="zh-CN"/>
        </w:rPr>
        <w:t>是现代3c电子元器材及5G显示器材加工必不可少的重要加工工具，稀土永磁俗称“磁王”，具有无与伦比的磁性能，是上至航空航天，下至国计民生中不可少的重要组成部分，全球90%以上的稀土永磁元件由中国企业提供，是中国应对美国霸权主义最重要的武器之一；</w:t>
      </w:r>
      <w:r>
        <w:rPr>
          <w:rFonts w:hint="eastAsia" w:ascii="Times New Roman" w:hAnsi="Times New Roman" w:eastAsia="宋体" w:cs="Times New Roman"/>
          <w:color w:val="auto"/>
          <w:sz w:val="24"/>
          <w:szCs w:val="24"/>
          <w:highlight w:val="none"/>
          <w:u w:val="single" w:color="auto"/>
          <w:lang w:eastAsia="zh-CN"/>
        </w:rPr>
        <w:t>其中</w:t>
      </w:r>
      <w:r>
        <w:rPr>
          <w:rFonts w:hint="default" w:ascii="Times New Roman" w:hAnsi="Times New Roman" w:eastAsia="宋体" w:cs="Times New Roman"/>
          <w:color w:val="auto"/>
          <w:sz w:val="24"/>
          <w:szCs w:val="24"/>
          <w:highlight w:val="none"/>
          <w:u w:val="single" w:color="auto"/>
          <w:lang w:eastAsia="zh-CN"/>
        </w:rPr>
        <w:t>金刚石划片刀是用于在半导体晶圆芯片封装前期工作中切割晶圆，是制造芯片的重要工具，它对于芯片的质量和寿命有直接的致命影响，目前国内市场芯片加工用金刚石划片刀80~90%都是由日本DISCO公司提供，随着美国对中国芯片制造业的围追打压，高端芯片用金刚石划片刀采购难度也愈来愈大，由于金刚石划片刀生产技术门槛极高，国内目前虽有多家企业都在研发此类产品，但除了在低端应用市场（比如LED芯片）有二三家实现少批量量产外，高端应用市场（比如集成电路芯片切割）还没有实现零的突破，如何突破国外卡脖子的技术，实现金刚石划片刀国产替代显得尤为重要</w:t>
      </w:r>
      <w:r>
        <w:rPr>
          <w:rFonts w:hint="eastAsia" w:ascii="Times New Roman" w:hAnsi="Times New Roman" w:eastAsia="宋体" w:cs="Times New Roman"/>
          <w:color w:val="auto"/>
          <w:sz w:val="24"/>
          <w:szCs w:val="24"/>
          <w:highlight w:val="none"/>
          <w:u w:val="single" w:color="auto"/>
          <w:lang w:eastAsia="zh-CN"/>
        </w:rPr>
        <w:t>。</w:t>
      </w:r>
    </w:p>
    <w:p w14:paraId="226DCFE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湖南昂拓科技有限责任公司依托浙江省宁波市精宏超硬工具有限公司扎根于超硬材料制品行业二十多年的深厚技术实力，目前宁波市精宏超硬工具有限公司已稳占稀土永磁材料加工用超硬材料工具国内市场80%以上，而且每年以年均20%以上的速度随着稀土永磁材料市场的增长而增长，发展潜力巨大；宁波市精宏超硬工具有限公司金刚石划片刀技术重大突破（精宏刀片实验室验证已通过，现正处于客户小批量导入阶段，相关技术指标已达到甚至部分指标超过DISCO公司水准），争取在项目基础建设完成后就能实现大批量生产，打造出金刚石划片刀高端品牌，为中国芯片行业自给自足不受美国霸凌</w:t>
      </w:r>
      <w:r>
        <w:rPr>
          <w:rFonts w:hint="eastAsia" w:ascii="Times New Roman" w:hAnsi="Times New Roman" w:eastAsia="宋体" w:cs="Times New Roman"/>
          <w:color w:val="auto"/>
          <w:sz w:val="24"/>
          <w:szCs w:val="24"/>
          <w:highlight w:val="none"/>
          <w:u w:val="single" w:color="auto"/>
          <w:lang w:eastAsia="zh-CN"/>
        </w:rPr>
        <w:t>作出贡献</w:t>
      </w:r>
      <w:r>
        <w:rPr>
          <w:rFonts w:hint="default" w:ascii="Times New Roman" w:hAnsi="Times New Roman" w:eastAsia="宋体" w:cs="Times New Roman"/>
          <w:color w:val="auto"/>
          <w:sz w:val="24"/>
          <w:szCs w:val="24"/>
          <w:highlight w:val="none"/>
          <w:u w:val="single" w:color="auto"/>
          <w:lang w:eastAsia="zh-CN"/>
        </w:rPr>
        <w:t>。</w:t>
      </w:r>
    </w:p>
    <w:p w14:paraId="004FBF6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湖南昂拓科技有限责任公司（以下简称昂拓公司）拟投资</w:t>
      </w:r>
      <w:r>
        <w:rPr>
          <w:rFonts w:hint="default" w:ascii="Times New Roman" w:hAnsi="Times New Roman" w:eastAsia="宋体" w:cs="Times New Roman"/>
          <w:color w:val="auto"/>
          <w:sz w:val="24"/>
          <w:szCs w:val="24"/>
          <w:highlight w:val="none"/>
          <w:u w:val="none" w:color="auto"/>
          <w:lang w:val="en-US" w:eastAsia="zh-CN"/>
        </w:rPr>
        <w:t>4800万</w:t>
      </w:r>
      <w:r>
        <w:rPr>
          <w:rFonts w:hint="default" w:ascii="Times New Roman" w:hAnsi="Times New Roman" w:eastAsia="宋体" w:cs="Times New Roman"/>
          <w:color w:val="auto"/>
          <w:sz w:val="24"/>
          <w:szCs w:val="24"/>
          <w:highlight w:val="none"/>
          <w:u w:val="none" w:color="auto"/>
        </w:rPr>
        <w:t>于</w:t>
      </w:r>
      <w:r>
        <w:rPr>
          <w:rFonts w:hint="default" w:ascii="Times New Roman" w:hAnsi="Times New Roman" w:eastAsia="宋体" w:cs="Times New Roman"/>
          <w:color w:val="auto"/>
          <w:sz w:val="24"/>
          <w:szCs w:val="24"/>
          <w:highlight w:val="none"/>
          <w:u w:val="none" w:color="auto"/>
          <w:lang w:eastAsia="zh-CN"/>
        </w:rPr>
        <w:t>湖南省衡阳市石鼓区</w:t>
      </w:r>
      <w:r>
        <w:rPr>
          <w:rFonts w:hint="default" w:ascii="Times New Roman" w:hAnsi="Times New Roman" w:eastAsia="宋体" w:cs="Times New Roman"/>
          <w:color w:val="auto"/>
          <w:kern w:val="0"/>
          <w:sz w:val="24"/>
          <w:szCs w:val="24"/>
          <w:highlight w:val="none"/>
          <w:u w:val="none" w:color="auto"/>
          <w:lang w:eastAsia="zh-CN"/>
        </w:rPr>
        <w:t>松木经济开发区松枫路</w:t>
      </w:r>
      <w:r>
        <w:rPr>
          <w:rFonts w:hint="default" w:ascii="Times New Roman" w:hAnsi="Times New Roman" w:eastAsia="宋体" w:cs="Times New Roman"/>
          <w:color w:val="auto"/>
          <w:sz w:val="24"/>
          <w:szCs w:val="24"/>
          <w:highlight w:val="none"/>
          <w:u w:val="none" w:color="auto"/>
          <w:lang w:eastAsia="zh-CN"/>
        </w:rPr>
        <w:t>建设湖南昂拓科技有限责任公司年产1000万件超硬材料制品建设项目。</w:t>
      </w:r>
    </w:p>
    <w:p w14:paraId="5DF08DC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strike w:val="0"/>
          <w:dstrike w:val="0"/>
          <w:color w:val="auto"/>
          <w:sz w:val="24"/>
          <w:szCs w:val="24"/>
          <w:highlight w:val="none"/>
          <w:u w:val="none" w:color="auto"/>
          <w:lang w:val="en-US" w:eastAsia="zh-CN"/>
        </w:rPr>
      </w:pPr>
      <w:r>
        <w:rPr>
          <w:rFonts w:hint="default" w:ascii="Times New Roman" w:hAnsi="Times New Roman" w:eastAsia="宋体" w:cs="Times New Roman"/>
          <w:strike w:val="0"/>
          <w:dstrike w:val="0"/>
          <w:color w:val="auto"/>
          <w:sz w:val="24"/>
          <w:szCs w:val="24"/>
          <w:highlight w:val="none"/>
          <w:u w:val="none" w:color="auto"/>
          <w:lang w:val="en-US" w:eastAsia="zh-CN"/>
        </w:rPr>
        <w:t>根据《国民经济行业分类》（GB/T4754-2017）及2019修改单，其他非金属矿物制品制造（C3099）包括超硬材料制品、超硬材料模具、其他超硬材料制品等。</w:t>
      </w:r>
    </w:p>
    <w:p w14:paraId="22B7F0F9">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根据《中华人民共和国环境保护法》、《中华人民共和国环境影响评价法》、《建设项目环境保护管理条例》的有关要求，</w:t>
      </w:r>
      <w:r>
        <w:rPr>
          <w:rFonts w:hint="default" w:ascii="Times New Roman" w:hAnsi="Times New Roman" w:eastAsia="宋体" w:cs="Times New Roman"/>
          <w:color w:val="auto"/>
          <w:sz w:val="24"/>
          <w:szCs w:val="24"/>
          <w:highlight w:val="none"/>
          <w:u w:val="none" w:color="auto"/>
          <w:lang w:eastAsia="zh-CN"/>
        </w:rPr>
        <w:t>湖南昂拓科技有限责任公司年产1000万件超硬材料制品建设项目</w:t>
      </w:r>
      <w:r>
        <w:rPr>
          <w:rFonts w:hint="default" w:ascii="Times New Roman" w:hAnsi="Times New Roman" w:eastAsia="宋体" w:cs="Times New Roman"/>
          <w:color w:val="auto"/>
          <w:sz w:val="24"/>
          <w:szCs w:val="24"/>
          <w:highlight w:val="none"/>
          <w:u w:val="none" w:color="auto"/>
        </w:rPr>
        <w:t>须执行环境影响评价制度；对照《建设项目环境影响分类管理名录》，</w:t>
      </w:r>
      <w:r>
        <w:rPr>
          <w:rFonts w:hint="default" w:ascii="Times New Roman" w:hAnsi="Times New Roman" w:eastAsia="宋体" w:cs="Times New Roman"/>
          <w:strike w:val="0"/>
          <w:dstrike w:val="0"/>
          <w:color w:val="auto"/>
          <w:sz w:val="24"/>
          <w:szCs w:val="24"/>
          <w:highlight w:val="none"/>
          <w:u w:val="none" w:color="auto"/>
          <w:lang w:val="en-US" w:eastAsia="zh-CN"/>
        </w:rPr>
        <w:t>本项目属于“二十七、非金属矿物制品60、石墨及其他非金属矿物制品制造309中的其他”，由于本项目涉及电镀工序</w:t>
      </w:r>
      <w:r>
        <w:rPr>
          <w:rFonts w:hint="default" w:ascii="Times New Roman" w:hAnsi="Times New Roman" w:eastAsia="宋体" w:cs="Times New Roman"/>
          <w:color w:val="auto"/>
          <w:sz w:val="24"/>
          <w:szCs w:val="24"/>
          <w:highlight w:val="none"/>
          <w:u w:val="none" w:color="auto"/>
        </w:rPr>
        <w:t>，应编制环境报告书。</w:t>
      </w:r>
    </w:p>
    <w:p w14:paraId="0F60C86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202</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年</w:t>
      </w:r>
      <w:r>
        <w:rPr>
          <w:rFonts w:hint="default"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rPr>
        <w:t>月，</w:t>
      </w:r>
      <w:r>
        <w:rPr>
          <w:rFonts w:hint="default" w:ascii="Times New Roman" w:hAnsi="Times New Roman" w:eastAsia="宋体" w:cs="Times New Roman"/>
          <w:color w:val="auto"/>
          <w:sz w:val="24"/>
          <w:szCs w:val="24"/>
          <w:highlight w:val="none"/>
          <w:u w:val="none" w:color="auto"/>
          <w:lang w:eastAsia="zh-CN"/>
        </w:rPr>
        <w:t>湖南昂拓科技有限责任公司</w:t>
      </w:r>
      <w:r>
        <w:rPr>
          <w:rFonts w:hint="default" w:ascii="Times New Roman" w:hAnsi="Times New Roman" w:eastAsia="宋体" w:cs="Times New Roman"/>
          <w:color w:val="auto"/>
          <w:sz w:val="24"/>
          <w:szCs w:val="24"/>
          <w:highlight w:val="none"/>
          <w:u w:val="none" w:color="auto"/>
        </w:rPr>
        <w:t>委托我公司（湖南朗润环境咨询有限公司）承担该项目的环境影响评价工作。接受委托后，我公司按照环境影响评价的有关工作程序，立即组织专业人员进行了现场踏勘、资料收集等，在此基础上编制了《</w:t>
      </w:r>
      <w:r>
        <w:rPr>
          <w:rFonts w:hint="default" w:ascii="Times New Roman" w:hAnsi="Times New Roman" w:eastAsia="宋体" w:cs="Times New Roman"/>
          <w:color w:val="auto"/>
          <w:sz w:val="24"/>
          <w:szCs w:val="24"/>
          <w:highlight w:val="none"/>
          <w:u w:val="none" w:color="auto"/>
          <w:lang w:eastAsia="zh-CN"/>
        </w:rPr>
        <w:t>湖南昂拓科技有限责任公司年产1000万件超硬材料制品建设项目</w:t>
      </w:r>
      <w:r>
        <w:rPr>
          <w:rFonts w:hint="default" w:ascii="Times New Roman" w:hAnsi="Times New Roman" w:eastAsia="宋体" w:cs="Times New Roman"/>
          <w:color w:val="auto"/>
          <w:sz w:val="24"/>
          <w:szCs w:val="24"/>
          <w:highlight w:val="none"/>
          <w:u w:val="none" w:color="auto"/>
        </w:rPr>
        <w:t>环境影响报告书</w:t>
      </w:r>
      <w:r>
        <w:rPr>
          <w:rFonts w:hint="eastAsia" w:ascii="Times New Roman" w:hAnsi="Times New Roman" w:eastAsia="宋体" w:cs="Times New Roman"/>
          <w:color w:val="auto"/>
          <w:sz w:val="24"/>
          <w:szCs w:val="24"/>
          <w:highlight w:val="none"/>
          <w:u w:val="none" w:color="auto"/>
          <w:lang w:eastAsia="zh-CN"/>
        </w:rPr>
        <w:t>（送审稿）》</w:t>
      </w:r>
      <w:r>
        <w:rPr>
          <w:rFonts w:hint="default" w:ascii="Times New Roman" w:hAnsi="Times New Roman" w:eastAsia="宋体" w:cs="Times New Roman"/>
          <w:color w:val="auto"/>
          <w:sz w:val="24"/>
          <w:szCs w:val="24"/>
          <w:highlight w:val="none"/>
          <w:u w:val="none" w:color="auto"/>
        </w:rPr>
        <w:t>。</w:t>
      </w:r>
    </w:p>
    <w:p w14:paraId="3922C03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rPr>
      </w:pPr>
      <w:r>
        <w:rPr>
          <w:rFonts w:hint="eastAsia" w:ascii="Times New Roman" w:hAnsi="Times New Roman" w:eastAsia="宋体" w:cs="Times New Roman"/>
          <w:color w:val="auto"/>
          <w:sz w:val="24"/>
          <w:szCs w:val="24"/>
          <w:highlight w:val="none"/>
          <w:u w:val="single" w:color="auto"/>
        </w:rPr>
        <w:t>202</w:t>
      </w:r>
      <w:r>
        <w:rPr>
          <w:rFonts w:hint="eastAsia" w:ascii="Times New Roman" w:hAnsi="Times New Roman" w:eastAsia="宋体" w:cs="Times New Roman"/>
          <w:color w:val="auto"/>
          <w:sz w:val="24"/>
          <w:szCs w:val="24"/>
          <w:highlight w:val="none"/>
          <w:u w:val="single" w:color="auto"/>
          <w:lang w:val="en-US" w:eastAsia="zh-CN"/>
        </w:rPr>
        <w:t>2</w:t>
      </w:r>
      <w:r>
        <w:rPr>
          <w:rFonts w:hint="eastAsia" w:ascii="Times New Roman" w:hAnsi="Times New Roman" w:eastAsia="宋体" w:cs="Times New Roman"/>
          <w:color w:val="auto"/>
          <w:sz w:val="24"/>
          <w:szCs w:val="24"/>
          <w:highlight w:val="none"/>
          <w:u w:val="single" w:color="auto"/>
        </w:rPr>
        <w:t>年</w:t>
      </w:r>
      <w:r>
        <w:rPr>
          <w:rFonts w:hint="eastAsia" w:ascii="Times New Roman" w:hAnsi="Times New Roman" w:eastAsia="宋体" w:cs="Times New Roman"/>
          <w:color w:val="auto"/>
          <w:sz w:val="24"/>
          <w:szCs w:val="24"/>
          <w:highlight w:val="none"/>
          <w:u w:val="single" w:color="auto"/>
          <w:lang w:val="en-US" w:eastAsia="zh-CN"/>
        </w:rPr>
        <w:t>9</w:t>
      </w:r>
      <w:r>
        <w:rPr>
          <w:rFonts w:hint="eastAsia" w:ascii="Times New Roman" w:hAnsi="Times New Roman" w:eastAsia="宋体" w:cs="Times New Roman"/>
          <w:color w:val="auto"/>
          <w:sz w:val="24"/>
          <w:szCs w:val="24"/>
          <w:highlight w:val="none"/>
          <w:u w:val="single" w:color="auto"/>
        </w:rPr>
        <w:t>月2</w:t>
      </w:r>
      <w:r>
        <w:rPr>
          <w:rFonts w:hint="eastAsia" w:ascii="Times New Roman" w:hAnsi="Times New Roman" w:eastAsia="宋体" w:cs="Times New Roman"/>
          <w:color w:val="auto"/>
          <w:sz w:val="24"/>
          <w:szCs w:val="24"/>
          <w:highlight w:val="none"/>
          <w:u w:val="single" w:color="auto"/>
          <w:lang w:val="en-US" w:eastAsia="zh-CN"/>
        </w:rPr>
        <w:t>2</w:t>
      </w:r>
      <w:r>
        <w:rPr>
          <w:rFonts w:hint="eastAsia" w:ascii="Times New Roman" w:hAnsi="Times New Roman" w:eastAsia="宋体" w:cs="Times New Roman"/>
          <w:color w:val="auto"/>
          <w:sz w:val="24"/>
          <w:szCs w:val="24"/>
          <w:highlight w:val="none"/>
          <w:u w:val="single" w:color="auto"/>
        </w:rPr>
        <w:t>日，</w:t>
      </w:r>
      <w:r>
        <w:rPr>
          <w:rFonts w:hint="eastAsia" w:ascii="Times New Roman" w:hAnsi="Times New Roman" w:eastAsia="宋体" w:cs="Times New Roman"/>
          <w:color w:val="auto"/>
          <w:sz w:val="24"/>
          <w:szCs w:val="24"/>
          <w:highlight w:val="none"/>
          <w:u w:val="single" w:color="auto"/>
          <w:lang w:eastAsia="zh-CN"/>
        </w:rPr>
        <w:t>衡阳市</w:t>
      </w:r>
      <w:r>
        <w:rPr>
          <w:rFonts w:hint="eastAsia" w:ascii="Times New Roman" w:hAnsi="Times New Roman" w:eastAsia="宋体" w:cs="Times New Roman"/>
          <w:color w:val="auto"/>
          <w:sz w:val="24"/>
          <w:szCs w:val="24"/>
          <w:highlight w:val="none"/>
          <w:u w:val="single" w:color="auto"/>
        </w:rPr>
        <w:t>生态环境局</w:t>
      </w:r>
      <w:r>
        <w:rPr>
          <w:rFonts w:hint="eastAsia" w:ascii="Times New Roman" w:hAnsi="Times New Roman" w:eastAsia="宋体" w:cs="Times New Roman"/>
          <w:color w:val="auto"/>
          <w:sz w:val="24"/>
          <w:szCs w:val="24"/>
          <w:highlight w:val="none"/>
          <w:u w:val="single" w:color="auto"/>
          <w:lang w:eastAsia="zh-CN"/>
        </w:rPr>
        <w:t>松木</w:t>
      </w:r>
      <w:r>
        <w:rPr>
          <w:rFonts w:hint="eastAsia" w:ascii="Times New Roman" w:hAnsi="Times New Roman" w:eastAsia="宋体" w:cs="Times New Roman"/>
          <w:color w:val="auto"/>
          <w:sz w:val="24"/>
          <w:szCs w:val="24"/>
          <w:highlight w:val="none"/>
          <w:u w:val="single" w:color="auto"/>
        </w:rPr>
        <w:t>分局主持召开了《</w:t>
      </w:r>
      <w:r>
        <w:rPr>
          <w:rFonts w:hint="default" w:ascii="Times New Roman" w:hAnsi="Times New Roman" w:eastAsia="宋体" w:cs="Times New Roman"/>
          <w:color w:val="auto"/>
          <w:sz w:val="24"/>
          <w:szCs w:val="24"/>
          <w:highlight w:val="none"/>
          <w:u w:val="single" w:color="auto"/>
          <w:lang w:eastAsia="zh-CN"/>
        </w:rPr>
        <w:t>湖南昂拓科技有限责任公司年产1000万件超硬材料制品建设项目</w:t>
      </w:r>
      <w:r>
        <w:rPr>
          <w:rFonts w:hint="default" w:ascii="Times New Roman" w:hAnsi="Times New Roman" w:eastAsia="宋体" w:cs="Times New Roman"/>
          <w:color w:val="auto"/>
          <w:sz w:val="24"/>
          <w:szCs w:val="24"/>
          <w:highlight w:val="none"/>
          <w:u w:val="single" w:color="auto"/>
        </w:rPr>
        <w:t>环境影响报告书</w:t>
      </w:r>
      <w:r>
        <w:rPr>
          <w:rFonts w:hint="eastAsia" w:ascii="Times New Roman" w:hAnsi="Times New Roman" w:eastAsia="宋体" w:cs="Times New Roman"/>
          <w:color w:val="auto"/>
          <w:sz w:val="24"/>
          <w:szCs w:val="24"/>
          <w:highlight w:val="none"/>
          <w:u w:val="single" w:color="auto"/>
        </w:rPr>
        <w:t>》技术评审会，并形成了专家评审意见，会后，我公司根据专家评审意见进行了认真修改、校核，形成了《</w:t>
      </w:r>
      <w:r>
        <w:rPr>
          <w:rFonts w:hint="default" w:ascii="Times New Roman" w:hAnsi="Times New Roman" w:eastAsia="宋体" w:cs="Times New Roman"/>
          <w:color w:val="auto"/>
          <w:sz w:val="24"/>
          <w:szCs w:val="24"/>
          <w:highlight w:val="none"/>
          <w:u w:val="single" w:color="auto"/>
          <w:lang w:eastAsia="zh-CN"/>
        </w:rPr>
        <w:t>湖南昂拓科技有限责任公司年产1000万件超硬材料制品建设项目</w:t>
      </w:r>
      <w:r>
        <w:rPr>
          <w:rFonts w:hint="default" w:ascii="Times New Roman" w:hAnsi="Times New Roman" w:eastAsia="宋体" w:cs="Times New Roman"/>
          <w:color w:val="auto"/>
          <w:sz w:val="24"/>
          <w:szCs w:val="24"/>
          <w:highlight w:val="none"/>
          <w:u w:val="single" w:color="auto"/>
        </w:rPr>
        <w:t>环境影响报告书</w:t>
      </w:r>
      <w:r>
        <w:rPr>
          <w:rFonts w:hint="eastAsia" w:ascii="Times New Roman" w:hAnsi="Times New Roman" w:eastAsia="宋体" w:cs="Times New Roman"/>
          <w:color w:val="auto"/>
          <w:sz w:val="24"/>
          <w:szCs w:val="24"/>
          <w:highlight w:val="none"/>
          <w:u w:val="single" w:color="auto"/>
        </w:rPr>
        <w:t>》（报批稿），供建设单位上报审批。</w:t>
      </w:r>
    </w:p>
    <w:p w14:paraId="1CA5B619">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3" w:name="_Toc4700"/>
      <w:r>
        <w:rPr>
          <w:rFonts w:hint="default" w:ascii="Times New Roman" w:hAnsi="Times New Roman" w:eastAsia="宋体" w:cs="Times New Roman"/>
          <w:color w:val="auto"/>
          <w:sz w:val="28"/>
          <w:szCs w:val="28"/>
          <w:highlight w:val="none"/>
          <w:u w:val="none" w:color="auto"/>
        </w:rPr>
        <w:t>1.2项目特点</w:t>
      </w:r>
      <w:bookmarkEnd w:id="3"/>
    </w:p>
    <w:p w14:paraId="5F071E9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single" w:color="auto"/>
          <w:lang w:eastAsia="zh-CN"/>
        </w:rPr>
        <w:t>昂拓公司</w:t>
      </w:r>
      <w:r>
        <w:rPr>
          <w:rFonts w:hint="default" w:ascii="Times New Roman" w:hAnsi="Times New Roman" w:eastAsia="宋体" w:cs="Times New Roman"/>
          <w:color w:val="auto"/>
          <w:sz w:val="24"/>
          <w:szCs w:val="24"/>
          <w:highlight w:val="none"/>
          <w:u w:val="single" w:color="auto"/>
        </w:rPr>
        <w:t>位于</w:t>
      </w:r>
      <w:r>
        <w:rPr>
          <w:rFonts w:hint="default" w:ascii="Times New Roman" w:hAnsi="Times New Roman" w:eastAsia="宋体" w:cs="Times New Roman"/>
          <w:color w:val="auto"/>
          <w:sz w:val="24"/>
          <w:szCs w:val="24"/>
          <w:highlight w:val="none"/>
          <w:u w:val="single" w:color="auto"/>
          <w:lang w:eastAsia="zh-CN"/>
        </w:rPr>
        <w:t>湖南省衡阳市石鼓区</w:t>
      </w:r>
      <w:r>
        <w:rPr>
          <w:rFonts w:hint="default" w:ascii="Times New Roman" w:hAnsi="Times New Roman" w:eastAsia="宋体" w:cs="Times New Roman"/>
          <w:color w:val="auto"/>
          <w:kern w:val="0"/>
          <w:sz w:val="24"/>
          <w:szCs w:val="24"/>
          <w:highlight w:val="none"/>
          <w:u w:val="single" w:color="auto"/>
          <w:lang w:eastAsia="zh-CN"/>
        </w:rPr>
        <w:t>松木经济开发区松枫路</w:t>
      </w:r>
      <w:r>
        <w:rPr>
          <w:rFonts w:hint="default" w:ascii="Times New Roman" w:hAnsi="Times New Roman" w:eastAsia="宋体" w:cs="Times New Roman"/>
          <w:color w:val="auto"/>
          <w:sz w:val="24"/>
          <w:szCs w:val="24"/>
          <w:highlight w:val="none"/>
          <w:u w:val="single" w:color="auto"/>
        </w:rPr>
        <w:t>，主要</w:t>
      </w:r>
      <w:r>
        <w:rPr>
          <w:rFonts w:hint="default" w:ascii="Times New Roman" w:hAnsi="Times New Roman" w:eastAsia="宋体" w:cs="Times New Roman"/>
          <w:color w:val="auto"/>
          <w:sz w:val="24"/>
          <w:szCs w:val="24"/>
          <w:highlight w:val="none"/>
          <w:u w:val="single" w:color="auto"/>
          <w:lang w:eastAsia="zh-CN"/>
        </w:rPr>
        <w:t>生产超硬材料制品</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eastAsia="zh-CN"/>
        </w:rPr>
        <w:t>并涉及电镀工序，</w:t>
      </w:r>
      <w:r>
        <w:rPr>
          <w:rFonts w:hint="default" w:ascii="Times New Roman" w:hAnsi="Times New Roman" w:eastAsia="宋体" w:cs="Times New Roman"/>
          <w:color w:val="auto"/>
          <w:sz w:val="24"/>
          <w:szCs w:val="24"/>
          <w:highlight w:val="none"/>
          <w:u w:val="single" w:color="auto"/>
        </w:rPr>
        <w:t>镀种及电镀规模为：镀</w:t>
      </w:r>
      <w:r>
        <w:rPr>
          <w:rFonts w:hint="default" w:ascii="Times New Roman" w:hAnsi="Times New Roman" w:eastAsia="宋体" w:cs="Times New Roman"/>
          <w:color w:val="auto"/>
          <w:sz w:val="24"/>
          <w:szCs w:val="24"/>
          <w:highlight w:val="none"/>
          <w:u w:val="single" w:color="auto"/>
          <w:lang w:eastAsia="zh-CN"/>
        </w:rPr>
        <w:t>锌</w:t>
      </w:r>
      <w:r>
        <w:rPr>
          <w:rFonts w:hint="default" w:ascii="Times New Roman" w:hAnsi="Times New Roman" w:eastAsia="宋体" w:cs="Times New Roman"/>
          <w:color w:val="auto"/>
          <w:sz w:val="24"/>
          <w:szCs w:val="24"/>
          <w:highlight w:val="none"/>
          <w:u w:val="single" w:color="auto"/>
        </w:rPr>
        <w:t>3</w:t>
      </w:r>
      <w:r>
        <w:rPr>
          <w:rFonts w:hint="default" w:ascii="Times New Roman" w:hAnsi="Times New Roman" w:eastAsia="宋体" w:cs="Times New Roman"/>
          <w:color w:val="auto"/>
          <w:sz w:val="24"/>
          <w:szCs w:val="24"/>
          <w:highlight w:val="none"/>
          <w:u w:val="single" w:color="auto"/>
          <w:lang w:val="en-US" w:eastAsia="zh-CN"/>
        </w:rPr>
        <w:t>0000</w:t>
      </w:r>
      <w:r>
        <w:rPr>
          <w:rFonts w:hint="default" w:ascii="Times New Roman" w:hAnsi="Times New Roman" w:eastAsia="宋体" w:cs="Times New Roman"/>
          <w:color w:val="auto"/>
          <w:sz w:val="24"/>
          <w:szCs w:val="24"/>
          <w:highlight w:val="none"/>
          <w:u w:val="single" w:color="auto"/>
        </w:rPr>
        <w:t>m</w:t>
      </w:r>
      <w:r>
        <w:rPr>
          <w:rFonts w:hint="default" w:ascii="Times New Roman" w:hAnsi="Times New Roman" w:eastAsia="宋体" w:cs="Times New Roman"/>
          <w:color w:val="auto"/>
          <w:sz w:val="24"/>
          <w:szCs w:val="24"/>
          <w:highlight w:val="none"/>
          <w:u w:val="single" w:color="auto"/>
          <w:vertAlign w:val="superscript"/>
        </w:rPr>
        <w:t>2</w:t>
      </w:r>
      <w:r>
        <w:rPr>
          <w:rFonts w:hint="default" w:ascii="Times New Roman" w:hAnsi="Times New Roman" w:eastAsia="宋体" w:cs="Times New Roman"/>
          <w:color w:val="auto"/>
          <w:sz w:val="24"/>
          <w:szCs w:val="24"/>
          <w:highlight w:val="none"/>
          <w:u w:val="single" w:color="auto"/>
        </w:rPr>
        <w:t>/a</w:t>
      </w:r>
      <w:r>
        <w:rPr>
          <w:rFonts w:hint="default" w:ascii="Times New Roman" w:hAnsi="Times New Roman" w:eastAsia="宋体" w:cs="Times New Roman"/>
          <w:color w:val="auto"/>
          <w:sz w:val="24"/>
          <w:szCs w:val="24"/>
          <w:highlight w:val="none"/>
          <w:u w:val="single" w:color="auto"/>
          <w:lang w:eastAsia="zh-CN"/>
        </w:rPr>
        <w:t>，镀镍</w:t>
      </w:r>
      <w:r>
        <w:rPr>
          <w:rFonts w:hint="default" w:ascii="Times New Roman" w:hAnsi="Times New Roman" w:eastAsia="宋体" w:cs="Times New Roman"/>
          <w:color w:val="auto"/>
          <w:sz w:val="24"/>
          <w:szCs w:val="24"/>
          <w:highlight w:val="none"/>
          <w:u w:val="single" w:color="auto"/>
          <w:lang w:val="en-US" w:eastAsia="zh-CN"/>
        </w:rPr>
        <w:t>195640</w:t>
      </w:r>
      <w:r>
        <w:rPr>
          <w:rFonts w:hint="default" w:ascii="Times New Roman" w:hAnsi="Times New Roman" w:eastAsia="宋体" w:cs="Times New Roman"/>
          <w:color w:val="auto"/>
          <w:sz w:val="24"/>
          <w:szCs w:val="24"/>
          <w:highlight w:val="none"/>
          <w:u w:val="single" w:color="auto"/>
        </w:rPr>
        <w:t>m</w:t>
      </w:r>
      <w:r>
        <w:rPr>
          <w:rFonts w:hint="default" w:ascii="Times New Roman" w:hAnsi="Times New Roman" w:eastAsia="宋体" w:cs="Times New Roman"/>
          <w:color w:val="auto"/>
          <w:sz w:val="24"/>
          <w:szCs w:val="24"/>
          <w:highlight w:val="none"/>
          <w:u w:val="single" w:color="auto"/>
          <w:vertAlign w:val="superscript"/>
        </w:rPr>
        <w:t>2</w:t>
      </w:r>
      <w:r>
        <w:rPr>
          <w:rFonts w:hint="default" w:ascii="Times New Roman" w:hAnsi="Times New Roman" w:eastAsia="宋体" w:cs="Times New Roman"/>
          <w:color w:val="auto"/>
          <w:sz w:val="24"/>
          <w:szCs w:val="24"/>
          <w:highlight w:val="none"/>
          <w:u w:val="single" w:color="auto"/>
        </w:rPr>
        <w:t>/a</w:t>
      </w:r>
      <w:r>
        <w:rPr>
          <w:rFonts w:hint="default" w:ascii="Times New Roman" w:hAnsi="Times New Roman" w:eastAsia="宋体" w:cs="Times New Roman"/>
          <w:color w:val="auto"/>
          <w:sz w:val="24"/>
          <w:szCs w:val="24"/>
          <w:highlight w:val="none"/>
          <w:u w:val="single" w:color="auto"/>
          <w:lang w:eastAsia="zh-CN"/>
        </w:rPr>
        <w:t>，镀铜</w:t>
      </w:r>
      <w:r>
        <w:rPr>
          <w:rFonts w:hint="default" w:ascii="Times New Roman" w:hAnsi="Times New Roman" w:eastAsia="宋体" w:cs="Times New Roman"/>
          <w:color w:val="auto"/>
          <w:sz w:val="24"/>
          <w:szCs w:val="24"/>
          <w:highlight w:val="none"/>
          <w:u w:val="single" w:color="auto"/>
          <w:lang w:val="en-US" w:eastAsia="zh-CN"/>
        </w:rPr>
        <w:t>82820</w:t>
      </w:r>
      <w:r>
        <w:rPr>
          <w:rFonts w:hint="default" w:ascii="Times New Roman" w:hAnsi="Times New Roman" w:eastAsia="宋体" w:cs="Times New Roman"/>
          <w:color w:val="auto"/>
          <w:sz w:val="24"/>
          <w:szCs w:val="24"/>
          <w:highlight w:val="none"/>
          <w:u w:val="single" w:color="auto"/>
        </w:rPr>
        <w:t>m</w:t>
      </w:r>
      <w:r>
        <w:rPr>
          <w:rFonts w:hint="default" w:ascii="Times New Roman" w:hAnsi="Times New Roman" w:eastAsia="宋体" w:cs="Times New Roman"/>
          <w:color w:val="auto"/>
          <w:sz w:val="24"/>
          <w:szCs w:val="24"/>
          <w:highlight w:val="none"/>
          <w:u w:val="single" w:color="auto"/>
          <w:vertAlign w:val="superscript"/>
        </w:rPr>
        <w:t>2</w:t>
      </w:r>
      <w:r>
        <w:rPr>
          <w:rFonts w:hint="default" w:ascii="Times New Roman" w:hAnsi="Times New Roman" w:eastAsia="宋体" w:cs="Times New Roman"/>
          <w:color w:val="auto"/>
          <w:sz w:val="24"/>
          <w:szCs w:val="24"/>
          <w:highlight w:val="none"/>
          <w:u w:val="single" w:color="auto"/>
        </w:rPr>
        <w:t>/a</w:t>
      </w:r>
      <w:r>
        <w:rPr>
          <w:rFonts w:hint="eastAsia" w:ascii="Times New Roman" w:hAnsi="Times New Roman" w:eastAsia="宋体" w:cs="Times New Roman"/>
          <w:color w:val="auto"/>
          <w:sz w:val="24"/>
          <w:szCs w:val="24"/>
          <w:highlight w:val="none"/>
          <w:u w:val="single" w:color="auto"/>
          <w:lang w:eastAsia="zh-CN"/>
        </w:rPr>
        <w:t>，</w:t>
      </w:r>
      <w:r>
        <w:rPr>
          <w:rFonts w:hint="eastAsia" w:ascii="Times New Roman" w:hAnsi="Times New Roman" w:eastAsia="宋体" w:cs="Times New Roman"/>
          <w:color w:val="auto"/>
          <w:sz w:val="24"/>
          <w:szCs w:val="24"/>
          <w:highlight w:val="none"/>
          <w:u w:val="single" w:color="auto"/>
          <w:lang w:val="en-US" w:eastAsia="zh-CN"/>
        </w:rPr>
        <w:t>总电镀面积308460平方米，本项目已取得湖南衡阳松木经济开发区管理委员会出局的《关于同意调剂电镀产能指标的函》（见附件9）：同意从园区总电镀产能指标中调剂31万平方米给</w:t>
      </w:r>
      <w:r>
        <w:rPr>
          <w:rFonts w:hint="default" w:ascii="Times New Roman" w:hAnsi="Times New Roman" w:eastAsia="宋体" w:cs="Times New Roman"/>
          <w:color w:val="auto"/>
          <w:sz w:val="24"/>
          <w:szCs w:val="24"/>
          <w:highlight w:val="none"/>
          <w:u w:val="single" w:color="auto"/>
          <w:lang w:eastAsia="zh-CN"/>
        </w:rPr>
        <w:t>昂拓公司</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none" w:color="auto"/>
        </w:rPr>
        <w:t>本项目符合国家及地方产业政策；项目符合</w:t>
      </w:r>
      <w:r>
        <w:rPr>
          <w:rFonts w:hint="default" w:ascii="Times New Roman" w:hAnsi="Times New Roman" w:eastAsia="宋体" w:cs="Times New Roman"/>
          <w:color w:val="auto"/>
          <w:sz w:val="24"/>
          <w:szCs w:val="24"/>
          <w:highlight w:val="none"/>
          <w:u w:val="none" w:color="auto"/>
          <w:lang w:eastAsia="zh-CN"/>
        </w:rPr>
        <w:t>衡阳松木经济开发区</w:t>
      </w:r>
      <w:r>
        <w:rPr>
          <w:rFonts w:hint="default" w:ascii="Times New Roman" w:hAnsi="Times New Roman" w:eastAsia="宋体" w:cs="Times New Roman"/>
          <w:color w:val="auto"/>
          <w:sz w:val="24"/>
          <w:szCs w:val="24"/>
          <w:highlight w:val="none"/>
          <w:u w:val="none" w:color="auto"/>
        </w:rPr>
        <w:t>产业定位、总体规划、及准入条件</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项目符合《湖南省“三线一单”生态环境总体管控要求暨省级以上产业园区生态环境准入清单》</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《湖南省湘江保护条例》</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项目用地性质为三类工业用地，用地符合规划要求，平面布置基本合理，项目选址可行。</w:t>
      </w:r>
    </w:p>
    <w:p w14:paraId="341E3952">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4" w:name="_Toc4219"/>
      <w:r>
        <w:rPr>
          <w:rFonts w:hint="default" w:ascii="Times New Roman" w:hAnsi="Times New Roman" w:eastAsia="宋体" w:cs="Times New Roman"/>
          <w:color w:val="auto"/>
          <w:sz w:val="28"/>
          <w:szCs w:val="28"/>
          <w:highlight w:val="none"/>
          <w:u w:val="none" w:color="auto"/>
        </w:rPr>
        <w:t>1.3评价程序</w:t>
      </w:r>
      <w:bookmarkEnd w:id="4"/>
    </w:p>
    <w:p w14:paraId="48F98A5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我单位于202</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年</w:t>
      </w:r>
      <w:r>
        <w:rPr>
          <w:rFonts w:hint="default"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rPr>
        <w:t>月接受委托后，成立了工作小组，收集并研究了国家及湖南省相关法律法规文件，对项目区进行了多次实地勘察、收集和核实有关资料。202</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年</w:t>
      </w:r>
      <w:r>
        <w:rPr>
          <w:rFonts w:hint="default"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rPr>
        <w:t>月</w:t>
      </w:r>
      <w:r>
        <w:rPr>
          <w:rFonts w:hint="default" w:ascii="Times New Roman" w:hAnsi="Times New Roman" w:eastAsia="宋体" w:cs="Times New Roman"/>
          <w:color w:val="auto"/>
          <w:sz w:val="24"/>
          <w:szCs w:val="24"/>
          <w:highlight w:val="none"/>
          <w:u w:val="none" w:color="auto"/>
          <w:lang w:val="en-US" w:eastAsia="zh-CN"/>
        </w:rPr>
        <w:t>23</w:t>
      </w:r>
      <w:r>
        <w:rPr>
          <w:rFonts w:hint="default" w:ascii="Times New Roman" w:hAnsi="Times New Roman" w:eastAsia="宋体" w:cs="Times New Roman"/>
          <w:color w:val="auto"/>
          <w:sz w:val="24"/>
          <w:szCs w:val="24"/>
          <w:highlight w:val="none"/>
          <w:u w:val="none" w:color="auto"/>
        </w:rPr>
        <w:t>日建设单位在</w:t>
      </w:r>
      <w:r>
        <w:rPr>
          <w:rFonts w:hint="default" w:ascii="Times New Roman" w:hAnsi="Times New Roman" w:eastAsia="宋体" w:cs="Times New Roman"/>
          <w:color w:val="auto"/>
          <w:sz w:val="24"/>
          <w:szCs w:val="24"/>
          <w:highlight w:val="none"/>
          <w:u w:val="none" w:color="auto"/>
          <w:lang w:eastAsia="zh-CN"/>
        </w:rPr>
        <w:t>环境影响评价信息公示平台</w:t>
      </w:r>
      <w:r>
        <w:rPr>
          <w:rFonts w:hint="default" w:ascii="Times New Roman" w:hAnsi="Times New Roman" w:eastAsia="宋体" w:cs="Times New Roman"/>
          <w:color w:val="auto"/>
          <w:sz w:val="24"/>
          <w:szCs w:val="24"/>
          <w:highlight w:val="none"/>
          <w:u w:val="none" w:color="auto"/>
        </w:rPr>
        <w:t>进行了环境影响报告书首次信息公示。在相关资料收齐后，环评单位编制完成了环境影响报告书（送审稿），供建设单位上报审批。</w:t>
      </w:r>
    </w:p>
    <w:p w14:paraId="7322B67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评价工作程序严格按照《环境影响评价导则》进行，工作程序详见下图：</w:t>
      </w:r>
    </w:p>
    <w:p w14:paraId="57C59E5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object>
          <v:shape id="_x0000_i1025" o:spt="75" type="#_x0000_t75" style="height:486pt;width:414pt;" o:ole="t" filled="f" o:preferrelative="t" stroked="f" coordsize="21600,21600">
            <v:path/>
            <v:fill on="f" focussize="0,0"/>
            <v:stroke on="f"/>
            <v:imagedata r:id="rId16" o:title=""/>
            <o:lock v:ext="edit" aspectratio="t"/>
            <w10:wrap type="none"/>
            <w10:anchorlock/>
          </v:shape>
          <o:OLEObject Type="Embed" ProgID="Visio.Drawing.11" ShapeID="_x0000_i1025" DrawAspect="Content" ObjectID="_1468075725" r:id="rId15">
            <o:LockedField>false</o:LockedField>
          </o:OLEObject>
        </w:object>
      </w:r>
      <w:r>
        <w:rPr>
          <w:rFonts w:hint="default" w:ascii="Times New Roman" w:hAnsi="Times New Roman" w:eastAsia="宋体" w:cs="Times New Roman"/>
          <w:b/>
          <w:color w:val="auto"/>
          <w:sz w:val="21"/>
          <w:szCs w:val="21"/>
          <w:highlight w:val="none"/>
          <w:u w:val="none" w:color="auto"/>
        </w:rPr>
        <w:t>图1.3-1  环境影响评价工作图</w:t>
      </w:r>
    </w:p>
    <w:p w14:paraId="1545A72C">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5" w:name="_Toc25467"/>
      <w:r>
        <w:rPr>
          <w:rFonts w:hint="default" w:ascii="Times New Roman" w:hAnsi="Times New Roman" w:eastAsia="宋体" w:cs="Times New Roman"/>
          <w:color w:val="auto"/>
          <w:sz w:val="28"/>
          <w:szCs w:val="28"/>
          <w:highlight w:val="none"/>
          <w:u w:val="none" w:color="auto"/>
        </w:rPr>
        <w:t>1.4本次评价关注的主要环境问题</w:t>
      </w:r>
      <w:bookmarkEnd w:id="5"/>
    </w:p>
    <w:p w14:paraId="0B3EA2D6">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w:t>
      </w:r>
      <w:r>
        <w:rPr>
          <w:rFonts w:hint="default" w:ascii="Times New Roman" w:hAnsi="Times New Roman" w:eastAsia="宋体" w:cs="Times New Roman"/>
          <w:color w:val="auto"/>
          <w:sz w:val="24"/>
          <w:szCs w:val="24"/>
          <w:highlight w:val="none"/>
          <w:u w:val="none" w:color="auto"/>
          <w:lang w:eastAsia="zh-CN"/>
        </w:rPr>
        <w:t>含有电镀工序</w:t>
      </w:r>
      <w:r>
        <w:rPr>
          <w:rFonts w:hint="default" w:ascii="Times New Roman" w:hAnsi="Times New Roman" w:eastAsia="宋体" w:cs="Times New Roman"/>
          <w:color w:val="auto"/>
          <w:sz w:val="24"/>
          <w:szCs w:val="24"/>
          <w:highlight w:val="none"/>
          <w:u w:val="none" w:color="auto"/>
        </w:rPr>
        <w:t>，为污染型建设项目，主要环境问题为营运期环境污染及影响，营运期具体情况如下所示：</w:t>
      </w:r>
    </w:p>
    <w:p w14:paraId="223067C6">
      <w:pPr>
        <w:pageBreakBefore w:val="0"/>
        <w:numPr>
          <w:ilvl w:val="0"/>
          <w:numId w:val="1"/>
        </w:numPr>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废水：分析电镀废水中含</w:t>
      </w:r>
      <w:r>
        <w:rPr>
          <w:rFonts w:hint="default" w:ascii="Times New Roman" w:hAnsi="Times New Roman" w:eastAsia="宋体" w:cs="Times New Roman"/>
          <w:color w:val="auto"/>
          <w:sz w:val="24"/>
          <w:szCs w:val="24"/>
          <w:highlight w:val="none"/>
          <w:u w:val="none" w:color="auto"/>
          <w:lang w:eastAsia="zh-CN"/>
        </w:rPr>
        <w:t>重金属</w:t>
      </w:r>
      <w:r>
        <w:rPr>
          <w:rFonts w:hint="default" w:ascii="Times New Roman" w:hAnsi="Times New Roman" w:eastAsia="宋体" w:cs="Times New Roman"/>
          <w:color w:val="auto"/>
          <w:sz w:val="24"/>
          <w:szCs w:val="24"/>
          <w:highlight w:val="none"/>
          <w:u w:val="none" w:color="auto"/>
        </w:rPr>
        <w:t>废水、酸碱含油废水的处理措施、产排污情况、排放对周围环境的影响。重点分析废水达标可行性。</w:t>
      </w:r>
    </w:p>
    <w:p w14:paraId="60A4A2C3">
      <w:pPr>
        <w:pageBreakBefore w:val="0"/>
        <w:numPr>
          <w:ilvl w:val="0"/>
          <w:numId w:val="1"/>
        </w:numPr>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废气：氯化氢、硫酸雾</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VOCs</w:t>
      </w:r>
      <w:r>
        <w:rPr>
          <w:rFonts w:hint="default" w:ascii="Times New Roman" w:hAnsi="Times New Roman" w:eastAsia="宋体" w:cs="Times New Roman"/>
          <w:color w:val="auto"/>
          <w:sz w:val="24"/>
          <w:szCs w:val="24"/>
          <w:highlight w:val="none"/>
          <w:u w:val="none" w:color="auto"/>
        </w:rPr>
        <w:t>等大气污染物排放对周围环境的影响、治理措施。重点分析废气达标排放可行性。</w:t>
      </w:r>
    </w:p>
    <w:p w14:paraId="4A7BEA87">
      <w:pPr>
        <w:pageBreakBefore w:val="0"/>
        <w:numPr>
          <w:ilvl w:val="0"/>
          <w:numId w:val="1"/>
        </w:numPr>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噪声：生产线运行时产生的噪声、废气处理风机等噪声对周围环境的影响。</w:t>
      </w:r>
    </w:p>
    <w:p w14:paraId="28E25AE3">
      <w:pPr>
        <w:pageBreakBefore w:val="0"/>
        <w:numPr>
          <w:ilvl w:val="0"/>
          <w:numId w:val="1"/>
        </w:numPr>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固废：</w:t>
      </w:r>
      <w:r>
        <w:rPr>
          <w:rFonts w:hint="default" w:ascii="Times New Roman" w:hAnsi="Times New Roman" w:eastAsia="宋体" w:cs="Times New Roman"/>
          <w:color w:val="auto"/>
          <w:sz w:val="24"/>
          <w:szCs w:val="24"/>
          <w:highlight w:val="none"/>
          <w:u w:val="none" w:color="auto"/>
          <w:lang w:eastAsia="zh-CN"/>
        </w:rPr>
        <w:t>废活性炭</w:t>
      </w:r>
      <w:r>
        <w:rPr>
          <w:rFonts w:hint="default" w:ascii="Times New Roman" w:hAnsi="Times New Roman" w:eastAsia="宋体" w:cs="Times New Roman"/>
          <w:color w:val="auto"/>
          <w:sz w:val="24"/>
          <w:szCs w:val="24"/>
          <w:highlight w:val="none"/>
          <w:u w:val="none" w:color="auto"/>
        </w:rPr>
        <w:t>、废槽渣、生活垃圾等固废对周围环境的影响。</w:t>
      </w:r>
    </w:p>
    <w:p w14:paraId="31339B4C">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6" w:name="_Toc31314"/>
      <w:r>
        <w:rPr>
          <w:rFonts w:hint="default" w:ascii="Times New Roman" w:hAnsi="Times New Roman" w:eastAsia="宋体" w:cs="Times New Roman"/>
          <w:color w:val="auto"/>
          <w:sz w:val="28"/>
          <w:szCs w:val="28"/>
          <w:highlight w:val="none"/>
          <w:u w:val="none" w:color="auto"/>
        </w:rPr>
        <w:t>1.5主要结论</w:t>
      </w:r>
      <w:bookmarkEnd w:id="6"/>
    </w:p>
    <w:p w14:paraId="299CB89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本项目为</w:t>
      </w:r>
      <w:r>
        <w:rPr>
          <w:rFonts w:hint="default" w:ascii="Times New Roman" w:hAnsi="Times New Roman" w:eastAsia="宋体" w:cs="Times New Roman"/>
          <w:color w:val="auto"/>
          <w:kern w:val="0"/>
          <w:sz w:val="24"/>
          <w:szCs w:val="24"/>
          <w:highlight w:val="none"/>
          <w:u w:val="none" w:color="auto"/>
          <w:lang w:eastAsia="zh-CN"/>
        </w:rPr>
        <w:t>新建项目，</w:t>
      </w:r>
      <w:r>
        <w:rPr>
          <w:rFonts w:hint="default" w:ascii="Times New Roman" w:hAnsi="Times New Roman" w:eastAsia="宋体" w:cs="Times New Roman"/>
          <w:color w:val="auto"/>
          <w:sz w:val="24"/>
          <w:szCs w:val="24"/>
          <w:highlight w:val="none"/>
          <w:u w:val="none" w:color="auto"/>
        </w:rPr>
        <w:t>符合国家及地方产业政策；符合</w:t>
      </w:r>
      <w:r>
        <w:rPr>
          <w:rFonts w:hint="default" w:ascii="Times New Roman" w:hAnsi="Times New Roman" w:eastAsia="宋体" w:cs="Times New Roman"/>
          <w:color w:val="auto"/>
          <w:sz w:val="24"/>
          <w:szCs w:val="24"/>
          <w:highlight w:val="none"/>
          <w:u w:val="none" w:color="auto"/>
          <w:lang w:eastAsia="zh-CN"/>
        </w:rPr>
        <w:t>衡阳松木经济开发区</w:t>
      </w:r>
      <w:r>
        <w:rPr>
          <w:rFonts w:hint="default" w:ascii="Times New Roman" w:hAnsi="Times New Roman" w:eastAsia="宋体" w:cs="Times New Roman"/>
          <w:color w:val="auto"/>
          <w:sz w:val="24"/>
          <w:szCs w:val="24"/>
          <w:highlight w:val="none"/>
          <w:u w:val="none" w:color="auto"/>
        </w:rPr>
        <w:t>扩区产业定位、总体规划、及准入条件；项目符合《湖南省“三线一单”生态环境总体管控要求暨省级以上产业园区生态环境准入清单》</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《湖南省湘江保护条例》</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项目用地性质为三类工业用地，用地符合规划要求，项目选址可行。</w:t>
      </w:r>
    </w:p>
    <w:p w14:paraId="4F66820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在认真落实各项环境保护措施后，污染物可以达标排放；项目建成后对周围环境的影响是可以接受的，不会改变项目周边当前环境空气、地下水环境、地表水环境、声环境等环境要素的功能区域要求；排放总量满足总量控制指标要求。本项目的建设有利于促进区域经济可持续发展。在实施污染物排放总量控制、落实报告书提出的各项环保措施、做好风险防范措施和应急预案的基础上，本项目建设不会对周围环境产生明显影响。</w:t>
      </w:r>
    </w:p>
    <w:p w14:paraId="7CC8E3E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因此，从环境保护角度而言，本项目的建设是可行的。</w:t>
      </w:r>
    </w:p>
    <w:p w14:paraId="682C584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p>
    <w:p w14:paraId="2A9104E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5D92D61">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rPr>
      </w:pPr>
      <w:bookmarkStart w:id="7" w:name="_Toc24182"/>
      <w:bookmarkStart w:id="8" w:name="_Toc480366180"/>
      <w:r>
        <w:rPr>
          <w:rFonts w:hint="default" w:ascii="Times New Roman" w:hAnsi="Times New Roman" w:eastAsia="宋体" w:cs="Times New Roman"/>
          <w:color w:val="auto"/>
          <w:sz w:val="32"/>
          <w:szCs w:val="32"/>
          <w:highlight w:val="none"/>
          <w:u w:val="none" w:color="auto"/>
        </w:rPr>
        <w:t>2总则</w:t>
      </w:r>
      <w:bookmarkEnd w:id="7"/>
      <w:bookmarkEnd w:id="8"/>
    </w:p>
    <w:p w14:paraId="359372E6">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9" w:name="_Toc28549"/>
      <w:r>
        <w:rPr>
          <w:rFonts w:hint="default" w:ascii="Times New Roman" w:hAnsi="Times New Roman" w:eastAsia="宋体" w:cs="Times New Roman"/>
          <w:color w:val="auto"/>
          <w:sz w:val="28"/>
          <w:szCs w:val="28"/>
          <w:highlight w:val="none"/>
          <w:u w:val="none" w:color="auto"/>
        </w:rPr>
        <w:t>2.1编制依据</w:t>
      </w:r>
      <w:bookmarkEnd w:id="9"/>
    </w:p>
    <w:p w14:paraId="38ED4617">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2.1.1国家法律法规</w:t>
      </w:r>
    </w:p>
    <w:p w14:paraId="1773C83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（1）《中华人民共和国环境保护法》（2015年1月1日实施）；</w:t>
      </w:r>
    </w:p>
    <w:p w14:paraId="581F062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（2）《中华人民共和国环境影响评价法》（2018年12月29日实施）；</w:t>
      </w:r>
    </w:p>
    <w:p w14:paraId="0440FDE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（3）《中华人民共和国大气污染防治法》（2018年10月26日实施）；</w:t>
      </w:r>
    </w:p>
    <w:p w14:paraId="13CDDFF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（4）《中华人民共和国水污染防治法》（2018年1月1日施行）；</w:t>
      </w:r>
    </w:p>
    <w:p w14:paraId="6D10666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（5）《中华人民共和国水法》（2016年7月2日修订）；</w:t>
      </w:r>
    </w:p>
    <w:p w14:paraId="1265E85A">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（6）《</w:t>
      </w:r>
      <w:r>
        <w:rPr>
          <w:rFonts w:hint="eastAsia" w:ascii="Times New Roman" w:hAnsi="Times New Roman" w:eastAsia="宋体" w:cs="Times New Roman"/>
          <w:color w:val="auto"/>
          <w:sz w:val="24"/>
          <w:szCs w:val="24"/>
          <w:highlight w:val="none"/>
          <w:u w:val="none" w:color="auto"/>
          <w:lang w:eastAsia="zh-CN"/>
        </w:rPr>
        <w:t>中华人民共和国噪声污染防治法##2022年6月</w:t>
      </w:r>
      <w:r>
        <w:rPr>
          <w:rFonts w:hint="default" w:ascii="Times New Roman" w:hAnsi="Times New Roman" w:eastAsia="宋体" w:cs="Times New Roman"/>
          <w:color w:val="auto"/>
          <w:sz w:val="24"/>
          <w:szCs w:val="24"/>
          <w:highlight w:val="none"/>
          <w:u w:val="none" w:color="auto"/>
        </w:rPr>
        <w:t>》（2018年12月29日实施）；</w:t>
      </w:r>
    </w:p>
    <w:p w14:paraId="7357E81A">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（7）《</w:t>
      </w:r>
      <w:bookmarkStart w:id="10" w:name="OLE_LINK16"/>
      <w:bookmarkStart w:id="11" w:name="OLE_LINK17"/>
      <w:r>
        <w:rPr>
          <w:rFonts w:hint="default" w:ascii="Times New Roman" w:hAnsi="Times New Roman" w:eastAsia="宋体" w:cs="Times New Roman"/>
          <w:color w:val="auto"/>
          <w:sz w:val="24"/>
          <w:szCs w:val="24"/>
          <w:highlight w:val="none"/>
          <w:u w:val="none" w:color="auto"/>
        </w:rPr>
        <w:t>中华人民共和国固体废物污染环境防治法</w:t>
      </w:r>
      <w:bookmarkEnd w:id="10"/>
      <w:bookmarkEnd w:id="11"/>
      <w:r>
        <w:rPr>
          <w:rFonts w:hint="default" w:ascii="Times New Roman" w:hAnsi="Times New Roman" w:eastAsia="宋体" w:cs="Times New Roman"/>
          <w:color w:val="auto"/>
          <w:sz w:val="24"/>
          <w:szCs w:val="24"/>
          <w:highlight w:val="none"/>
          <w:u w:val="none" w:color="auto"/>
        </w:rPr>
        <w:t>》（2020年9月1日起施行）；</w:t>
      </w:r>
    </w:p>
    <w:p w14:paraId="23F3994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（8）《中华人民共和国土壤污染防治法》（2019年1月1日实施）；</w:t>
      </w:r>
    </w:p>
    <w:p w14:paraId="2584253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（9）《中华人民共和国清洁生产促进法》（ 2012年7月1日实施）；</w:t>
      </w:r>
    </w:p>
    <w:p w14:paraId="702102E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（10）《中华人民共和国水土保持法》（2011年3月1日实施）；</w:t>
      </w:r>
    </w:p>
    <w:p w14:paraId="5E84D12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（11）《中华人民共和国长江保护法》（2021年3月1日起施行）；</w:t>
      </w:r>
    </w:p>
    <w:p w14:paraId="48EDBD9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（12）《建设项目环境保护管理条例》（2017年修订，</w:t>
      </w:r>
      <w:bookmarkStart w:id="12" w:name="_Hlk3488852"/>
      <w:r>
        <w:rPr>
          <w:rFonts w:hint="default" w:ascii="Times New Roman" w:hAnsi="Times New Roman" w:eastAsia="宋体" w:cs="Times New Roman"/>
          <w:color w:val="auto"/>
          <w:sz w:val="24"/>
          <w:szCs w:val="24"/>
          <w:highlight w:val="none"/>
          <w:u w:val="none" w:color="auto"/>
        </w:rPr>
        <w:t>国务院令2017年第682号</w:t>
      </w:r>
      <w:bookmarkEnd w:id="12"/>
      <w:r>
        <w:rPr>
          <w:rFonts w:hint="default" w:ascii="Times New Roman" w:hAnsi="Times New Roman" w:eastAsia="宋体" w:cs="Times New Roman"/>
          <w:color w:val="auto"/>
          <w:sz w:val="24"/>
          <w:szCs w:val="24"/>
          <w:highlight w:val="none"/>
          <w:u w:val="none" w:color="auto"/>
        </w:rPr>
        <w:t>）；</w:t>
      </w:r>
    </w:p>
    <w:p w14:paraId="3697CCA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（13）《建设项目环境影响评价分类管理名录（2021年版）》（2021年1月1日施行）；</w:t>
      </w:r>
    </w:p>
    <w:p w14:paraId="6C27330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（14）《国家危险废物名录（2021年版）》（2021年1月1日施行）；</w:t>
      </w:r>
    </w:p>
    <w:p w14:paraId="7A1A8E0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（15）《产业结构调整指导目录（2019年本）》（2020年1月1日施行）；</w:t>
      </w:r>
    </w:p>
    <w:p w14:paraId="26B38FEA">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（16）《关于进一步加强环境影响评价管理防范环境风险的通知》（2012年7月3日实施）；</w:t>
      </w:r>
    </w:p>
    <w:p w14:paraId="197488D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（17）《关于进一步加强环境监督管理严防发生污染事故的紧急通知》（2005年11月28日实施）；</w:t>
      </w:r>
    </w:p>
    <w:p w14:paraId="6DB6A7B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（18）《危险化学品重大危险源辨识》（2019年3月1日实施）；</w:t>
      </w:r>
    </w:p>
    <w:p w14:paraId="3816038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（19）《关于进一步加强环境监督管理严防发生污染事故的紧急通知》（2005年11月28日实施）；</w:t>
      </w:r>
    </w:p>
    <w:p w14:paraId="0E789C4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（20）《国务院关于印发大气污染防治行动计划的通知》（国发[2013]37号，2013年9月10日）；</w:t>
      </w:r>
    </w:p>
    <w:p w14:paraId="01A7EE6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（21）《国务院关于印发水污染防治行动计划的通知》（国发[2015]17号，2015年4月2日）；</w:t>
      </w:r>
    </w:p>
    <w:p w14:paraId="2AAF679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（22）《国务院关于印发土壤污染防治行动计划的通知》（国发[2016]31号，2016年5月28日）；</w:t>
      </w:r>
    </w:p>
    <w:p w14:paraId="51DF9CA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23</w:t>
      </w:r>
      <w:r>
        <w:rPr>
          <w:rFonts w:hint="default" w:ascii="Times New Roman" w:hAnsi="Times New Roman" w:eastAsia="宋体" w:cs="Times New Roman"/>
          <w:color w:val="auto"/>
          <w:sz w:val="24"/>
          <w:szCs w:val="24"/>
          <w:highlight w:val="none"/>
          <w:u w:val="none" w:color="auto"/>
        </w:rPr>
        <w:t>）《国务院安全生产委员会关于印发&lt;国务院安全生产委员会成员单位安全生产工作任务分工&gt;的通知》（安委〔2020〕10号）。</w:t>
      </w:r>
    </w:p>
    <w:p w14:paraId="4256F58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（24）《污染地块土壤环境管理办法（试行）》（部令第42号，2017年7月1日起施行）；</w:t>
      </w:r>
    </w:p>
    <w:p w14:paraId="62BAAF5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（25）《建设项目主要污染物排放总量指标审核及管理暂行办法》（环发[2014]197号，2014年12月30日）；</w:t>
      </w:r>
    </w:p>
    <w:p w14:paraId="24588F3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（26）关于印发《建设项目环境影响评价信息公开机制方案》的通知”（环发[2015]162号，国家环境保护部）；</w:t>
      </w:r>
    </w:p>
    <w:p w14:paraId="44590AE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（27）《关于以改善环境质量为核心加强环境影响评价管理的通知》（环环评[2016]150号）；</w:t>
      </w:r>
    </w:p>
    <w:p w14:paraId="2AD0907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（28）《国务院办公厅关于印发控制污染物排放许可制实施方案的通知》（国办发[2016]81号）；</w:t>
      </w:r>
    </w:p>
    <w:p w14:paraId="2CDBDE4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（29）《环境影响评价公众参与办法》（2019年1月1日实施）；</w:t>
      </w:r>
    </w:p>
    <w:p w14:paraId="05A6782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（30）《关于发布&lt;环境影响评价公众参与办法&gt;配套文件的公告》（生态环境部公告2018年第48号，2019年1月1日实施）；</w:t>
      </w:r>
    </w:p>
    <w:p w14:paraId="221AB82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（31）《</w:t>
      </w:r>
      <w:r>
        <w:rPr>
          <w:rFonts w:hint="default" w:ascii="Times New Roman" w:hAnsi="Times New Roman" w:eastAsia="宋体" w:cs="Times New Roman"/>
          <w:bCs/>
          <w:color w:val="auto"/>
          <w:sz w:val="24"/>
          <w:szCs w:val="24"/>
          <w:highlight w:val="none"/>
          <w:u w:val="none" w:color="auto"/>
        </w:rPr>
        <w:t>关于取消建设项目环境影响评价资质行政许可事项后续相关工作要求的公告（暂行）</w:t>
      </w:r>
      <w:r>
        <w:rPr>
          <w:rFonts w:hint="default" w:ascii="Times New Roman" w:hAnsi="Times New Roman" w:eastAsia="宋体" w:cs="Times New Roman"/>
          <w:color w:val="auto"/>
          <w:sz w:val="24"/>
          <w:szCs w:val="24"/>
          <w:highlight w:val="none"/>
          <w:u w:val="none" w:color="auto"/>
        </w:rPr>
        <w:t>》（生态环境部公告2019年第2号，2019年1月21日实施）；</w:t>
      </w:r>
    </w:p>
    <w:p w14:paraId="7AB6876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（32）《危险化学品安全管理条例》（国务院令第591号，2011年2月）；</w:t>
      </w:r>
    </w:p>
    <w:p w14:paraId="1B913CD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（33）《危险化学品名录》（2015版）；</w:t>
      </w:r>
    </w:p>
    <w:p w14:paraId="20FD749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（34）《长江经济带生态环境保护规划》（环规财〔2017〕88号，2017年7月17日）；</w:t>
      </w:r>
    </w:p>
    <w:p w14:paraId="682B082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（35）《关于做好固定污染源排污许可清理整顿和2020年排污许可发证登记工作的通知》（生态环境部办公厅，2019年12月20日）；</w:t>
      </w:r>
    </w:p>
    <w:p w14:paraId="22658F3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（36）《固定污染源排污许可分类管理名录（2019年版）》；</w:t>
      </w:r>
    </w:p>
    <w:p w14:paraId="59F3D7C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（37）《关于加强涉重金属行业污染防控的意见》（环土壤〔2018〕22号，2018年4月16日）；</w:t>
      </w:r>
    </w:p>
    <w:p w14:paraId="539160B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（38）《</w:t>
      </w:r>
      <w:r>
        <w:rPr>
          <w:rFonts w:hint="default" w:ascii="Times New Roman" w:hAnsi="Times New Roman" w:eastAsia="宋体" w:cs="Times New Roman"/>
          <w:bCs/>
          <w:color w:val="auto"/>
          <w:sz w:val="24"/>
          <w:szCs w:val="24"/>
          <w:highlight w:val="none"/>
          <w:u w:val="none" w:color="auto"/>
        </w:rPr>
        <w:t>关于加强重点行业建设项目区域削减措施监督管理的通知</w:t>
      </w:r>
      <w:r>
        <w:rPr>
          <w:rFonts w:hint="default" w:ascii="Times New Roman" w:hAnsi="Times New Roman" w:eastAsia="宋体" w:cs="Times New Roman"/>
          <w:color w:val="auto"/>
          <w:sz w:val="24"/>
          <w:szCs w:val="24"/>
          <w:highlight w:val="none"/>
          <w:u w:val="none" w:color="auto"/>
        </w:rPr>
        <w:t>》（环办环评〔2020〕36号，2020年12月31日）；</w:t>
      </w:r>
    </w:p>
    <w:p w14:paraId="37AEF0BB">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2.1.2地方性法规及相关政策文件</w:t>
      </w:r>
    </w:p>
    <w:p w14:paraId="19B596F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（1）《湖南省建设项目环境保护管理办法》（2007年10月1日施行）；</w:t>
      </w:r>
    </w:p>
    <w:p w14:paraId="30DCAD4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（2）《湖南省环境保护条例（2019修正）》（湖南省人大常委会，2020.1.1）；</w:t>
      </w:r>
    </w:p>
    <w:p w14:paraId="10B2CE5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（3）《湖南省贯彻落实大气污染防治行动计划实施细则的通知》（湘政办发[2013]77号）；</w:t>
      </w:r>
    </w:p>
    <w:p w14:paraId="5A2EAB69">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（4）《湖南省贯彻落实〈水污染防治行动计划〉实施方案（2016-2020年）》，湘政办发[2015]53号；</w:t>
      </w:r>
    </w:p>
    <w:p w14:paraId="653B07C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（5）《湖南省大气污染防治条例》（2017年6月1日起施行）；</w:t>
      </w:r>
    </w:p>
    <w:p w14:paraId="2214D19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（6）《湖南省主要水系地表水环境功能区划》（DB43/023-2005）；</w:t>
      </w:r>
    </w:p>
    <w:p w14:paraId="45CB875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（7）《湖南省人民政府关于公布湖南省县级以上地表水集中式饮用水水源保护区划定方案的通知》（湘政函[2016]176号）；</w:t>
      </w:r>
    </w:p>
    <w:p w14:paraId="7A92C3F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（8）《湖南省人民政府关于落实科学发展观切实加强环境保护的决定》，湘政发[2006]23号；</w:t>
      </w:r>
    </w:p>
    <w:p w14:paraId="7B04969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（9）《湖南省环境保护厅关于进一步规范我省固体（危险）废物转移管理的通知》（湘环发[2014]22号）；</w:t>
      </w:r>
    </w:p>
    <w:p w14:paraId="534F25B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（10）《湖南省生态环境厅关于执行污染物特别排放限值（第一批）的公告》（2018年10月29日）；</w:t>
      </w:r>
    </w:p>
    <w:p w14:paraId="2F0BB30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（11）《湖南省人民政府关于印发&lt;湖南省污染防治攻坚战三年行动计划（2018-2020年）&gt;的通知》（湘政发[2018]17号，2018年6月18日》；</w:t>
      </w:r>
    </w:p>
    <w:p w14:paraId="4E7FB5E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（12）《湖南省人民政府关于印发&lt;湖南省土壤污染防治工作方案&gt;的通知》（湘政发[2017]4号，2017年1月23日）；</w:t>
      </w:r>
    </w:p>
    <w:p w14:paraId="4F9B954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single" w:color="auto"/>
          <w:lang w:eastAsia="zh-CN"/>
        </w:rPr>
      </w:pPr>
      <w:r>
        <w:rPr>
          <w:rFonts w:hint="default" w:ascii="Times New Roman" w:hAnsi="Times New Roman" w:eastAsia="宋体" w:cs="Times New Roman"/>
          <w:bCs/>
          <w:color w:val="auto"/>
          <w:sz w:val="24"/>
          <w:szCs w:val="24"/>
          <w:highlight w:val="none"/>
          <w:u w:val="single" w:color="auto"/>
          <w:lang w:eastAsia="zh-CN"/>
        </w:rPr>
        <w:t>（</w:t>
      </w:r>
      <w:r>
        <w:rPr>
          <w:rFonts w:hint="default" w:ascii="Times New Roman" w:hAnsi="Times New Roman" w:eastAsia="宋体" w:cs="Times New Roman"/>
          <w:bCs/>
          <w:color w:val="auto"/>
          <w:sz w:val="24"/>
          <w:szCs w:val="24"/>
          <w:highlight w:val="none"/>
          <w:u w:val="single" w:color="auto"/>
          <w:lang w:val="en-US" w:eastAsia="zh-CN"/>
        </w:rPr>
        <w:t>13</w:t>
      </w:r>
      <w:r>
        <w:rPr>
          <w:rFonts w:hint="default" w:ascii="Times New Roman" w:hAnsi="Times New Roman" w:eastAsia="宋体" w:cs="Times New Roman"/>
          <w:bCs/>
          <w:color w:val="auto"/>
          <w:sz w:val="24"/>
          <w:szCs w:val="24"/>
          <w:highlight w:val="none"/>
          <w:u w:val="single" w:color="auto"/>
          <w:lang w:eastAsia="zh-CN"/>
        </w:rPr>
        <w:t>）</w:t>
      </w:r>
      <w:r>
        <w:rPr>
          <w:rFonts w:hint="default" w:ascii="Times New Roman" w:hAnsi="Times New Roman" w:eastAsia="宋体" w:cs="Times New Roman"/>
          <w:bCs/>
          <w:color w:val="auto"/>
          <w:sz w:val="24"/>
          <w:szCs w:val="24"/>
          <w:highlight w:val="none"/>
          <w:u w:val="single" w:color="auto"/>
        </w:rPr>
        <w:t>《关于进一步加强重金属污染防控的意见》（环固体【2022】17号）</w:t>
      </w:r>
      <w:r>
        <w:rPr>
          <w:rFonts w:hint="default" w:ascii="Times New Roman" w:hAnsi="Times New Roman" w:eastAsia="宋体" w:cs="Times New Roman"/>
          <w:bCs/>
          <w:color w:val="auto"/>
          <w:sz w:val="24"/>
          <w:szCs w:val="24"/>
          <w:highlight w:val="none"/>
          <w:u w:val="single" w:color="auto"/>
          <w:lang w:eastAsia="zh-CN"/>
        </w:rPr>
        <w:t>；</w:t>
      </w:r>
    </w:p>
    <w:p w14:paraId="07564EC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（14）《湖南省涉重金属污染重点行业生产设施、污染防治设施、风险防范设施规范化建设要求（试行）》；</w:t>
      </w:r>
    </w:p>
    <w:p w14:paraId="6DC81F8A">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（15）《湖南省涉重金属污染重点行业环境管理、环境风险管控制度规范（试行）》；</w:t>
      </w:r>
    </w:p>
    <w:p w14:paraId="3AC3DBA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（16）</w:t>
      </w:r>
      <w:bookmarkStart w:id="13" w:name="OLE_LINK10"/>
      <w:bookmarkStart w:id="14" w:name="OLE_LINK9"/>
      <w:r>
        <w:rPr>
          <w:rFonts w:hint="default" w:ascii="Times New Roman" w:hAnsi="Times New Roman" w:eastAsia="宋体" w:cs="Times New Roman"/>
          <w:color w:val="auto"/>
          <w:sz w:val="24"/>
          <w:szCs w:val="24"/>
          <w:highlight w:val="none"/>
          <w:u w:val="none" w:color="auto"/>
        </w:rPr>
        <w:t>《湖南省湘江保护条例》</w:t>
      </w:r>
      <w:bookmarkEnd w:id="13"/>
      <w:bookmarkEnd w:id="14"/>
      <w:r>
        <w:rPr>
          <w:rFonts w:hint="default" w:ascii="Times New Roman" w:hAnsi="Times New Roman" w:eastAsia="宋体" w:cs="Times New Roman"/>
          <w:color w:val="auto"/>
          <w:sz w:val="24"/>
          <w:szCs w:val="24"/>
          <w:highlight w:val="none"/>
          <w:u w:val="none" w:color="auto"/>
        </w:rPr>
        <w:t>（2013年4月1日起执行）；</w:t>
      </w:r>
    </w:p>
    <w:p w14:paraId="378ED83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w:t>
      </w:r>
      <w:r>
        <w:rPr>
          <w:rFonts w:hint="default" w:ascii="Times New Roman" w:hAnsi="Times New Roman" w:eastAsia="宋体" w:cs="Times New Roman"/>
          <w:color w:val="auto"/>
          <w:sz w:val="24"/>
          <w:szCs w:val="24"/>
          <w:highlight w:val="none"/>
          <w:u w:val="none" w:color="auto"/>
          <w:lang w:val="en-US" w:eastAsia="zh-CN"/>
        </w:rPr>
        <w:t>7</w:t>
      </w:r>
      <w:r>
        <w:rPr>
          <w:rFonts w:hint="default" w:ascii="Times New Roman" w:hAnsi="Times New Roman" w:eastAsia="宋体" w:cs="Times New Roman"/>
          <w:color w:val="auto"/>
          <w:sz w:val="24"/>
          <w:szCs w:val="24"/>
          <w:highlight w:val="none"/>
          <w:u w:val="none" w:color="auto"/>
        </w:rPr>
        <w:t>）《湖南省实施&lt;中华人民共和国土壤污染防治法&gt;办法》（2020年7月1日起施行）；</w:t>
      </w:r>
    </w:p>
    <w:p w14:paraId="71FB5E7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w:t>
      </w:r>
      <w:r>
        <w:rPr>
          <w:rFonts w:hint="default" w:ascii="Times New Roman" w:hAnsi="Times New Roman" w:eastAsia="宋体" w:cs="Times New Roman"/>
          <w:color w:val="auto"/>
          <w:sz w:val="24"/>
          <w:szCs w:val="24"/>
          <w:highlight w:val="none"/>
          <w:u w:val="none" w:color="auto"/>
          <w:lang w:val="en-US" w:eastAsia="zh-CN"/>
        </w:rPr>
        <w:t>8</w:t>
      </w:r>
      <w:r>
        <w:rPr>
          <w:rFonts w:hint="default" w:ascii="Times New Roman" w:hAnsi="Times New Roman" w:eastAsia="宋体" w:cs="Times New Roman"/>
          <w:color w:val="auto"/>
          <w:sz w:val="24"/>
          <w:szCs w:val="24"/>
          <w:highlight w:val="none"/>
          <w:u w:val="none" w:color="auto"/>
        </w:rPr>
        <w:t>）《湖南省人民政府办公厅关于印发&lt;湘江流域科学发展总体规划&gt;的通知》（湘政办发[2013]7号，2013年1月22日）；</w:t>
      </w:r>
    </w:p>
    <w:p w14:paraId="4D58D55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10</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bCs/>
          <w:color w:val="auto"/>
          <w:sz w:val="24"/>
          <w:szCs w:val="24"/>
          <w:highlight w:val="none"/>
          <w:u w:val="none" w:color="auto"/>
        </w:rPr>
        <w:t>湖南省人民政府关于实施“三线一单”生态环境分区管控的意见</w:t>
      </w:r>
      <w:r>
        <w:rPr>
          <w:rFonts w:hint="default" w:ascii="Times New Roman" w:hAnsi="Times New Roman" w:eastAsia="宋体" w:cs="Times New Roman"/>
          <w:color w:val="auto"/>
          <w:sz w:val="24"/>
          <w:szCs w:val="24"/>
          <w:highlight w:val="none"/>
          <w:u w:val="none" w:color="auto"/>
        </w:rPr>
        <w:t>》（湘政办发[2020]12号，2020年6月30日）；</w:t>
      </w:r>
    </w:p>
    <w:p w14:paraId="33536C2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w:t>
      </w:r>
      <w:r>
        <w:rPr>
          <w:rFonts w:hint="default" w:ascii="Times New Roman" w:hAnsi="Times New Roman" w:eastAsia="宋体" w:cs="Times New Roman"/>
          <w:color w:val="auto"/>
          <w:sz w:val="24"/>
          <w:szCs w:val="24"/>
          <w:highlight w:val="none"/>
          <w:u w:val="none" w:color="auto"/>
          <w:lang w:val="en-US" w:eastAsia="zh-CN"/>
        </w:rPr>
        <w:t>0</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bCs/>
          <w:color w:val="auto"/>
          <w:sz w:val="24"/>
          <w:szCs w:val="24"/>
          <w:highlight w:val="none"/>
          <w:u w:val="none" w:color="auto"/>
        </w:rPr>
        <w:t>关于发布</w:t>
      </w:r>
      <w:r>
        <w:rPr>
          <w:rFonts w:hint="default" w:ascii="Times New Roman" w:hAnsi="Times New Roman" w:eastAsia="宋体" w:cs="Times New Roman"/>
          <w:color w:val="auto"/>
          <w:sz w:val="24"/>
          <w:szCs w:val="24"/>
          <w:highlight w:val="none"/>
          <w:u w:val="none" w:color="auto"/>
        </w:rPr>
        <w:t>&lt;</w:t>
      </w:r>
      <w:r>
        <w:rPr>
          <w:rFonts w:hint="default" w:ascii="Times New Roman" w:hAnsi="Times New Roman" w:eastAsia="宋体" w:cs="Times New Roman"/>
          <w:bCs/>
          <w:color w:val="auto"/>
          <w:sz w:val="24"/>
          <w:szCs w:val="24"/>
          <w:highlight w:val="none"/>
          <w:u w:val="none" w:color="auto"/>
        </w:rPr>
        <w:t>湖南省“三线一单”生态环境总体管控要求暨省级以上产业园区生态环境准入清单</w:t>
      </w:r>
      <w:r>
        <w:rPr>
          <w:rFonts w:hint="default" w:ascii="Times New Roman" w:hAnsi="Times New Roman" w:eastAsia="宋体" w:cs="Times New Roman"/>
          <w:color w:val="auto"/>
          <w:sz w:val="24"/>
          <w:szCs w:val="24"/>
          <w:highlight w:val="none"/>
          <w:u w:val="none" w:color="auto"/>
        </w:rPr>
        <w:t>&gt;的函》（湖南省生态环境厅，2020年11月10日）；</w:t>
      </w:r>
    </w:p>
    <w:p w14:paraId="3A242BE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w:t>
      </w: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bCs/>
          <w:color w:val="auto"/>
          <w:sz w:val="24"/>
          <w:szCs w:val="24"/>
          <w:highlight w:val="none"/>
          <w:u w:val="none" w:color="auto"/>
        </w:rPr>
        <w:t>关于进一步规范和加强产业园区生态环境管理的通知</w:t>
      </w:r>
      <w:r>
        <w:rPr>
          <w:rFonts w:hint="default" w:ascii="Times New Roman" w:hAnsi="Times New Roman" w:eastAsia="宋体" w:cs="Times New Roman"/>
          <w:color w:val="auto"/>
          <w:sz w:val="24"/>
          <w:szCs w:val="24"/>
          <w:highlight w:val="none"/>
          <w:u w:val="none" w:color="auto"/>
        </w:rPr>
        <w:t>》（湘环发[2020]27号，2020年8月3日）；</w:t>
      </w:r>
    </w:p>
    <w:p w14:paraId="22C489B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single" w:color="auto"/>
          <w:lang w:eastAsia="zh-CN"/>
        </w:rPr>
      </w:pPr>
      <w:r>
        <w:rPr>
          <w:rFonts w:hint="default" w:ascii="Times New Roman" w:hAnsi="Times New Roman" w:eastAsia="宋体" w:cs="Times New Roman"/>
          <w:bCs/>
          <w:color w:val="auto"/>
          <w:sz w:val="24"/>
          <w:szCs w:val="24"/>
          <w:highlight w:val="none"/>
          <w:u w:val="single" w:color="auto"/>
        </w:rPr>
        <w:t>（2</w:t>
      </w:r>
      <w:r>
        <w:rPr>
          <w:rFonts w:hint="default" w:ascii="Times New Roman" w:hAnsi="Times New Roman" w:eastAsia="宋体" w:cs="Times New Roman"/>
          <w:bCs/>
          <w:color w:val="auto"/>
          <w:sz w:val="24"/>
          <w:szCs w:val="24"/>
          <w:highlight w:val="none"/>
          <w:u w:val="single" w:color="auto"/>
          <w:lang w:val="en-US" w:eastAsia="zh-CN"/>
        </w:rPr>
        <w:t>2</w:t>
      </w:r>
      <w:r>
        <w:rPr>
          <w:rFonts w:hint="default" w:ascii="Times New Roman" w:hAnsi="Times New Roman" w:eastAsia="宋体" w:cs="Times New Roman"/>
          <w:bCs/>
          <w:color w:val="auto"/>
          <w:sz w:val="24"/>
          <w:szCs w:val="24"/>
          <w:highlight w:val="none"/>
          <w:u w:val="single" w:color="auto"/>
        </w:rPr>
        <w:t>）《湖南省长江经济带发展负面清单实施细则（试行，2022年版）》</w:t>
      </w:r>
      <w:r>
        <w:rPr>
          <w:rFonts w:hint="default" w:ascii="Times New Roman" w:hAnsi="Times New Roman" w:eastAsia="宋体" w:cs="Times New Roman"/>
          <w:bCs/>
          <w:color w:val="auto"/>
          <w:sz w:val="24"/>
          <w:szCs w:val="24"/>
          <w:highlight w:val="none"/>
          <w:u w:val="single" w:color="auto"/>
          <w:lang w:eastAsia="zh-CN"/>
        </w:rPr>
        <w:t>；</w:t>
      </w:r>
    </w:p>
    <w:p w14:paraId="2AECD77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single" w:color="auto"/>
        </w:rPr>
      </w:pPr>
      <w:r>
        <w:rPr>
          <w:rFonts w:hint="default" w:ascii="Times New Roman" w:hAnsi="Times New Roman" w:eastAsia="宋体" w:cs="Times New Roman"/>
          <w:bCs/>
          <w:color w:val="auto"/>
          <w:sz w:val="24"/>
          <w:szCs w:val="24"/>
          <w:highlight w:val="none"/>
          <w:u w:val="single" w:color="auto"/>
        </w:rPr>
        <w:t>（2</w:t>
      </w:r>
      <w:r>
        <w:rPr>
          <w:rFonts w:hint="default" w:ascii="Times New Roman" w:hAnsi="Times New Roman" w:eastAsia="宋体" w:cs="Times New Roman"/>
          <w:bCs/>
          <w:color w:val="auto"/>
          <w:sz w:val="24"/>
          <w:szCs w:val="24"/>
          <w:highlight w:val="none"/>
          <w:u w:val="single" w:color="auto"/>
          <w:lang w:val="en-US" w:eastAsia="zh-CN"/>
        </w:rPr>
        <w:t>3</w:t>
      </w:r>
      <w:r>
        <w:rPr>
          <w:rFonts w:hint="default" w:ascii="Times New Roman" w:hAnsi="Times New Roman" w:eastAsia="宋体" w:cs="Times New Roman"/>
          <w:bCs/>
          <w:color w:val="auto"/>
          <w:sz w:val="24"/>
          <w:szCs w:val="24"/>
          <w:highlight w:val="none"/>
          <w:u w:val="single" w:color="auto"/>
        </w:rPr>
        <w:t>）湖南省人民政府办公厅关于印发《湖南省主要污染物排污权有偿使用和交易管理办法》的通知（湘政办发〔2022〕23号）；</w:t>
      </w:r>
    </w:p>
    <w:p w14:paraId="16206166">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single" w:color="auto"/>
          <w:lang w:eastAsia="zh-CN"/>
        </w:rPr>
      </w:pPr>
      <w:r>
        <w:rPr>
          <w:rFonts w:hint="default" w:ascii="Times New Roman" w:hAnsi="Times New Roman" w:eastAsia="宋体" w:cs="Times New Roman"/>
          <w:bCs/>
          <w:color w:val="auto"/>
          <w:sz w:val="24"/>
          <w:szCs w:val="24"/>
          <w:highlight w:val="none"/>
          <w:u w:val="single" w:color="auto"/>
        </w:rPr>
        <w:t>（2</w:t>
      </w:r>
      <w:r>
        <w:rPr>
          <w:rFonts w:hint="default" w:ascii="Times New Roman" w:hAnsi="Times New Roman" w:eastAsia="宋体" w:cs="Times New Roman"/>
          <w:bCs/>
          <w:color w:val="auto"/>
          <w:sz w:val="24"/>
          <w:szCs w:val="24"/>
          <w:highlight w:val="none"/>
          <w:u w:val="single" w:color="auto"/>
          <w:lang w:val="en-US" w:eastAsia="zh-CN"/>
        </w:rPr>
        <w:t>4</w:t>
      </w:r>
      <w:r>
        <w:rPr>
          <w:rFonts w:hint="default" w:ascii="Times New Roman" w:hAnsi="Times New Roman" w:eastAsia="宋体" w:cs="Times New Roman"/>
          <w:bCs/>
          <w:color w:val="auto"/>
          <w:sz w:val="24"/>
          <w:szCs w:val="24"/>
          <w:highlight w:val="none"/>
          <w:u w:val="single" w:color="auto"/>
        </w:rPr>
        <w:t>）《湖南省环境保护厅关于印发&lt;湖南省重金属总量指标交易管理规程(试行)&gt;的通知》（湘环发[2015]32号，2015年10月22日》</w:t>
      </w:r>
      <w:r>
        <w:rPr>
          <w:rFonts w:hint="default" w:ascii="Times New Roman" w:hAnsi="Times New Roman" w:eastAsia="宋体" w:cs="Times New Roman"/>
          <w:bCs/>
          <w:color w:val="auto"/>
          <w:sz w:val="24"/>
          <w:szCs w:val="24"/>
          <w:highlight w:val="none"/>
          <w:u w:val="single" w:color="auto"/>
          <w:lang w:eastAsia="zh-CN"/>
        </w:rPr>
        <w:t>；</w:t>
      </w:r>
    </w:p>
    <w:p w14:paraId="791B41B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single" w:color="auto"/>
          <w:lang w:eastAsia="zh-CN"/>
        </w:rPr>
      </w:pPr>
      <w:r>
        <w:rPr>
          <w:rFonts w:hint="default" w:ascii="Times New Roman" w:hAnsi="Times New Roman" w:eastAsia="宋体" w:cs="Times New Roman"/>
          <w:bCs/>
          <w:color w:val="auto"/>
          <w:sz w:val="24"/>
          <w:szCs w:val="24"/>
          <w:highlight w:val="none"/>
          <w:u w:val="single" w:color="auto"/>
          <w:lang w:eastAsia="zh-CN"/>
        </w:rPr>
        <w:t>（</w:t>
      </w:r>
      <w:r>
        <w:rPr>
          <w:rFonts w:hint="default" w:ascii="Times New Roman" w:hAnsi="Times New Roman" w:eastAsia="宋体" w:cs="Times New Roman"/>
          <w:bCs/>
          <w:color w:val="auto"/>
          <w:sz w:val="24"/>
          <w:szCs w:val="24"/>
          <w:highlight w:val="none"/>
          <w:u w:val="single" w:color="auto"/>
          <w:lang w:val="en-US" w:eastAsia="zh-CN"/>
        </w:rPr>
        <w:t>25</w:t>
      </w:r>
      <w:r>
        <w:rPr>
          <w:rFonts w:hint="default" w:ascii="Times New Roman" w:hAnsi="Times New Roman" w:eastAsia="宋体" w:cs="Times New Roman"/>
          <w:bCs/>
          <w:color w:val="auto"/>
          <w:sz w:val="24"/>
          <w:szCs w:val="24"/>
          <w:highlight w:val="none"/>
          <w:u w:val="single" w:color="auto"/>
          <w:lang w:eastAsia="zh-CN"/>
        </w:rPr>
        <w:t>）</w:t>
      </w:r>
      <w:r>
        <w:rPr>
          <w:rFonts w:hint="default" w:ascii="Times New Roman" w:hAnsi="Times New Roman" w:eastAsia="宋体" w:cs="Times New Roman"/>
          <w:bCs/>
          <w:color w:val="auto"/>
          <w:sz w:val="24"/>
          <w:szCs w:val="24"/>
          <w:highlight w:val="none"/>
          <w:u w:val="single" w:color="auto"/>
        </w:rPr>
        <w:t>《危险废物转移管理办法》</w:t>
      </w:r>
      <w:r>
        <w:rPr>
          <w:rFonts w:hint="default" w:ascii="Times New Roman" w:hAnsi="Times New Roman" w:eastAsia="宋体" w:cs="Times New Roman"/>
          <w:bCs/>
          <w:color w:val="auto"/>
          <w:sz w:val="24"/>
          <w:szCs w:val="24"/>
          <w:highlight w:val="none"/>
          <w:u w:val="single" w:color="auto"/>
          <w:lang w:eastAsia="zh-CN"/>
        </w:rPr>
        <w:t>；</w:t>
      </w:r>
    </w:p>
    <w:p w14:paraId="28FA172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single" w:color="auto"/>
          <w:lang w:eastAsia="zh-CN"/>
        </w:rPr>
      </w:pPr>
      <w:r>
        <w:rPr>
          <w:rFonts w:hint="default" w:ascii="Times New Roman" w:hAnsi="Times New Roman" w:eastAsia="宋体" w:cs="Times New Roman"/>
          <w:bCs/>
          <w:color w:val="auto"/>
          <w:sz w:val="24"/>
          <w:szCs w:val="24"/>
          <w:highlight w:val="none"/>
          <w:u w:val="single" w:color="auto"/>
          <w:lang w:eastAsia="zh-CN"/>
        </w:rPr>
        <w:t>（</w:t>
      </w:r>
      <w:r>
        <w:rPr>
          <w:rFonts w:hint="default" w:ascii="Times New Roman" w:hAnsi="Times New Roman" w:eastAsia="宋体" w:cs="Times New Roman"/>
          <w:bCs/>
          <w:color w:val="auto"/>
          <w:sz w:val="24"/>
          <w:szCs w:val="24"/>
          <w:highlight w:val="none"/>
          <w:u w:val="single" w:color="auto"/>
          <w:lang w:val="en-US" w:eastAsia="zh-CN"/>
        </w:rPr>
        <w:t>26</w:t>
      </w:r>
      <w:r>
        <w:rPr>
          <w:rFonts w:hint="default" w:ascii="Times New Roman" w:hAnsi="Times New Roman" w:eastAsia="宋体" w:cs="Times New Roman"/>
          <w:bCs/>
          <w:color w:val="auto"/>
          <w:sz w:val="24"/>
          <w:szCs w:val="24"/>
          <w:highlight w:val="none"/>
          <w:u w:val="single" w:color="auto"/>
          <w:lang w:eastAsia="zh-CN"/>
        </w:rPr>
        <w:t>）</w:t>
      </w:r>
      <w:r>
        <w:rPr>
          <w:rFonts w:hint="default" w:ascii="Times New Roman" w:hAnsi="Times New Roman" w:eastAsia="宋体" w:cs="Times New Roman"/>
          <w:bCs/>
          <w:color w:val="auto"/>
          <w:sz w:val="24"/>
          <w:szCs w:val="24"/>
          <w:highlight w:val="none"/>
          <w:u w:val="single" w:color="auto"/>
        </w:rPr>
        <w:t>《湖南省“十四五”生态环境保护规划》</w:t>
      </w:r>
      <w:r>
        <w:rPr>
          <w:rFonts w:hint="default" w:ascii="Times New Roman" w:hAnsi="Times New Roman" w:eastAsia="宋体" w:cs="Times New Roman"/>
          <w:bCs/>
          <w:color w:val="auto"/>
          <w:sz w:val="24"/>
          <w:szCs w:val="24"/>
          <w:highlight w:val="none"/>
          <w:u w:val="single" w:color="auto"/>
          <w:lang w:eastAsia="zh-CN"/>
        </w:rPr>
        <w:t>；</w:t>
      </w:r>
    </w:p>
    <w:p w14:paraId="57B0A4A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single" w:color="auto"/>
          <w:lang w:eastAsia="zh-CN"/>
        </w:rPr>
      </w:pPr>
      <w:r>
        <w:rPr>
          <w:rFonts w:hint="default" w:ascii="Times New Roman" w:hAnsi="Times New Roman" w:eastAsia="宋体" w:cs="Times New Roman"/>
          <w:bCs/>
          <w:color w:val="auto"/>
          <w:sz w:val="24"/>
          <w:szCs w:val="24"/>
          <w:highlight w:val="none"/>
          <w:u w:val="single" w:color="auto"/>
          <w:lang w:eastAsia="zh-CN"/>
        </w:rPr>
        <w:t>（</w:t>
      </w:r>
      <w:r>
        <w:rPr>
          <w:rFonts w:hint="default" w:ascii="Times New Roman" w:hAnsi="Times New Roman" w:eastAsia="宋体" w:cs="Times New Roman"/>
          <w:bCs/>
          <w:color w:val="auto"/>
          <w:sz w:val="24"/>
          <w:szCs w:val="24"/>
          <w:highlight w:val="none"/>
          <w:u w:val="single" w:color="auto"/>
          <w:lang w:val="en-US" w:eastAsia="zh-CN"/>
        </w:rPr>
        <w:t>27</w:t>
      </w:r>
      <w:r>
        <w:rPr>
          <w:rFonts w:hint="default" w:ascii="Times New Roman" w:hAnsi="Times New Roman" w:eastAsia="宋体" w:cs="Times New Roman"/>
          <w:bCs/>
          <w:color w:val="auto"/>
          <w:sz w:val="24"/>
          <w:szCs w:val="24"/>
          <w:highlight w:val="none"/>
          <w:u w:val="single" w:color="auto"/>
          <w:lang w:eastAsia="zh-CN"/>
        </w:rPr>
        <w:t>）</w:t>
      </w:r>
      <w:r>
        <w:rPr>
          <w:rFonts w:hint="default" w:ascii="Times New Roman" w:hAnsi="Times New Roman" w:eastAsia="宋体" w:cs="Times New Roman"/>
          <w:bCs/>
          <w:color w:val="auto"/>
          <w:sz w:val="24"/>
          <w:szCs w:val="24"/>
          <w:highlight w:val="none"/>
          <w:u w:val="single" w:color="auto"/>
        </w:rPr>
        <w:t>《湖南省“十四五”重金属污染防治规划》</w:t>
      </w:r>
      <w:r>
        <w:rPr>
          <w:rFonts w:hint="default" w:ascii="Times New Roman" w:hAnsi="Times New Roman" w:eastAsia="宋体" w:cs="Times New Roman"/>
          <w:bCs/>
          <w:color w:val="auto"/>
          <w:sz w:val="24"/>
          <w:szCs w:val="24"/>
          <w:highlight w:val="none"/>
          <w:u w:val="single" w:color="auto"/>
          <w:lang w:eastAsia="zh-CN"/>
        </w:rPr>
        <w:t>。</w:t>
      </w:r>
    </w:p>
    <w:p w14:paraId="00C8F046">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2.1.3相关技术导则、规范</w:t>
      </w:r>
    </w:p>
    <w:p w14:paraId="73E5FC2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（1）《环境影响评价技术导则-总纲》（HJ2.1-2016）；</w:t>
      </w:r>
    </w:p>
    <w:p w14:paraId="2F0A0F5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（2）《环境影响评价技术导则-地表水环境》（HJ2.3-2018）；</w:t>
      </w:r>
    </w:p>
    <w:p w14:paraId="3CC81879">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（3）《环境影响评价技术导则-地下水环境》（HJ610-2016）；</w:t>
      </w:r>
    </w:p>
    <w:p w14:paraId="08623BB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（4）《环境影响评价技术导则-大气环境》（HJ2.2-2018）；</w:t>
      </w:r>
    </w:p>
    <w:p w14:paraId="30D059C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（5）《环境影响评价技术导则声环境》（</w:t>
      </w:r>
      <w:r>
        <w:rPr>
          <w:rFonts w:hint="default" w:ascii="Times New Roman" w:hAnsi="Times New Roman" w:eastAsia="宋体" w:cs="Times New Roman"/>
          <w:color w:val="auto"/>
          <w:sz w:val="24"/>
          <w:szCs w:val="24"/>
          <w:highlight w:val="none"/>
          <w:u w:val="none" w:color="auto"/>
          <w:lang w:eastAsia="zh-CN"/>
        </w:rPr>
        <w:t>HJ2.4-2021</w:t>
      </w:r>
      <w:r>
        <w:rPr>
          <w:rFonts w:hint="default" w:ascii="Times New Roman" w:hAnsi="Times New Roman" w:eastAsia="宋体" w:cs="Times New Roman"/>
          <w:color w:val="auto"/>
          <w:sz w:val="24"/>
          <w:szCs w:val="24"/>
          <w:highlight w:val="none"/>
          <w:u w:val="none" w:color="auto"/>
        </w:rPr>
        <w:t>）；</w:t>
      </w:r>
    </w:p>
    <w:p w14:paraId="29889C2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（6）《环境影响评价技术导则生态环境》（</w:t>
      </w:r>
      <w:r>
        <w:rPr>
          <w:rFonts w:hint="default" w:ascii="Times New Roman" w:hAnsi="Times New Roman" w:eastAsia="宋体" w:cs="Times New Roman"/>
          <w:color w:val="auto"/>
          <w:sz w:val="24"/>
          <w:szCs w:val="24"/>
          <w:highlight w:val="none"/>
          <w:u w:val="none" w:color="auto"/>
          <w:lang w:eastAsia="zh-CN"/>
        </w:rPr>
        <w:t>HJ 19-2022</w:t>
      </w:r>
      <w:r>
        <w:rPr>
          <w:rFonts w:hint="default" w:ascii="Times New Roman" w:hAnsi="Times New Roman" w:eastAsia="宋体" w:cs="Times New Roman"/>
          <w:color w:val="auto"/>
          <w:sz w:val="24"/>
          <w:szCs w:val="24"/>
          <w:highlight w:val="none"/>
          <w:u w:val="none" w:color="auto"/>
        </w:rPr>
        <w:t>）；</w:t>
      </w:r>
    </w:p>
    <w:p w14:paraId="4911B50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（7）《环境影响评价技术导则-土壤环境（试行）》（HJ964-2018）；</w:t>
      </w:r>
    </w:p>
    <w:p w14:paraId="21A46D5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（8）《建设项目环境风险评价技术导则》（HJ169-2018）；</w:t>
      </w:r>
    </w:p>
    <w:p w14:paraId="7A2093A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（9）《污染源源强核算技术指南</w:t>
      </w:r>
      <w:r>
        <w:rPr>
          <w:rFonts w:hint="default" w:ascii="Times New Roman" w:hAnsi="Times New Roman" w:eastAsia="宋体" w:cs="Times New Roman"/>
          <w:color w:val="auto"/>
          <w:sz w:val="24"/>
          <w:szCs w:val="24"/>
          <w:highlight w:val="none"/>
          <w:u w:val="none" w:color="auto"/>
          <w:lang w:val="en-US" w:eastAsia="zh-CN"/>
        </w:rPr>
        <w:t xml:space="preserve"> </w:t>
      </w:r>
      <w:r>
        <w:rPr>
          <w:rFonts w:hint="default" w:ascii="Times New Roman" w:hAnsi="Times New Roman" w:eastAsia="宋体" w:cs="Times New Roman"/>
          <w:color w:val="auto"/>
          <w:sz w:val="24"/>
          <w:szCs w:val="24"/>
          <w:highlight w:val="none"/>
          <w:u w:val="none" w:color="auto"/>
        </w:rPr>
        <w:t>电镀》（HJ984-2018）；</w:t>
      </w:r>
    </w:p>
    <w:p w14:paraId="4626BC8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（10）《大气污染治理工程技术导则》（HJ2000-2010）；</w:t>
      </w:r>
    </w:p>
    <w:p w14:paraId="1CEA3F06">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（11）《建设项目危险废物环境影响评价指南》（环境保护部公告2017 第43号）；</w:t>
      </w:r>
    </w:p>
    <w:p w14:paraId="1DB0453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（12）《危险废物污染防治技术政策》（环发[2001]199号）；</w:t>
      </w:r>
    </w:p>
    <w:p w14:paraId="7A56469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（13）《排污单位自行监测技术指南电镀工业》（HJ985-2018）；</w:t>
      </w:r>
    </w:p>
    <w:p w14:paraId="2751BF8A">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（14）《排污许可证申请与核发技术规范</w:t>
      </w:r>
      <w:r>
        <w:rPr>
          <w:rFonts w:hint="default" w:ascii="Times New Roman" w:hAnsi="Times New Roman" w:eastAsia="宋体" w:cs="Times New Roman"/>
          <w:color w:val="auto"/>
          <w:sz w:val="24"/>
          <w:szCs w:val="24"/>
          <w:highlight w:val="none"/>
          <w:u w:val="none" w:color="auto"/>
          <w:lang w:val="en-US" w:eastAsia="zh-CN"/>
        </w:rPr>
        <w:t xml:space="preserve"> </w:t>
      </w:r>
      <w:r>
        <w:rPr>
          <w:rFonts w:hint="default" w:ascii="Times New Roman" w:hAnsi="Times New Roman" w:eastAsia="宋体" w:cs="Times New Roman"/>
          <w:color w:val="auto"/>
          <w:sz w:val="24"/>
          <w:szCs w:val="24"/>
          <w:highlight w:val="none"/>
          <w:u w:val="none" w:color="auto"/>
        </w:rPr>
        <w:t>电镀工业》（HJ855-2017）；</w:t>
      </w:r>
    </w:p>
    <w:p w14:paraId="4007D75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（15）《电镀废水治理工程技术规范》（HJ2002-2010）；</w:t>
      </w:r>
    </w:p>
    <w:p w14:paraId="30A27A6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（16）《电镀污染防治最佳可行技术指南（试行）》（HJ-BAT-11）；</w:t>
      </w:r>
    </w:p>
    <w:p w14:paraId="38EF4D6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（17）《大气有害物质无组织排放卫生防护距离推导技术导则》（GB/T39499-2020）。</w:t>
      </w:r>
    </w:p>
    <w:p w14:paraId="0A7B2946">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2.1.4相关技术文件</w:t>
      </w:r>
    </w:p>
    <w:p w14:paraId="106BF43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（1）环评委托书；</w:t>
      </w:r>
    </w:p>
    <w:p w14:paraId="0C7748C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）《湖南衡阳松木经济开发区扩区规划(2020-2030)》</w:t>
      </w:r>
      <w:r>
        <w:rPr>
          <w:rFonts w:hint="default" w:ascii="Times New Roman" w:hAnsi="Times New Roman" w:eastAsia="宋体" w:cs="Times New Roman"/>
          <w:color w:val="auto"/>
          <w:sz w:val="24"/>
          <w:szCs w:val="24"/>
          <w:highlight w:val="none"/>
          <w:u w:val="none" w:color="auto"/>
          <w:lang w:eastAsia="zh-CN"/>
        </w:rPr>
        <w:t>；</w:t>
      </w:r>
    </w:p>
    <w:p w14:paraId="32E4116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《湖南衡阳松木经济开发区产业发展规划（2020-2025）》</w:t>
      </w:r>
      <w:r>
        <w:rPr>
          <w:rFonts w:hint="default" w:ascii="Times New Roman" w:hAnsi="Times New Roman" w:eastAsia="宋体" w:cs="Times New Roman"/>
          <w:color w:val="auto"/>
          <w:sz w:val="24"/>
          <w:szCs w:val="24"/>
          <w:highlight w:val="none"/>
          <w:u w:val="none" w:color="auto"/>
          <w:lang w:eastAsia="zh-CN"/>
        </w:rPr>
        <w:t>；</w:t>
      </w:r>
    </w:p>
    <w:p w14:paraId="345C960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《湖南衡阳松木经济开发区扩区规划（2020-2030）环境影响报告书》</w:t>
      </w:r>
      <w:r>
        <w:rPr>
          <w:rFonts w:hint="default" w:ascii="Times New Roman" w:hAnsi="Times New Roman" w:eastAsia="宋体" w:cs="Times New Roman"/>
          <w:color w:val="auto"/>
          <w:sz w:val="24"/>
          <w:szCs w:val="24"/>
          <w:highlight w:val="none"/>
          <w:u w:val="none" w:color="auto"/>
          <w:lang w:eastAsia="zh-CN"/>
        </w:rPr>
        <w:t>及其批复（湘环评函</w:t>
      </w:r>
      <w:r>
        <w:rPr>
          <w:rFonts w:hint="default" w:ascii="Times New Roman" w:hAnsi="Times New Roman" w:eastAsia="宋体" w:cs="Times New Roman"/>
          <w:color w:val="auto"/>
          <w:sz w:val="24"/>
          <w:szCs w:val="24"/>
          <w:highlight w:val="none"/>
          <w:u w:val="none" w:color="auto"/>
          <w:lang w:val="en-US" w:eastAsia="zh-CN"/>
        </w:rPr>
        <w:t>[2021]30号</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w:t>
      </w:r>
    </w:p>
    <w:p w14:paraId="67D5E5E9">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5</w:t>
      </w:r>
      <w:r>
        <w:rPr>
          <w:rFonts w:hint="default" w:ascii="Times New Roman" w:hAnsi="Times New Roman" w:eastAsia="宋体" w:cs="Times New Roman"/>
          <w:color w:val="auto"/>
          <w:sz w:val="24"/>
          <w:szCs w:val="24"/>
          <w:highlight w:val="none"/>
          <w:u w:val="none" w:color="auto"/>
        </w:rPr>
        <w:t>）建设单位提供的其他相关资料。</w:t>
      </w:r>
    </w:p>
    <w:p w14:paraId="773176D4">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15" w:name="_Toc7576"/>
      <w:r>
        <w:rPr>
          <w:rFonts w:hint="default" w:ascii="Times New Roman" w:hAnsi="Times New Roman" w:eastAsia="宋体" w:cs="Times New Roman"/>
          <w:color w:val="auto"/>
          <w:sz w:val="28"/>
          <w:szCs w:val="28"/>
          <w:highlight w:val="none"/>
          <w:u w:val="none" w:color="auto"/>
        </w:rPr>
        <w:t>2.2评价目的和原则</w:t>
      </w:r>
      <w:bookmarkEnd w:id="15"/>
    </w:p>
    <w:p w14:paraId="0D7616DB">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2.2.1评价目的</w:t>
      </w:r>
    </w:p>
    <w:p w14:paraId="000FE456">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（1）通过对国家、省及市的环境保护政策、环境保护规划的了解和分析，论证本项目建设的可行性及其选址合理性。</w:t>
      </w:r>
    </w:p>
    <w:p w14:paraId="700934E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（2）通过对项目的工程内容和工艺路线的分析，弄清污染源种类、分布以及排放方式，核算污染源源强。</w:t>
      </w:r>
    </w:p>
    <w:p w14:paraId="22D27A3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（3）通过对建设项目所在地周围环境现状调查、资料收集及环境现状监测，掌握评价区域的环境质量现状，以及对污染气象资料的收集分析，评价工程所处区域的环境质量现状，确定主要环境保护目标。</w:t>
      </w:r>
    </w:p>
    <w:p w14:paraId="005107B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结合周围环境特点和项目污染物排放特征，分析预测项目对周围环境的影响程度、范围以及环境质量可能发生的变化，根据工程分析和影响预测评价的结果，分析建设单位提供的污染防治措施的技术经济可行性及污染物达标排放的可靠性，若所提措施不能满足环保要求，提出切实可行的改进完善建议。</w:t>
      </w:r>
    </w:p>
    <w:p w14:paraId="1374E51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（5）从环保的角度明确给出项目建设的可行性结论，同时对本项目提出环境管理和环境监测制度的建议，从而为环保决策与管理部门提供科学依据。</w:t>
      </w:r>
    </w:p>
    <w:p w14:paraId="07E0187E">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2.2.2评价原则</w:t>
      </w:r>
    </w:p>
    <w:p w14:paraId="34ED897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突出环境影响评价的源头预防作用，坚持保护和改善环境质量。</w:t>
      </w:r>
    </w:p>
    <w:p w14:paraId="2FC9C8AA">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（1）依法评价</w:t>
      </w:r>
    </w:p>
    <w:p w14:paraId="4A95134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贯彻执行我国环境保护相关法律法规、标准、政策和规划等，优化项目建设，服务环境管理。</w:t>
      </w:r>
    </w:p>
    <w:p w14:paraId="429353F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（2）科学评价</w:t>
      </w:r>
    </w:p>
    <w:p w14:paraId="4A16B12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规范环境影响评价方法，科学分析项目建设对环境质量的影响。</w:t>
      </w:r>
    </w:p>
    <w:p w14:paraId="444345A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（3）突出重点</w:t>
      </w:r>
    </w:p>
    <w:p w14:paraId="2619757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根据建设项目的工程内容及其特点，明确与环境要素间的作用效应关系，根据规划环境影响评价结论和审查意见，充分利用符合时效的数据资料及成果，对建设项目主要环境影响予以重点分析和评价。</w:t>
      </w:r>
    </w:p>
    <w:p w14:paraId="0BC546F6">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16" w:name="_Toc25231"/>
      <w:r>
        <w:rPr>
          <w:rFonts w:hint="default" w:ascii="Times New Roman" w:hAnsi="Times New Roman" w:eastAsia="宋体" w:cs="Times New Roman"/>
          <w:color w:val="auto"/>
          <w:sz w:val="28"/>
          <w:szCs w:val="28"/>
          <w:highlight w:val="none"/>
          <w:u w:val="none" w:color="auto"/>
        </w:rPr>
        <w:t>2.3环境影响因子识别及评价因子</w:t>
      </w:r>
      <w:bookmarkEnd w:id="16"/>
    </w:p>
    <w:p w14:paraId="16EDC020">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2.3.1环境影响因子识别</w:t>
      </w:r>
    </w:p>
    <w:p w14:paraId="67FD89EF">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color w:val="auto"/>
          <w:kern w:val="0"/>
          <w:sz w:val="24"/>
          <w:szCs w:val="24"/>
          <w:highlight w:val="none"/>
          <w:u w:val="none" w:color="auto"/>
          <w:lang w:bidi="en-US"/>
        </w:rPr>
        <w:t>根据工程特点、区域环境特征、工程建设及运行过程中对环境的影响性质与程度，对本项目的环境影响要素进行识别，识别过程详见下表：</w:t>
      </w:r>
    </w:p>
    <w:p w14:paraId="61CEDDEB">
      <w:pPr>
        <w:pageBreakBefore w:val="0"/>
        <w:kinsoku/>
        <w:wordWrap/>
        <w:overflowPunct/>
        <w:topLinePunct w:val="0"/>
        <w:bidi w:val="0"/>
        <w:spacing w:line="360" w:lineRule="auto"/>
        <w:ind w:left="0" w:leftChars="0" w:firstLine="482" w:firstLineChars="200"/>
        <w:jc w:val="center"/>
        <w:rPr>
          <w:rFonts w:hint="default" w:ascii="Times New Roman" w:hAnsi="Times New Roman" w:eastAsia="宋体" w:cs="Times New Roman"/>
          <w:b/>
          <w:color w:val="auto"/>
          <w:kern w:val="0"/>
          <w:sz w:val="24"/>
          <w:szCs w:val="24"/>
          <w:highlight w:val="none"/>
          <w:u w:val="none" w:color="auto"/>
          <w:lang w:bidi="en-US"/>
        </w:rPr>
      </w:pPr>
      <w:r>
        <w:rPr>
          <w:rFonts w:hint="default" w:ascii="Times New Roman" w:hAnsi="Times New Roman" w:eastAsia="宋体" w:cs="Times New Roman"/>
          <w:b/>
          <w:color w:val="auto"/>
          <w:kern w:val="0"/>
          <w:sz w:val="24"/>
          <w:szCs w:val="24"/>
          <w:highlight w:val="none"/>
          <w:u w:val="none" w:color="auto"/>
          <w:lang w:bidi="en-US"/>
        </w:rPr>
        <w:t>表2.3-1  工程环境影响要素识别表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6" w:type="dxa"/>
          <w:bottom w:w="0" w:type="dxa"/>
          <w:right w:w="56" w:type="dxa"/>
        </w:tblCellMar>
      </w:tblPr>
      <w:tblGrid>
        <w:gridCol w:w="766"/>
        <w:gridCol w:w="1276"/>
        <w:gridCol w:w="1134"/>
        <w:gridCol w:w="993"/>
        <w:gridCol w:w="991"/>
        <w:gridCol w:w="993"/>
        <w:gridCol w:w="1137"/>
        <w:gridCol w:w="991"/>
        <w:gridCol w:w="618"/>
      </w:tblGrid>
      <w:tr w14:paraId="747A8A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6" w:type="dxa"/>
            <w:bottom w:w="0" w:type="dxa"/>
            <w:right w:w="56" w:type="dxa"/>
          </w:tblCellMar>
        </w:tblPrEx>
        <w:trPr>
          <w:cantSplit/>
          <w:trHeight w:val="340" w:hRule="atLeast"/>
          <w:jc w:val="center"/>
        </w:trPr>
        <w:tc>
          <w:tcPr>
            <w:tcW w:w="2042" w:type="dxa"/>
            <w:gridSpan w:val="2"/>
            <w:vMerge w:val="restart"/>
            <w:vAlign w:val="center"/>
          </w:tcPr>
          <w:p w14:paraId="56E57E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工程组成</w:t>
            </w:r>
          </w:p>
          <w:p w14:paraId="7CFFA5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环境资源</w:t>
            </w:r>
          </w:p>
        </w:tc>
        <w:tc>
          <w:tcPr>
            <w:tcW w:w="2127" w:type="dxa"/>
            <w:gridSpan w:val="2"/>
            <w:vAlign w:val="center"/>
          </w:tcPr>
          <w:p w14:paraId="7CBD317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建设期</w:t>
            </w:r>
          </w:p>
        </w:tc>
        <w:tc>
          <w:tcPr>
            <w:tcW w:w="4730" w:type="dxa"/>
            <w:gridSpan w:val="5"/>
            <w:vAlign w:val="center"/>
          </w:tcPr>
          <w:p w14:paraId="0F1539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营运期</w:t>
            </w:r>
          </w:p>
        </w:tc>
      </w:tr>
      <w:tr w14:paraId="7EDF9F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6" w:type="dxa"/>
            <w:bottom w:w="0" w:type="dxa"/>
            <w:right w:w="56" w:type="dxa"/>
          </w:tblCellMar>
        </w:tblPrEx>
        <w:trPr>
          <w:cantSplit/>
          <w:trHeight w:val="340" w:hRule="atLeast"/>
          <w:jc w:val="center"/>
        </w:trPr>
        <w:tc>
          <w:tcPr>
            <w:tcW w:w="2042" w:type="dxa"/>
            <w:gridSpan w:val="2"/>
            <w:vMerge w:val="continue"/>
            <w:vAlign w:val="center"/>
          </w:tcPr>
          <w:p w14:paraId="714909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134" w:type="dxa"/>
            <w:vAlign w:val="center"/>
          </w:tcPr>
          <w:p w14:paraId="0EA634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基础工程</w:t>
            </w:r>
          </w:p>
        </w:tc>
        <w:tc>
          <w:tcPr>
            <w:tcW w:w="993" w:type="dxa"/>
            <w:vAlign w:val="center"/>
          </w:tcPr>
          <w:p w14:paraId="68D81CF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材料运输</w:t>
            </w:r>
          </w:p>
        </w:tc>
        <w:tc>
          <w:tcPr>
            <w:tcW w:w="991" w:type="dxa"/>
            <w:vAlign w:val="center"/>
          </w:tcPr>
          <w:p w14:paraId="72DD4FE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产品生产</w:t>
            </w:r>
          </w:p>
        </w:tc>
        <w:tc>
          <w:tcPr>
            <w:tcW w:w="993" w:type="dxa"/>
            <w:vAlign w:val="center"/>
          </w:tcPr>
          <w:p w14:paraId="479639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废水排放</w:t>
            </w:r>
          </w:p>
        </w:tc>
        <w:tc>
          <w:tcPr>
            <w:tcW w:w="1137" w:type="dxa"/>
            <w:vAlign w:val="center"/>
          </w:tcPr>
          <w:p w14:paraId="3F158A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废气排放</w:t>
            </w:r>
          </w:p>
        </w:tc>
        <w:tc>
          <w:tcPr>
            <w:tcW w:w="991" w:type="dxa"/>
            <w:vAlign w:val="center"/>
          </w:tcPr>
          <w:p w14:paraId="2DFC61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固废堆存</w:t>
            </w:r>
          </w:p>
        </w:tc>
        <w:tc>
          <w:tcPr>
            <w:tcW w:w="618" w:type="dxa"/>
            <w:vAlign w:val="center"/>
          </w:tcPr>
          <w:p w14:paraId="0C5621B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运输</w:t>
            </w:r>
          </w:p>
        </w:tc>
      </w:tr>
      <w:tr w14:paraId="31B46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restart"/>
            <w:vAlign w:val="center"/>
          </w:tcPr>
          <w:p w14:paraId="60AECF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社会发展</w:t>
            </w:r>
          </w:p>
        </w:tc>
        <w:tc>
          <w:tcPr>
            <w:tcW w:w="1276" w:type="dxa"/>
            <w:vAlign w:val="center"/>
          </w:tcPr>
          <w:p w14:paraId="3669BE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劳动就业</w:t>
            </w:r>
          </w:p>
        </w:tc>
        <w:tc>
          <w:tcPr>
            <w:tcW w:w="1134" w:type="dxa"/>
            <w:vAlign w:val="center"/>
          </w:tcPr>
          <w:p w14:paraId="4CA1F7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3" w:type="dxa"/>
            <w:vAlign w:val="center"/>
          </w:tcPr>
          <w:p w14:paraId="1190E66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1" w:type="dxa"/>
            <w:vAlign w:val="center"/>
          </w:tcPr>
          <w:p w14:paraId="2E7E90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3" w:type="dxa"/>
            <w:vAlign w:val="center"/>
          </w:tcPr>
          <w:p w14:paraId="6C70225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137" w:type="dxa"/>
            <w:vAlign w:val="center"/>
          </w:tcPr>
          <w:p w14:paraId="1E7725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742B4A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76CD19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r>
      <w:tr w14:paraId="6510E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continue"/>
            <w:vAlign w:val="center"/>
          </w:tcPr>
          <w:p w14:paraId="3ECEF2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276" w:type="dxa"/>
            <w:vAlign w:val="center"/>
          </w:tcPr>
          <w:p w14:paraId="68A88B8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经济发展</w:t>
            </w:r>
          </w:p>
        </w:tc>
        <w:tc>
          <w:tcPr>
            <w:tcW w:w="1134" w:type="dxa"/>
            <w:vAlign w:val="center"/>
          </w:tcPr>
          <w:p w14:paraId="398BFC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1B4E15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1" w:type="dxa"/>
            <w:vAlign w:val="center"/>
          </w:tcPr>
          <w:p w14:paraId="2BCA41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3" w:type="dxa"/>
            <w:vAlign w:val="center"/>
          </w:tcPr>
          <w:p w14:paraId="0779DF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137" w:type="dxa"/>
            <w:vAlign w:val="center"/>
          </w:tcPr>
          <w:p w14:paraId="637B77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20768B1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010E3A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r>
      <w:tr w14:paraId="388FE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continue"/>
            <w:vAlign w:val="center"/>
          </w:tcPr>
          <w:p w14:paraId="10BB00A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276" w:type="dxa"/>
            <w:vAlign w:val="center"/>
          </w:tcPr>
          <w:p w14:paraId="3400BE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土地利用</w:t>
            </w:r>
          </w:p>
        </w:tc>
        <w:tc>
          <w:tcPr>
            <w:tcW w:w="1134" w:type="dxa"/>
            <w:vAlign w:val="center"/>
          </w:tcPr>
          <w:p w14:paraId="6C13F9A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742EFF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504C21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410D2C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137" w:type="dxa"/>
            <w:vAlign w:val="center"/>
          </w:tcPr>
          <w:p w14:paraId="2835F9E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15AB99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21CF60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r>
      <w:tr w14:paraId="7A8C9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restart"/>
            <w:vAlign w:val="center"/>
          </w:tcPr>
          <w:p w14:paraId="1DF0630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自然资源</w:t>
            </w:r>
          </w:p>
        </w:tc>
        <w:tc>
          <w:tcPr>
            <w:tcW w:w="1276" w:type="dxa"/>
            <w:vAlign w:val="center"/>
          </w:tcPr>
          <w:p w14:paraId="3FFBEF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地表水体</w:t>
            </w:r>
          </w:p>
        </w:tc>
        <w:tc>
          <w:tcPr>
            <w:tcW w:w="1134" w:type="dxa"/>
            <w:vAlign w:val="center"/>
          </w:tcPr>
          <w:p w14:paraId="240517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6D83151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7B383E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689A6E3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1137" w:type="dxa"/>
            <w:vAlign w:val="center"/>
          </w:tcPr>
          <w:p w14:paraId="673AB0F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22CA1BB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50C154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r>
      <w:tr w14:paraId="7EAF2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continue"/>
            <w:vAlign w:val="center"/>
          </w:tcPr>
          <w:p w14:paraId="7F9A36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276" w:type="dxa"/>
            <w:vAlign w:val="center"/>
          </w:tcPr>
          <w:p w14:paraId="07A06BD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植被生态</w:t>
            </w:r>
          </w:p>
        </w:tc>
        <w:tc>
          <w:tcPr>
            <w:tcW w:w="1134" w:type="dxa"/>
            <w:vAlign w:val="center"/>
          </w:tcPr>
          <w:p w14:paraId="4E4F301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3E273F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2B6973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0757AD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137" w:type="dxa"/>
            <w:vAlign w:val="center"/>
          </w:tcPr>
          <w:p w14:paraId="1F8CFB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37D6A78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618" w:type="dxa"/>
            <w:vAlign w:val="center"/>
          </w:tcPr>
          <w:p w14:paraId="00CD3FB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r>
      <w:tr w14:paraId="20C78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continue"/>
            <w:vAlign w:val="center"/>
          </w:tcPr>
          <w:p w14:paraId="294A56E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276" w:type="dxa"/>
            <w:vAlign w:val="center"/>
          </w:tcPr>
          <w:p w14:paraId="281004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自然景观</w:t>
            </w:r>
          </w:p>
        </w:tc>
        <w:tc>
          <w:tcPr>
            <w:tcW w:w="1134" w:type="dxa"/>
            <w:vAlign w:val="center"/>
          </w:tcPr>
          <w:p w14:paraId="6302B8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29D1A9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44CCF86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32E6F0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137" w:type="dxa"/>
            <w:vAlign w:val="center"/>
          </w:tcPr>
          <w:p w14:paraId="2414EF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3F6855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7778A0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r>
      <w:tr w14:paraId="52512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restart"/>
            <w:vAlign w:val="center"/>
          </w:tcPr>
          <w:p w14:paraId="744497C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生活质量</w:t>
            </w:r>
          </w:p>
        </w:tc>
        <w:tc>
          <w:tcPr>
            <w:tcW w:w="1276" w:type="dxa"/>
            <w:vAlign w:val="center"/>
          </w:tcPr>
          <w:p w14:paraId="4CDE0B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空气质量</w:t>
            </w:r>
          </w:p>
        </w:tc>
        <w:tc>
          <w:tcPr>
            <w:tcW w:w="1134" w:type="dxa"/>
            <w:vAlign w:val="center"/>
          </w:tcPr>
          <w:p w14:paraId="01C6F55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3" w:type="dxa"/>
            <w:vAlign w:val="center"/>
          </w:tcPr>
          <w:p w14:paraId="7978B25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1" w:type="dxa"/>
            <w:vAlign w:val="center"/>
          </w:tcPr>
          <w:p w14:paraId="738B54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7650A4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137" w:type="dxa"/>
            <w:vAlign w:val="center"/>
          </w:tcPr>
          <w:p w14:paraId="0EDB01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1" w:type="dxa"/>
            <w:vAlign w:val="center"/>
          </w:tcPr>
          <w:p w14:paraId="2071F37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326F230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r>
      <w:tr w14:paraId="6F68C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continue"/>
            <w:vAlign w:val="center"/>
          </w:tcPr>
          <w:p w14:paraId="7A3E6F2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276" w:type="dxa"/>
            <w:vAlign w:val="center"/>
          </w:tcPr>
          <w:p w14:paraId="7AEACE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地表水质</w:t>
            </w:r>
          </w:p>
        </w:tc>
        <w:tc>
          <w:tcPr>
            <w:tcW w:w="1134" w:type="dxa"/>
            <w:vAlign w:val="center"/>
          </w:tcPr>
          <w:p w14:paraId="1575A4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3" w:type="dxa"/>
            <w:vAlign w:val="center"/>
          </w:tcPr>
          <w:p w14:paraId="29D10B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7F6EE88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418A269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1137" w:type="dxa"/>
            <w:vAlign w:val="center"/>
          </w:tcPr>
          <w:p w14:paraId="5CAD5B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05EEAFF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10EA9B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r>
      <w:tr w14:paraId="347CD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continue"/>
            <w:vAlign w:val="center"/>
          </w:tcPr>
          <w:p w14:paraId="425D20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276" w:type="dxa"/>
            <w:vAlign w:val="center"/>
          </w:tcPr>
          <w:p w14:paraId="6A972D6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声学环境</w:t>
            </w:r>
          </w:p>
        </w:tc>
        <w:tc>
          <w:tcPr>
            <w:tcW w:w="1134" w:type="dxa"/>
            <w:vAlign w:val="center"/>
          </w:tcPr>
          <w:p w14:paraId="4714C0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3" w:type="dxa"/>
            <w:vAlign w:val="center"/>
          </w:tcPr>
          <w:p w14:paraId="0FB735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1" w:type="dxa"/>
            <w:vAlign w:val="center"/>
          </w:tcPr>
          <w:p w14:paraId="308B80B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216467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137" w:type="dxa"/>
            <w:vAlign w:val="center"/>
          </w:tcPr>
          <w:p w14:paraId="024D2A8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74D0AD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3356708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r>
      <w:tr w14:paraId="60513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continue"/>
            <w:vAlign w:val="center"/>
          </w:tcPr>
          <w:p w14:paraId="2FED0C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276" w:type="dxa"/>
            <w:vAlign w:val="center"/>
          </w:tcPr>
          <w:p w14:paraId="4EC148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居住条件</w:t>
            </w:r>
          </w:p>
        </w:tc>
        <w:tc>
          <w:tcPr>
            <w:tcW w:w="1134" w:type="dxa"/>
            <w:vAlign w:val="center"/>
          </w:tcPr>
          <w:p w14:paraId="7E9BA0C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23E4AD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2CB3983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3" w:type="dxa"/>
            <w:vAlign w:val="center"/>
          </w:tcPr>
          <w:p w14:paraId="48167E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1137" w:type="dxa"/>
            <w:vAlign w:val="center"/>
          </w:tcPr>
          <w:p w14:paraId="26B950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1" w:type="dxa"/>
            <w:vAlign w:val="center"/>
          </w:tcPr>
          <w:p w14:paraId="07E1A43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1F0962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r>
      <w:tr w14:paraId="65362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71" w:type="dxa"/>
            <w:bottom w:w="0" w:type="dxa"/>
            <w:right w:w="71" w:type="dxa"/>
          </w:tblCellMar>
        </w:tblPrEx>
        <w:trPr>
          <w:cantSplit/>
          <w:trHeight w:val="340" w:hRule="atLeast"/>
          <w:jc w:val="center"/>
        </w:trPr>
        <w:tc>
          <w:tcPr>
            <w:tcW w:w="766" w:type="dxa"/>
            <w:vMerge w:val="continue"/>
            <w:vAlign w:val="center"/>
          </w:tcPr>
          <w:p w14:paraId="6560C4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276" w:type="dxa"/>
            <w:vAlign w:val="center"/>
          </w:tcPr>
          <w:p w14:paraId="29C5043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经济收入</w:t>
            </w:r>
          </w:p>
        </w:tc>
        <w:tc>
          <w:tcPr>
            <w:tcW w:w="1134" w:type="dxa"/>
            <w:vAlign w:val="center"/>
          </w:tcPr>
          <w:p w14:paraId="5B3B5D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3" w:type="dxa"/>
            <w:vAlign w:val="center"/>
          </w:tcPr>
          <w:p w14:paraId="6B6E4AE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1B433D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c>
          <w:tcPr>
            <w:tcW w:w="993" w:type="dxa"/>
            <w:vAlign w:val="center"/>
          </w:tcPr>
          <w:p w14:paraId="60E431A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1137" w:type="dxa"/>
            <w:vAlign w:val="center"/>
          </w:tcPr>
          <w:p w14:paraId="12B2B2B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991" w:type="dxa"/>
            <w:vAlign w:val="center"/>
          </w:tcPr>
          <w:p w14:paraId="4574BE6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p>
        </w:tc>
        <w:tc>
          <w:tcPr>
            <w:tcW w:w="618" w:type="dxa"/>
            <w:vAlign w:val="center"/>
          </w:tcPr>
          <w:p w14:paraId="0B710B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w:t>
            </w:r>
          </w:p>
        </w:tc>
      </w:tr>
    </w:tbl>
    <w:p w14:paraId="78FE0412">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color w:val="auto"/>
          <w:kern w:val="0"/>
          <w:sz w:val="24"/>
          <w:szCs w:val="24"/>
          <w:highlight w:val="none"/>
          <w:u w:val="none" w:color="auto"/>
          <w:lang w:bidi="en-US"/>
        </w:rPr>
        <w:t>注：★/☆表示长期不利影响/有利影响；▲/△表示短期不利影响/有利影响；空格表示影响不明显或无影响。</w:t>
      </w:r>
    </w:p>
    <w:p w14:paraId="16A342E3">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color w:val="auto"/>
          <w:kern w:val="0"/>
          <w:sz w:val="24"/>
          <w:szCs w:val="24"/>
          <w:highlight w:val="none"/>
          <w:u w:val="none" w:color="auto"/>
          <w:lang w:bidi="en-US"/>
        </w:rPr>
        <w:t>由表2.3-1可知：</w:t>
      </w:r>
    </w:p>
    <w:p w14:paraId="79785E4A">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color w:val="auto"/>
          <w:kern w:val="0"/>
          <w:sz w:val="24"/>
          <w:szCs w:val="24"/>
          <w:highlight w:val="none"/>
          <w:u w:val="none" w:color="auto"/>
          <w:lang w:bidi="en-US"/>
        </w:rPr>
        <w:t>项目建设工程施工期对区域空气环境、水环境和声环境质量会产生短期影响。</w:t>
      </w:r>
    </w:p>
    <w:p w14:paraId="6D9C4EA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lang w:bidi="en-US"/>
        </w:rPr>
        <w:t>项目营运期对环境的影响主要为：①工程生产过程中产生的各类废气对区域大气环境的影响；②工程生产过程中产生的各类废水对区域水环境的影响。</w:t>
      </w:r>
    </w:p>
    <w:p w14:paraId="442AC7C3">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2.3.2评价因子</w:t>
      </w:r>
    </w:p>
    <w:p w14:paraId="0252AE2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根据项目所在区域的环境现状、项目排污特征、环境功能要求，本次评价工作的评价因子详见下表。</w:t>
      </w:r>
    </w:p>
    <w:p w14:paraId="75CA01D7">
      <w:pPr>
        <w:pageBreakBefore w:val="0"/>
        <w:kinsoku/>
        <w:wordWrap/>
        <w:overflowPunct/>
        <w:topLinePunct w:val="0"/>
        <w:bidi w:val="0"/>
        <w:spacing w:line="360" w:lineRule="auto"/>
        <w:ind w:left="0" w:leftChars="0" w:firstLine="482" w:firstLineChars="200"/>
        <w:jc w:val="center"/>
        <w:rPr>
          <w:rFonts w:hint="default" w:ascii="Times New Roman" w:hAnsi="Times New Roman" w:eastAsia="宋体" w:cs="Times New Roman"/>
          <w:b/>
          <w:color w:val="auto"/>
          <w:sz w:val="24"/>
          <w:szCs w:val="24"/>
          <w:highlight w:val="none"/>
          <w:u w:val="none" w:color="auto"/>
        </w:rPr>
      </w:pPr>
      <w:r>
        <w:rPr>
          <w:rFonts w:hint="default" w:ascii="Times New Roman" w:hAnsi="Times New Roman" w:eastAsia="宋体" w:cs="Times New Roman"/>
          <w:b/>
          <w:color w:val="auto"/>
          <w:sz w:val="24"/>
          <w:szCs w:val="24"/>
          <w:highlight w:val="none"/>
          <w:u w:val="none" w:color="auto"/>
        </w:rPr>
        <w:t>表2.3-2 环境评价因子表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5"/>
        <w:gridCol w:w="510"/>
        <w:gridCol w:w="426"/>
        <w:gridCol w:w="3255"/>
        <w:gridCol w:w="2127"/>
        <w:gridCol w:w="1609"/>
      </w:tblGrid>
      <w:tr w14:paraId="0415E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9" w:type="pct"/>
            <w:vAlign w:val="center"/>
          </w:tcPr>
          <w:p w14:paraId="34E9B12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549" w:type="pct"/>
            <w:gridSpan w:val="2"/>
            <w:vAlign w:val="center"/>
          </w:tcPr>
          <w:p w14:paraId="72CCE89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1910" w:type="pct"/>
            <w:vAlign w:val="center"/>
          </w:tcPr>
          <w:p w14:paraId="0DC163A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现状评价因子</w:t>
            </w:r>
          </w:p>
        </w:tc>
        <w:tc>
          <w:tcPr>
            <w:tcW w:w="1248" w:type="pct"/>
            <w:vAlign w:val="center"/>
          </w:tcPr>
          <w:p w14:paraId="1B931D0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污染源评价因子</w:t>
            </w:r>
          </w:p>
        </w:tc>
        <w:tc>
          <w:tcPr>
            <w:tcW w:w="944" w:type="pct"/>
            <w:vAlign w:val="center"/>
          </w:tcPr>
          <w:p w14:paraId="45BCE8F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预测评价因子</w:t>
            </w:r>
          </w:p>
        </w:tc>
      </w:tr>
      <w:tr w14:paraId="7C134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9" w:type="pct"/>
            <w:vAlign w:val="center"/>
          </w:tcPr>
          <w:p w14:paraId="30045F2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549" w:type="pct"/>
            <w:gridSpan w:val="2"/>
            <w:vAlign w:val="center"/>
          </w:tcPr>
          <w:p w14:paraId="552BE88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大气环境</w:t>
            </w:r>
          </w:p>
        </w:tc>
        <w:tc>
          <w:tcPr>
            <w:tcW w:w="1910" w:type="pct"/>
            <w:vAlign w:val="center"/>
          </w:tcPr>
          <w:p w14:paraId="33B706E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10</w:t>
            </w: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2.5</w:t>
            </w: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、CO、</w:t>
            </w:r>
            <w:r>
              <w:rPr>
                <w:rFonts w:hint="default" w:ascii="Times New Roman" w:hAnsi="Times New Roman" w:eastAsia="宋体" w:cs="Times New Roman"/>
                <w:color w:val="auto"/>
                <w:kern w:val="0"/>
                <w:sz w:val="21"/>
                <w:szCs w:val="21"/>
                <w:highlight w:val="none"/>
                <w:u w:val="none" w:color="auto"/>
                <w:lang w:bidi="en-US"/>
              </w:rPr>
              <w:t>O</w:t>
            </w:r>
            <w:r>
              <w:rPr>
                <w:rFonts w:hint="default" w:ascii="Times New Roman" w:hAnsi="Times New Roman" w:eastAsia="宋体" w:cs="Times New Roman"/>
                <w:color w:val="auto"/>
                <w:kern w:val="0"/>
                <w:sz w:val="21"/>
                <w:szCs w:val="21"/>
                <w:highlight w:val="none"/>
                <w:u w:val="none" w:color="auto"/>
                <w:vertAlign w:val="subscript"/>
                <w:lang w:bidi="en-US"/>
              </w:rPr>
              <w:t>3</w:t>
            </w:r>
            <w:r>
              <w:rPr>
                <w:rFonts w:hint="default" w:ascii="Times New Roman" w:hAnsi="Times New Roman" w:eastAsia="宋体" w:cs="Times New Roman"/>
                <w:color w:val="auto"/>
                <w:sz w:val="21"/>
                <w:szCs w:val="21"/>
                <w:highlight w:val="none"/>
                <w:u w:val="none" w:color="auto"/>
              </w:rPr>
              <w:t>、硫酸雾、氯化氢</w:t>
            </w:r>
            <w:r>
              <w:rPr>
                <w:rFonts w:hint="default" w:ascii="Times New Roman" w:hAnsi="Times New Roman" w:eastAsia="宋体" w:cs="Times New Roman"/>
                <w:color w:val="auto"/>
                <w:sz w:val="21"/>
                <w:szCs w:val="21"/>
                <w:highlight w:val="none"/>
                <w:u w:val="none" w:color="auto"/>
                <w:lang w:eastAsia="zh-CN"/>
              </w:rPr>
              <w:t>、非甲烷总烃、</w:t>
            </w:r>
            <w:r>
              <w:rPr>
                <w:rFonts w:hint="default" w:ascii="Times New Roman" w:hAnsi="Times New Roman" w:eastAsia="宋体" w:cs="Times New Roman"/>
                <w:color w:val="auto"/>
                <w:sz w:val="21"/>
                <w:szCs w:val="21"/>
                <w:highlight w:val="none"/>
                <w:u w:val="none" w:color="auto"/>
                <w:lang w:val="en-US" w:eastAsia="zh-CN"/>
              </w:rPr>
              <w:t>TVOC</w:t>
            </w:r>
          </w:p>
        </w:tc>
        <w:tc>
          <w:tcPr>
            <w:tcW w:w="1248" w:type="pct"/>
            <w:vAlign w:val="center"/>
          </w:tcPr>
          <w:p w14:paraId="5D0F5FB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硫酸雾、氯化氢、氮氧化物</w:t>
            </w:r>
            <w:r>
              <w:rPr>
                <w:rFonts w:hint="default" w:ascii="Times New Roman" w:hAnsi="Times New Roman" w:eastAsia="宋体" w:cs="Times New Roman"/>
                <w:color w:val="auto"/>
                <w:sz w:val="21"/>
                <w:szCs w:val="21"/>
                <w:highlight w:val="none"/>
                <w:u w:val="none" w:color="auto"/>
                <w:lang w:eastAsia="zh-CN"/>
              </w:rPr>
              <w:t>、非甲烷总烃</w:t>
            </w:r>
            <w:r>
              <w:rPr>
                <w:rFonts w:hint="default" w:ascii="Times New Roman" w:hAnsi="Times New Roman" w:eastAsia="宋体" w:cs="Times New Roman"/>
                <w:color w:val="auto"/>
                <w:sz w:val="21"/>
                <w:szCs w:val="21"/>
                <w:highlight w:val="none"/>
                <w:u w:val="none" w:color="auto"/>
                <w:lang w:val="en-US" w:eastAsia="zh-CN"/>
              </w:rPr>
              <w:t>、TSP</w:t>
            </w:r>
          </w:p>
        </w:tc>
        <w:tc>
          <w:tcPr>
            <w:tcW w:w="944" w:type="pct"/>
            <w:vAlign w:val="center"/>
          </w:tcPr>
          <w:p w14:paraId="4AAB106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硫酸雾、氯化氢、氮氧化物</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VOCs、TSP</w:t>
            </w:r>
          </w:p>
        </w:tc>
      </w:tr>
      <w:tr w14:paraId="6041D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9" w:type="pct"/>
            <w:vMerge w:val="restart"/>
            <w:vAlign w:val="center"/>
          </w:tcPr>
          <w:p w14:paraId="49558E1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99" w:type="pct"/>
            <w:vMerge w:val="restart"/>
            <w:vAlign w:val="center"/>
          </w:tcPr>
          <w:p w14:paraId="5845424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水环境</w:t>
            </w:r>
          </w:p>
        </w:tc>
        <w:tc>
          <w:tcPr>
            <w:tcW w:w="250" w:type="pct"/>
            <w:vAlign w:val="center"/>
          </w:tcPr>
          <w:p w14:paraId="43489AD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地表水</w:t>
            </w:r>
          </w:p>
        </w:tc>
        <w:tc>
          <w:tcPr>
            <w:tcW w:w="1910" w:type="pct"/>
            <w:vAlign w:val="center"/>
          </w:tcPr>
          <w:p w14:paraId="71A1F5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eastAsia="zh-CN"/>
              </w:rPr>
              <w:t>pH</w:t>
            </w:r>
            <w:r>
              <w:rPr>
                <w:rFonts w:hint="default" w:ascii="Times New Roman" w:hAnsi="Times New Roman" w:eastAsia="宋体" w:cs="Times New Roman"/>
                <w:color w:val="auto"/>
                <w:kern w:val="0"/>
                <w:sz w:val="21"/>
                <w:szCs w:val="21"/>
                <w:highlight w:val="none"/>
                <w:u w:val="none" w:color="auto"/>
              </w:rPr>
              <w:t>、溶解氧、化学需氧量、BOD</w:t>
            </w:r>
            <w:r>
              <w:rPr>
                <w:rFonts w:hint="default" w:ascii="Times New Roman" w:hAnsi="Times New Roman" w:eastAsia="宋体" w:cs="Times New Roman"/>
                <w:color w:val="auto"/>
                <w:kern w:val="0"/>
                <w:sz w:val="21"/>
                <w:szCs w:val="21"/>
                <w:highlight w:val="none"/>
                <w:u w:val="none" w:color="auto"/>
                <w:vertAlign w:val="subscript"/>
              </w:rPr>
              <w:t>5</w:t>
            </w:r>
            <w:r>
              <w:rPr>
                <w:rFonts w:hint="default" w:ascii="Times New Roman" w:hAnsi="Times New Roman" w:eastAsia="宋体" w:cs="Times New Roman"/>
                <w:color w:val="auto"/>
                <w:kern w:val="0"/>
                <w:sz w:val="21"/>
                <w:szCs w:val="21"/>
                <w:highlight w:val="none"/>
                <w:u w:val="none" w:color="auto"/>
              </w:rPr>
              <w:t>、总磷、NH</w:t>
            </w:r>
            <w:r>
              <w:rPr>
                <w:rFonts w:hint="default" w:ascii="Times New Roman" w:hAnsi="Times New Roman" w:eastAsia="宋体" w:cs="Times New Roman"/>
                <w:color w:val="auto"/>
                <w:kern w:val="0"/>
                <w:sz w:val="21"/>
                <w:szCs w:val="21"/>
                <w:highlight w:val="none"/>
                <w:u w:val="none" w:color="auto"/>
                <w:vertAlign w:val="subscript"/>
              </w:rPr>
              <w:t>3</w:t>
            </w:r>
            <w:r>
              <w:rPr>
                <w:rFonts w:hint="default" w:ascii="Times New Roman" w:hAnsi="Times New Roman" w:eastAsia="宋体" w:cs="Times New Roman"/>
                <w:color w:val="auto"/>
                <w:kern w:val="0"/>
                <w:sz w:val="21"/>
                <w:szCs w:val="21"/>
                <w:highlight w:val="none"/>
                <w:u w:val="none" w:color="auto"/>
              </w:rPr>
              <w:t xml:space="preserve"> -N、石油类、氟化物、硫化物、硫酸盐、挥发酚、铅、砷、镉、铬（六价）、汞、铜、锌、粪大肠菌群、氯化物、镍、铊、氯乙烯</w:t>
            </w:r>
          </w:p>
        </w:tc>
        <w:tc>
          <w:tcPr>
            <w:tcW w:w="1248" w:type="pct"/>
            <w:vAlign w:val="center"/>
          </w:tcPr>
          <w:p w14:paraId="4D147E6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值、SS、COD、NH</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-N、总磷、石油类、总镍、铜、锌、氯化物、硫酸盐、TDS</w:t>
            </w:r>
          </w:p>
        </w:tc>
        <w:tc>
          <w:tcPr>
            <w:tcW w:w="944" w:type="pct"/>
            <w:vAlign w:val="center"/>
          </w:tcPr>
          <w:p w14:paraId="411FF39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02694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9" w:type="pct"/>
            <w:vMerge w:val="continue"/>
            <w:vAlign w:val="center"/>
          </w:tcPr>
          <w:p w14:paraId="1EC30E5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p>
        </w:tc>
        <w:tc>
          <w:tcPr>
            <w:tcW w:w="299" w:type="pct"/>
            <w:vMerge w:val="continue"/>
            <w:vAlign w:val="center"/>
          </w:tcPr>
          <w:p w14:paraId="647BF54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p>
        </w:tc>
        <w:tc>
          <w:tcPr>
            <w:tcW w:w="250" w:type="pct"/>
            <w:vAlign w:val="center"/>
          </w:tcPr>
          <w:p w14:paraId="6E4B5DC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w:t>
            </w:r>
          </w:p>
        </w:tc>
        <w:tc>
          <w:tcPr>
            <w:tcW w:w="1910" w:type="pct"/>
            <w:vAlign w:val="center"/>
          </w:tcPr>
          <w:p w14:paraId="459C21D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pH值、氨氮、硝酸盐、亚硝酸盐、挥发性酚类、氰化物、砷、汞、六价铬、总硬度、铅、氟、镉、铁、锰、锌、铜、镍、溶解性总固体、氯化物、硫酸盐、高锰酸盐指数、总大肠菌群、细菌总数，K+、Na+、Ca</w:t>
            </w:r>
            <w:r>
              <w:rPr>
                <w:rFonts w:hint="default" w:ascii="Times New Roman" w:hAnsi="Times New Roman" w:eastAsia="宋体" w:cs="Times New Roman"/>
                <w:color w:val="auto"/>
                <w:sz w:val="21"/>
                <w:szCs w:val="21"/>
                <w:highlight w:val="none"/>
                <w:u w:val="none" w:color="auto"/>
                <w:vertAlign w:val="superscript"/>
                <w:lang w:eastAsia="zh-CN"/>
              </w:rPr>
              <w:t>2+</w:t>
            </w:r>
            <w:r>
              <w:rPr>
                <w:rFonts w:hint="default" w:ascii="Times New Roman" w:hAnsi="Times New Roman" w:eastAsia="宋体" w:cs="Times New Roman"/>
                <w:color w:val="auto"/>
                <w:sz w:val="21"/>
                <w:szCs w:val="21"/>
                <w:highlight w:val="none"/>
                <w:u w:val="none" w:color="auto"/>
                <w:lang w:eastAsia="zh-CN"/>
              </w:rPr>
              <w:t>、Mg</w:t>
            </w:r>
            <w:r>
              <w:rPr>
                <w:rFonts w:hint="default" w:ascii="Times New Roman" w:hAnsi="Times New Roman" w:eastAsia="宋体" w:cs="Times New Roman"/>
                <w:color w:val="auto"/>
                <w:sz w:val="21"/>
                <w:szCs w:val="21"/>
                <w:highlight w:val="none"/>
                <w:u w:val="none" w:color="auto"/>
                <w:vertAlign w:val="superscript"/>
                <w:lang w:eastAsia="zh-CN"/>
              </w:rPr>
              <w:t>2+</w:t>
            </w:r>
            <w:r>
              <w:rPr>
                <w:rFonts w:hint="default" w:ascii="Times New Roman" w:hAnsi="Times New Roman" w:eastAsia="宋体" w:cs="Times New Roman"/>
                <w:color w:val="auto"/>
                <w:sz w:val="21"/>
                <w:szCs w:val="21"/>
                <w:highlight w:val="none"/>
                <w:u w:val="none" w:color="auto"/>
                <w:lang w:eastAsia="zh-CN"/>
              </w:rPr>
              <w:t>、CO</w:t>
            </w:r>
            <w:r>
              <w:rPr>
                <w:rFonts w:hint="default" w:ascii="Times New Roman" w:hAnsi="Times New Roman" w:eastAsia="宋体" w:cs="Times New Roman"/>
                <w:color w:val="auto"/>
                <w:sz w:val="21"/>
                <w:szCs w:val="21"/>
                <w:highlight w:val="none"/>
                <w:u w:val="none" w:color="auto"/>
                <w:vertAlign w:val="subscript"/>
                <w:lang w:eastAsia="zh-CN"/>
              </w:rPr>
              <w:t>3</w:t>
            </w:r>
            <w:r>
              <w:rPr>
                <w:rFonts w:hint="default" w:ascii="Times New Roman" w:hAnsi="Times New Roman" w:eastAsia="宋体" w:cs="Times New Roman"/>
                <w:color w:val="auto"/>
                <w:sz w:val="21"/>
                <w:szCs w:val="21"/>
                <w:highlight w:val="none"/>
                <w:u w:val="none" w:color="auto"/>
                <w:vertAlign w:val="superscript"/>
                <w:lang w:eastAsia="zh-CN"/>
              </w:rPr>
              <w:t>2-</w:t>
            </w:r>
            <w:r>
              <w:rPr>
                <w:rFonts w:hint="default" w:ascii="Times New Roman" w:hAnsi="Times New Roman" w:eastAsia="宋体" w:cs="Times New Roman"/>
                <w:color w:val="auto"/>
                <w:sz w:val="21"/>
                <w:szCs w:val="21"/>
                <w:highlight w:val="none"/>
                <w:u w:val="none" w:color="auto"/>
                <w:lang w:eastAsia="zh-CN"/>
              </w:rPr>
              <w:t>、HCO</w:t>
            </w:r>
            <w:r>
              <w:rPr>
                <w:rFonts w:hint="default" w:ascii="Times New Roman" w:hAnsi="Times New Roman" w:eastAsia="宋体" w:cs="Times New Roman"/>
                <w:color w:val="auto"/>
                <w:sz w:val="21"/>
                <w:szCs w:val="21"/>
                <w:highlight w:val="none"/>
                <w:u w:val="none" w:color="auto"/>
                <w:vertAlign w:val="subscript"/>
                <w:lang w:eastAsia="zh-CN"/>
              </w:rPr>
              <w:t>3</w:t>
            </w:r>
            <w:r>
              <w:rPr>
                <w:rFonts w:hint="default" w:ascii="Times New Roman" w:hAnsi="Times New Roman" w:eastAsia="宋体" w:cs="Times New Roman"/>
                <w:color w:val="auto"/>
                <w:sz w:val="21"/>
                <w:szCs w:val="21"/>
                <w:highlight w:val="none"/>
                <w:u w:val="none" w:color="auto"/>
                <w:vertAlign w:val="superscript"/>
                <w:lang w:eastAsia="zh-CN"/>
              </w:rPr>
              <w:t>-</w:t>
            </w:r>
            <w:r>
              <w:rPr>
                <w:rFonts w:hint="default" w:ascii="Times New Roman" w:hAnsi="Times New Roman" w:eastAsia="宋体" w:cs="Times New Roman"/>
                <w:color w:val="auto"/>
                <w:sz w:val="21"/>
                <w:szCs w:val="21"/>
                <w:highlight w:val="none"/>
                <w:u w:val="none" w:color="auto"/>
                <w:lang w:eastAsia="zh-CN"/>
              </w:rPr>
              <w:t>、C</w:t>
            </w:r>
            <w:r>
              <w:rPr>
                <w:rFonts w:hint="default" w:ascii="Times New Roman" w:hAnsi="Times New Roman" w:eastAsia="宋体" w:cs="Times New Roman"/>
                <w:color w:val="auto"/>
                <w:sz w:val="21"/>
                <w:szCs w:val="21"/>
                <w:highlight w:val="none"/>
                <w:u w:val="none" w:color="auto"/>
                <w:vertAlign w:val="baseline"/>
                <w:lang w:val="en-US" w:eastAsia="zh-CN"/>
              </w:rPr>
              <w:t>l</w:t>
            </w:r>
            <w:r>
              <w:rPr>
                <w:rFonts w:hint="default" w:ascii="Times New Roman" w:hAnsi="Times New Roman" w:eastAsia="宋体" w:cs="Times New Roman"/>
                <w:color w:val="auto"/>
                <w:sz w:val="21"/>
                <w:szCs w:val="21"/>
                <w:highlight w:val="none"/>
                <w:u w:val="none" w:color="auto"/>
                <w:vertAlign w:val="superscript"/>
                <w:lang w:eastAsia="zh-CN"/>
              </w:rPr>
              <w:t>-</w:t>
            </w:r>
            <w:r>
              <w:rPr>
                <w:rFonts w:hint="default" w:ascii="Times New Roman" w:hAnsi="Times New Roman" w:eastAsia="宋体" w:cs="Times New Roman"/>
                <w:color w:val="auto"/>
                <w:sz w:val="21"/>
                <w:szCs w:val="21"/>
                <w:highlight w:val="none"/>
                <w:u w:val="none" w:color="auto"/>
                <w:lang w:eastAsia="zh-CN"/>
              </w:rPr>
              <w:t>、SO</w:t>
            </w:r>
            <w:r>
              <w:rPr>
                <w:rFonts w:hint="default" w:ascii="Times New Roman" w:hAnsi="Times New Roman" w:eastAsia="宋体" w:cs="Times New Roman"/>
                <w:color w:val="auto"/>
                <w:sz w:val="21"/>
                <w:szCs w:val="21"/>
                <w:highlight w:val="none"/>
                <w:u w:val="none" w:color="auto"/>
                <w:vertAlign w:val="subscript"/>
                <w:lang w:eastAsia="zh-CN"/>
              </w:rPr>
              <w:t>4</w:t>
            </w:r>
            <w:r>
              <w:rPr>
                <w:rFonts w:hint="default" w:ascii="Times New Roman" w:hAnsi="Times New Roman" w:eastAsia="宋体" w:cs="Times New Roman"/>
                <w:color w:val="auto"/>
                <w:sz w:val="21"/>
                <w:szCs w:val="21"/>
                <w:highlight w:val="none"/>
                <w:u w:val="none" w:color="auto"/>
                <w:vertAlign w:val="superscript"/>
                <w:lang w:eastAsia="zh-CN"/>
              </w:rPr>
              <w:t>2-</w:t>
            </w:r>
          </w:p>
        </w:tc>
        <w:tc>
          <w:tcPr>
            <w:tcW w:w="1248" w:type="pct"/>
            <w:vAlign w:val="center"/>
          </w:tcPr>
          <w:p w14:paraId="0C265D2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944" w:type="pct"/>
            <w:vAlign w:val="center"/>
          </w:tcPr>
          <w:p w14:paraId="57D4A07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r>
      <w:tr w14:paraId="07D72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9" w:type="pct"/>
            <w:vAlign w:val="center"/>
          </w:tcPr>
          <w:p w14:paraId="4DA9400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549" w:type="pct"/>
            <w:gridSpan w:val="2"/>
            <w:vAlign w:val="center"/>
          </w:tcPr>
          <w:p w14:paraId="149E738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声环境</w:t>
            </w:r>
          </w:p>
        </w:tc>
        <w:tc>
          <w:tcPr>
            <w:tcW w:w="1910" w:type="pct"/>
            <w:vAlign w:val="center"/>
          </w:tcPr>
          <w:p w14:paraId="0A99B99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Leq(A)</w:t>
            </w:r>
          </w:p>
        </w:tc>
        <w:tc>
          <w:tcPr>
            <w:tcW w:w="1248" w:type="pct"/>
            <w:vAlign w:val="center"/>
          </w:tcPr>
          <w:p w14:paraId="13A1D8C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Leq(A)</w:t>
            </w:r>
          </w:p>
        </w:tc>
        <w:tc>
          <w:tcPr>
            <w:tcW w:w="944" w:type="pct"/>
            <w:vAlign w:val="center"/>
          </w:tcPr>
          <w:p w14:paraId="130ABD0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Leq(A)</w:t>
            </w:r>
          </w:p>
        </w:tc>
      </w:tr>
      <w:tr w14:paraId="65A49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9" w:type="pct"/>
            <w:vAlign w:val="center"/>
          </w:tcPr>
          <w:p w14:paraId="26783E2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549" w:type="pct"/>
            <w:gridSpan w:val="2"/>
            <w:vAlign w:val="center"/>
          </w:tcPr>
          <w:p w14:paraId="36BC027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土壤环境</w:t>
            </w:r>
          </w:p>
        </w:tc>
        <w:tc>
          <w:tcPr>
            <w:tcW w:w="1910" w:type="pct"/>
            <w:vAlign w:val="center"/>
          </w:tcPr>
          <w:p w14:paraId="4ABD743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bidi="en-US"/>
              </w:rPr>
              <w:t>镉、砷、六价铬、铜、铅、汞、镍、四氯化碳、氯仿、氯甲烷、1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1-二氯乙烷、1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2-二氯乙烷、1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1-二氯乙烯、顺1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2-二氯乙烯、反1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2-二氯乙烯、二氯甲烷、1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2-二氯丙烷、1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2-四氯乙烷、1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-四氯乙烷、四氯乙烯、1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1-三氯乙烷、1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2-三氯乙烷、三氯乙烯、1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3-三氯丙烷、氯乙烯、苯、氯苯、1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2-二氯苯、1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4-二氯苯、乙苯、苯乙烯、甲苯、间二甲苯+对二甲苯、邻二甲苯、硝基苯、苯胺、2-氯酚、苯并［α］芘、苯并［α］蒽、苯并［b］荧蒽、苯并［k］荧蒽、䓛、二苯并［α</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h］蒽、茚并［1</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2</w:t>
            </w:r>
            <w:r>
              <w:rPr>
                <w:rFonts w:hint="default" w:ascii="Times New Roman" w:hAnsi="Times New Roman" w:eastAsia="宋体" w:cs="Times New Roman"/>
                <w:bCs/>
                <w:color w:val="auto"/>
                <w:sz w:val="21"/>
                <w:szCs w:val="21"/>
                <w:highlight w:val="none"/>
                <w:u w:val="none" w:color="auto"/>
                <w:lang w:eastAsia="zh-CN" w:bidi="en-US"/>
              </w:rPr>
              <w:t>，</w:t>
            </w:r>
            <w:r>
              <w:rPr>
                <w:rFonts w:hint="default" w:ascii="Times New Roman" w:hAnsi="Times New Roman" w:eastAsia="宋体" w:cs="Times New Roman"/>
                <w:bCs/>
                <w:color w:val="auto"/>
                <w:sz w:val="21"/>
                <w:szCs w:val="21"/>
                <w:highlight w:val="none"/>
                <w:u w:val="none" w:color="auto"/>
                <w:lang w:bidi="en-US"/>
              </w:rPr>
              <w:t>3-cd］芘、萘</w:t>
            </w:r>
          </w:p>
        </w:tc>
        <w:tc>
          <w:tcPr>
            <w:tcW w:w="1248" w:type="pct"/>
            <w:vAlign w:val="center"/>
          </w:tcPr>
          <w:p w14:paraId="20205EC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944" w:type="pct"/>
            <w:vAlign w:val="center"/>
          </w:tcPr>
          <w:p w14:paraId="5E65D4D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镍</w:t>
            </w:r>
          </w:p>
        </w:tc>
      </w:tr>
    </w:tbl>
    <w:p w14:paraId="4EFD96ED">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17" w:name="_Toc3402"/>
      <w:r>
        <w:rPr>
          <w:rFonts w:hint="default" w:ascii="Times New Roman" w:hAnsi="Times New Roman" w:eastAsia="宋体" w:cs="Times New Roman"/>
          <w:color w:val="auto"/>
          <w:sz w:val="28"/>
          <w:szCs w:val="28"/>
          <w:highlight w:val="none"/>
          <w:u w:val="none" w:color="auto"/>
        </w:rPr>
        <w:t>2.4区域环境功能区划及评价标准</w:t>
      </w:r>
      <w:bookmarkEnd w:id="17"/>
    </w:p>
    <w:p w14:paraId="36744AFC">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2.4.1区域环境功能区划</w:t>
      </w:r>
    </w:p>
    <w:p w14:paraId="08427B21">
      <w:pPr>
        <w:pageBreakBefore w:val="0"/>
        <w:kinsoku/>
        <w:wordWrap/>
        <w:overflowPunct/>
        <w:topLinePunct w:val="0"/>
        <w:bidi w:val="0"/>
        <w:adjustRightInd w:val="0"/>
        <w:snapToGrid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项目所属的各类环境功能区区划和属性详见下表：</w:t>
      </w:r>
    </w:p>
    <w:p w14:paraId="19FF1D35">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表2.4-1 项目所在区域环境功能属性</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9"/>
        <w:gridCol w:w="3382"/>
        <w:gridCol w:w="3961"/>
      </w:tblGrid>
      <w:tr w14:paraId="0BCE6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2" w:type="pct"/>
            <w:vAlign w:val="center"/>
          </w:tcPr>
          <w:p w14:paraId="2DE2984E">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编号</w:t>
            </w:r>
          </w:p>
        </w:tc>
        <w:tc>
          <w:tcPr>
            <w:tcW w:w="1984" w:type="pct"/>
            <w:vAlign w:val="center"/>
          </w:tcPr>
          <w:p w14:paraId="5E272779">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项目</w:t>
            </w:r>
          </w:p>
        </w:tc>
        <w:tc>
          <w:tcPr>
            <w:tcW w:w="2324" w:type="pct"/>
            <w:vAlign w:val="center"/>
          </w:tcPr>
          <w:p w14:paraId="078772D3">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类别</w:t>
            </w:r>
          </w:p>
        </w:tc>
      </w:tr>
      <w:tr w14:paraId="7294B9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Align w:val="center"/>
          </w:tcPr>
          <w:p w14:paraId="13305EAF">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1</w:t>
            </w:r>
          </w:p>
        </w:tc>
        <w:tc>
          <w:tcPr>
            <w:tcW w:w="1984" w:type="pct"/>
            <w:vAlign w:val="center"/>
          </w:tcPr>
          <w:p w14:paraId="2A053495">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地表水环境功能区</w:t>
            </w:r>
          </w:p>
        </w:tc>
        <w:tc>
          <w:tcPr>
            <w:tcW w:w="2324" w:type="pct"/>
            <w:vAlign w:val="center"/>
          </w:tcPr>
          <w:p w14:paraId="51B348F3">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Ⅲ类标准</w:t>
            </w:r>
          </w:p>
        </w:tc>
      </w:tr>
      <w:tr w14:paraId="7253C3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Align w:val="center"/>
          </w:tcPr>
          <w:p w14:paraId="20AC0359">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2</w:t>
            </w:r>
          </w:p>
        </w:tc>
        <w:tc>
          <w:tcPr>
            <w:tcW w:w="1984" w:type="pct"/>
            <w:vAlign w:val="center"/>
          </w:tcPr>
          <w:p w14:paraId="0B4E3E3E">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地下水功能区</w:t>
            </w:r>
          </w:p>
        </w:tc>
        <w:tc>
          <w:tcPr>
            <w:tcW w:w="2324" w:type="pct"/>
            <w:vAlign w:val="center"/>
          </w:tcPr>
          <w:p w14:paraId="157934B9">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Ⅲ类标准</w:t>
            </w:r>
          </w:p>
        </w:tc>
      </w:tr>
      <w:tr w14:paraId="4CF53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Align w:val="center"/>
          </w:tcPr>
          <w:p w14:paraId="0C3043BB">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3</w:t>
            </w:r>
          </w:p>
        </w:tc>
        <w:tc>
          <w:tcPr>
            <w:tcW w:w="1984" w:type="pct"/>
            <w:vAlign w:val="center"/>
          </w:tcPr>
          <w:p w14:paraId="4F9B65A9">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环境空气质量功能区</w:t>
            </w:r>
          </w:p>
        </w:tc>
        <w:tc>
          <w:tcPr>
            <w:tcW w:w="2324" w:type="pct"/>
            <w:vAlign w:val="center"/>
          </w:tcPr>
          <w:p w14:paraId="392DA507">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二类区</w:t>
            </w:r>
          </w:p>
        </w:tc>
      </w:tr>
      <w:tr w14:paraId="03C27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Align w:val="center"/>
          </w:tcPr>
          <w:p w14:paraId="2310CB69">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4</w:t>
            </w:r>
          </w:p>
        </w:tc>
        <w:tc>
          <w:tcPr>
            <w:tcW w:w="1984" w:type="pct"/>
            <w:vAlign w:val="center"/>
          </w:tcPr>
          <w:p w14:paraId="5543BEE1">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声环境功能区</w:t>
            </w:r>
          </w:p>
        </w:tc>
        <w:tc>
          <w:tcPr>
            <w:tcW w:w="2324" w:type="pct"/>
            <w:vAlign w:val="center"/>
          </w:tcPr>
          <w:p w14:paraId="406EC7DA">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3类、4a类</w:t>
            </w:r>
          </w:p>
        </w:tc>
      </w:tr>
      <w:tr w14:paraId="7A932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Align w:val="center"/>
          </w:tcPr>
          <w:p w14:paraId="1C8B02D4">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5</w:t>
            </w:r>
          </w:p>
        </w:tc>
        <w:tc>
          <w:tcPr>
            <w:tcW w:w="1984" w:type="pct"/>
            <w:vAlign w:val="center"/>
          </w:tcPr>
          <w:p w14:paraId="4084DC31">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是否经济开发区/工业集中区</w:t>
            </w:r>
          </w:p>
        </w:tc>
        <w:tc>
          <w:tcPr>
            <w:tcW w:w="2324" w:type="pct"/>
            <w:vAlign w:val="center"/>
          </w:tcPr>
          <w:p w14:paraId="6206BD6B">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是</w:t>
            </w:r>
          </w:p>
        </w:tc>
      </w:tr>
      <w:tr w14:paraId="75E02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Align w:val="center"/>
          </w:tcPr>
          <w:p w14:paraId="1D0B3827">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6</w:t>
            </w:r>
          </w:p>
        </w:tc>
        <w:tc>
          <w:tcPr>
            <w:tcW w:w="1984" w:type="pct"/>
            <w:vAlign w:val="center"/>
          </w:tcPr>
          <w:p w14:paraId="2E3176E8">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是否基本农田保护区</w:t>
            </w:r>
          </w:p>
        </w:tc>
        <w:tc>
          <w:tcPr>
            <w:tcW w:w="2324" w:type="pct"/>
            <w:vAlign w:val="center"/>
          </w:tcPr>
          <w:p w14:paraId="3DE50374">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否</w:t>
            </w:r>
          </w:p>
        </w:tc>
      </w:tr>
      <w:tr w14:paraId="08F59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Align w:val="center"/>
          </w:tcPr>
          <w:p w14:paraId="0AD05C3C">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7</w:t>
            </w:r>
          </w:p>
        </w:tc>
        <w:tc>
          <w:tcPr>
            <w:tcW w:w="1984" w:type="pct"/>
            <w:vAlign w:val="center"/>
          </w:tcPr>
          <w:p w14:paraId="29B22580">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是否风景保护区</w:t>
            </w:r>
          </w:p>
        </w:tc>
        <w:tc>
          <w:tcPr>
            <w:tcW w:w="2324" w:type="pct"/>
            <w:vAlign w:val="center"/>
          </w:tcPr>
          <w:p w14:paraId="0CFF6E66">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否</w:t>
            </w:r>
          </w:p>
        </w:tc>
      </w:tr>
      <w:tr w14:paraId="07901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Align w:val="center"/>
          </w:tcPr>
          <w:p w14:paraId="32C7126E">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8</w:t>
            </w:r>
          </w:p>
        </w:tc>
        <w:tc>
          <w:tcPr>
            <w:tcW w:w="1984" w:type="pct"/>
            <w:vAlign w:val="center"/>
          </w:tcPr>
          <w:p w14:paraId="635D5A49">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是否水库库区</w:t>
            </w:r>
          </w:p>
        </w:tc>
        <w:tc>
          <w:tcPr>
            <w:tcW w:w="2324" w:type="pct"/>
            <w:vAlign w:val="center"/>
          </w:tcPr>
          <w:p w14:paraId="72E0F547">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否</w:t>
            </w:r>
          </w:p>
        </w:tc>
      </w:tr>
      <w:tr w14:paraId="04231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2" w:type="pct"/>
            <w:vAlign w:val="center"/>
          </w:tcPr>
          <w:p w14:paraId="3D4CF03D">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9</w:t>
            </w:r>
          </w:p>
        </w:tc>
        <w:tc>
          <w:tcPr>
            <w:tcW w:w="1984" w:type="pct"/>
            <w:vAlign w:val="center"/>
          </w:tcPr>
          <w:p w14:paraId="3CBC4984">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是否属于集中污水处理厂纳污范围</w:t>
            </w:r>
          </w:p>
        </w:tc>
        <w:tc>
          <w:tcPr>
            <w:tcW w:w="2324" w:type="pct"/>
            <w:vAlign w:val="center"/>
          </w:tcPr>
          <w:p w14:paraId="504BEAEB">
            <w:pPr>
              <w:pStyle w:val="31"/>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textAlignment w:val="auto"/>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rPr>
              <w:t>是</w:t>
            </w:r>
          </w:p>
        </w:tc>
      </w:tr>
    </w:tbl>
    <w:p w14:paraId="2006F005">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2.4.2评价标准</w:t>
      </w:r>
    </w:p>
    <w:p w14:paraId="1986020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本项目执行评价标准如下：</w:t>
      </w:r>
    </w:p>
    <w:p w14:paraId="2AEAF34A">
      <w:pPr>
        <w:pStyle w:val="5"/>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2.4.2.1环境质量标准</w:t>
      </w:r>
    </w:p>
    <w:p w14:paraId="06A244E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（1）环境空气质量标准</w:t>
      </w:r>
    </w:p>
    <w:p w14:paraId="2D0BC0D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项目所在区域环境空气质量中基本污染物SO</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、NO</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、PM</w:t>
      </w:r>
      <w:r>
        <w:rPr>
          <w:rFonts w:hint="default" w:ascii="Times New Roman" w:hAnsi="Times New Roman" w:eastAsia="宋体" w:cs="Times New Roman"/>
          <w:color w:val="auto"/>
          <w:sz w:val="24"/>
          <w:szCs w:val="24"/>
          <w:highlight w:val="none"/>
          <w:u w:val="none" w:color="auto"/>
          <w:vertAlign w:val="subscript"/>
        </w:rPr>
        <w:t>10</w:t>
      </w:r>
      <w:r>
        <w:rPr>
          <w:rFonts w:hint="default" w:ascii="Times New Roman" w:hAnsi="Times New Roman" w:eastAsia="宋体" w:cs="Times New Roman"/>
          <w:color w:val="auto"/>
          <w:sz w:val="24"/>
          <w:szCs w:val="24"/>
          <w:highlight w:val="none"/>
          <w:u w:val="none" w:color="auto"/>
        </w:rPr>
        <w:t>、PM</w:t>
      </w:r>
      <w:r>
        <w:rPr>
          <w:rFonts w:hint="default" w:ascii="Times New Roman" w:hAnsi="Times New Roman" w:eastAsia="宋体" w:cs="Times New Roman"/>
          <w:color w:val="auto"/>
          <w:sz w:val="24"/>
          <w:szCs w:val="24"/>
          <w:highlight w:val="none"/>
          <w:u w:val="none" w:color="auto"/>
          <w:vertAlign w:val="subscript"/>
        </w:rPr>
        <w:t>2.5</w:t>
      </w:r>
      <w:r>
        <w:rPr>
          <w:rFonts w:hint="default" w:ascii="Times New Roman" w:hAnsi="Times New Roman" w:eastAsia="宋体" w:cs="Times New Roman"/>
          <w:color w:val="auto"/>
          <w:sz w:val="24"/>
          <w:szCs w:val="24"/>
          <w:highlight w:val="none"/>
          <w:u w:val="none" w:color="auto"/>
        </w:rPr>
        <w:t>、CO、O</w:t>
      </w:r>
      <w:r>
        <w:rPr>
          <w:rFonts w:hint="default" w:ascii="Times New Roman" w:hAnsi="Times New Roman" w:eastAsia="宋体" w:cs="Times New Roman"/>
          <w:color w:val="auto"/>
          <w:sz w:val="24"/>
          <w:szCs w:val="24"/>
          <w:highlight w:val="none"/>
          <w:u w:val="none" w:color="auto"/>
          <w:vertAlign w:val="subscript"/>
        </w:rPr>
        <w:t>3</w:t>
      </w:r>
      <w:r>
        <w:rPr>
          <w:rFonts w:hint="default" w:ascii="Times New Roman" w:hAnsi="Times New Roman" w:eastAsia="宋体" w:cs="Times New Roman"/>
          <w:color w:val="auto"/>
          <w:sz w:val="24"/>
          <w:szCs w:val="24"/>
          <w:highlight w:val="none"/>
          <w:u w:val="none" w:color="auto"/>
        </w:rPr>
        <w:t>执行《环境空气质量标准》（GB3095-2012）二级标准，硫酸雾、氯化氢</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TVOC</w:t>
      </w:r>
      <w:r>
        <w:rPr>
          <w:rFonts w:hint="default" w:ascii="Times New Roman" w:hAnsi="Times New Roman" w:eastAsia="宋体" w:cs="Times New Roman"/>
          <w:color w:val="auto"/>
          <w:sz w:val="24"/>
          <w:szCs w:val="24"/>
          <w:highlight w:val="none"/>
          <w:u w:val="none" w:color="auto"/>
        </w:rPr>
        <w:t>参照执行《环境影响评价技术导则大气环境》（HJ2.2-2018）附录D相关规定，</w:t>
      </w:r>
      <w:r>
        <w:rPr>
          <w:rFonts w:hint="default" w:ascii="Times New Roman" w:hAnsi="Times New Roman" w:eastAsia="宋体" w:cs="Times New Roman"/>
          <w:color w:val="auto"/>
          <w:sz w:val="24"/>
          <w:szCs w:val="24"/>
          <w:highlight w:val="none"/>
          <w:u w:val="none" w:color="auto"/>
          <w:lang w:val="en-US" w:eastAsia="zh-CN"/>
        </w:rPr>
        <w:t>非甲烷总烃参照执行河北省地表《环境质量标准 非甲烷总烃》（DB13/1577-2012）中二级标准限值。</w:t>
      </w:r>
      <w:r>
        <w:rPr>
          <w:rFonts w:hint="default" w:ascii="Times New Roman" w:hAnsi="Times New Roman" w:eastAsia="宋体" w:cs="Times New Roman"/>
          <w:color w:val="auto"/>
          <w:sz w:val="24"/>
          <w:szCs w:val="24"/>
          <w:highlight w:val="none"/>
          <w:u w:val="none" w:color="auto"/>
        </w:rPr>
        <w:t>标准值详见下表：</w:t>
      </w:r>
    </w:p>
    <w:p w14:paraId="5248ED98">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表2.4-2</w:t>
      </w:r>
      <w:r>
        <w:rPr>
          <w:rFonts w:hint="default" w:ascii="Times New Roman" w:hAnsi="Times New Roman" w:eastAsia="宋体" w:cs="Times New Roman"/>
          <w:b/>
          <w:color w:val="auto"/>
          <w:sz w:val="21"/>
          <w:szCs w:val="21"/>
          <w:highlight w:val="none"/>
          <w:u w:val="none" w:color="auto"/>
        </w:rPr>
        <w:t>环境空气质量标准单位：mg/m</w:t>
      </w:r>
      <w:r>
        <w:rPr>
          <w:rFonts w:hint="default" w:ascii="Times New Roman" w:hAnsi="Times New Roman" w:eastAsia="宋体" w:cs="Times New Roman"/>
          <w:b/>
          <w:color w:val="auto"/>
          <w:sz w:val="21"/>
          <w:szCs w:val="21"/>
          <w:highlight w:val="none"/>
          <w:u w:val="none" w:color="auto"/>
          <w:vertAlign w:val="superscript"/>
        </w:rPr>
        <w:t>3</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7"/>
        <w:gridCol w:w="1986"/>
        <w:gridCol w:w="1415"/>
        <w:gridCol w:w="3314"/>
      </w:tblGrid>
      <w:tr w14:paraId="308C1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Align w:val="center"/>
          </w:tcPr>
          <w:p w14:paraId="0B703F3D">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污染物名称</w:t>
            </w:r>
          </w:p>
        </w:tc>
        <w:tc>
          <w:tcPr>
            <w:tcW w:w="1165" w:type="pct"/>
            <w:vAlign w:val="center"/>
          </w:tcPr>
          <w:p w14:paraId="527366ED">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取值时间</w:t>
            </w:r>
          </w:p>
        </w:tc>
        <w:tc>
          <w:tcPr>
            <w:tcW w:w="830" w:type="pct"/>
            <w:vAlign w:val="center"/>
          </w:tcPr>
          <w:p w14:paraId="4BDD5D80">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浓度限值</w:t>
            </w:r>
          </w:p>
        </w:tc>
        <w:tc>
          <w:tcPr>
            <w:tcW w:w="1944" w:type="pct"/>
            <w:vAlign w:val="center"/>
          </w:tcPr>
          <w:p w14:paraId="1E1FFC2E">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标准</w:t>
            </w:r>
          </w:p>
        </w:tc>
      </w:tr>
      <w:tr w14:paraId="78D95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Merge w:val="restart"/>
            <w:vAlign w:val="center"/>
          </w:tcPr>
          <w:p w14:paraId="70FDB570">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可吸入颗粒物</w:t>
            </w:r>
          </w:p>
          <w:p w14:paraId="77B475B3">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10</w:t>
            </w:r>
            <w:r>
              <w:rPr>
                <w:rFonts w:hint="default" w:ascii="Times New Roman" w:hAnsi="Times New Roman" w:eastAsia="宋体" w:cs="Times New Roman"/>
                <w:color w:val="auto"/>
                <w:sz w:val="21"/>
                <w:szCs w:val="21"/>
                <w:highlight w:val="none"/>
                <w:u w:val="none" w:color="auto"/>
              </w:rPr>
              <w:t>）</w:t>
            </w:r>
          </w:p>
        </w:tc>
        <w:tc>
          <w:tcPr>
            <w:tcW w:w="1165" w:type="pct"/>
            <w:vAlign w:val="center"/>
          </w:tcPr>
          <w:p w14:paraId="61005C13">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w:t>
            </w:r>
          </w:p>
        </w:tc>
        <w:tc>
          <w:tcPr>
            <w:tcW w:w="830" w:type="pct"/>
            <w:vAlign w:val="center"/>
          </w:tcPr>
          <w:p w14:paraId="26B67AB1">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0.07</w:t>
            </w:r>
          </w:p>
        </w:tc>
        <w:tc>
          <w:tcPr>
            <w:tcW w:w="1944" w:type="pct"/>
            <w:vMerge w:val="restart"/>
            <w:vAlign w:val="center"/>
          </w:tcPr>
          <w:p w14:paraId="247C7ABF">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《环境空气质量标准》（GB3095-2012）二级标准</w:t>
            </w:r>
          </w:p>
        </w:tc>
      </w:tr>
      <w:tr w14:paraId="04892E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Merge w:val="continue"/>
            <w:vAlign w:val="center"/>
          </w:tcPr>
          <w:p w14:paraId="078F0137">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c>
          <w:tcPr>
            <w:tcW w:w="1165" w:type="pct"/>
            <w:vAlign w:val="center"/>
          </w:tcPr>
          <w:p w14:paraId="17A4220A">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24小时平均</w:t>
            </w:r>
          </w:p>
        </w:tc>
        <w:tc>
          <w:tcPr>
            <w:tcW w:w="830" w:type="pct"/>
            <w:vAlign w:val="center"/>
          </w:tcPr>
          <w:p w14:paraId="20CC0233">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0.15</w:t>
            </w:r>
          </w:p>
        </w:tc>
        <w:tc>
          <w:tcPr>
            <w:tcW w:w="1944" w:type="pct"/>
            <w:vMerge w:val="continue"/>
            <w:vAlign w:val="center"/>
          </w:tcPr>
          <w:p w14:paraId="37CCDE40">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r>
      <w:tr w14:paraId="7A710E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Merge w:val="restart"/>
            <w:vAlign w:val="center"/>
          </w:tcPr>
          <w:p w14:paraId="13C8B1C7">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细颗粒物</w:t>
            </w:r>
          </w:p>
          <w:p w14:paraId="5268B16D">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2.5</w:t>
            </w:r>
            <w:r>
              <w:rPr>
                <w:rFonts w:hint="default" w:ascii="Times New Roman" w:hAnsi="Times New Roman" w:eastAsia="宋体" w:cs="Times New Roman"/>
                <w:color w:val="auto"/>
                <w:sz w:val="21"/>
                <w:szCs w:val="21"/>
                <w:highlight w:val="none"/>
                <w:u w:val="none" w:color="auto"/>
              </w:rPr>
              <w:t>）</w:t>
            </w:r>
          </w:p>
        </w:tc>
        <w:tc>
          <w:tcPr>
            <w:tcW w:w="1165" w:type="pct"/>
            <w:vAlign w:val="center"/>
          </w:tcPr>
          <w:p w14:paraId="32BA9F89">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w:t>
            </w:r>
          </w:p>
        </w:tc>
        <w:tc>
          <w:tcPr>
            <w:tcW w:w="830" w:type="pct"/>
            <w:vAlign w:val="center"/>
          </w:tcPr>
          <w:p w14:paraId="6A5CF20C">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0.035</w:t>
            </w:r>
          </w:p>
        </w:tc>
        <w:tc>
          <w:tcPr>
            <w:tcW w:w="1944" w:type="pct"/>
            <w:vMerge w:val="continue"/>
            <w:vAlign w:val="center"/>
          </w:tcPr>
          <w:p w14:paraId="4B12731F">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r>
      <w:tr w14:paraId="7F5C6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Merge w:val="continue"/>
            <w:vAlign w:val="center"/>
          </w:tcPr>
          <w:p w14:paraId="117AF9A8">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c>
          <w:tcPr>
            <w:tcW w:w="1165" w:type="pct"/>
            <w:vAlign w:val="center"/>
          </w:tcPr>
          <w:p w14:paraId="547FADC4">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24小时平均</w:t>
            </w:r>
          </w:p>
        </w:tc>
        <w:tc>
          <w:tcPr>
            <w:tcW w:w="830" w:type="pct"/>
            <w:vAlign w:val="center"/>
          </w:tcPr>
          <w:p w14:paraId="48F96EF2">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0.075</w:t>
            </w:r>
          </w:p>
        </w:tc>
        <w:tc>
          <w:tcPr>
            <w:tcW w:w="1944" w:type="pct"/>
            <w:vMerge w:val="continue"/>
            <w:vAlign w:val="center"/>
          </w:tcPr>
          <w:p w14:paraId="4605D78F">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r>
      <w:tr w14:paraId="2AE2E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Merge w:val="restart"/>
            <w:vAlign w:val="center"/>
          </w:tcPr>
          <w:p w14:paraId="1474D5EE">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二氧化硫</w:t>
            </w:r>
          </w:p>
          <w:p w14:paraId="3C647AD2">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w:t>
            </w:r>
          </w:p>
        </w:tc>
        <w:tc>
          <w:tcPr>
            <w:tcW w:w="1165" w:type="pct"/>
            <w:vAlign w:val="center"/>
          </w:tcPr>
          <w:p w14:paraId="2FE21EF0">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w:t>
            </w:r>
          </w:p>
        </w:tc>
        <w:tc>
          <w:tcPr>
            <w:tcW w:w="830" w:type="pct"/>
            <w:vAlign w:val="center"/>
          </w:tcPr>
          <w:p w14:paraId="7903B50E">
            <w:pPr>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1944" w:type="pct"/>
            <w:vMerge w:val="continue"/>
            <w:vAlign w:val="center"/>
          </w:tcPr>
          <w:p w14:paraId="6EB308BC">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r>
      <w:tr w14:paraId="282A7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Merge w:val="continue"/>
            <w:vAlign w:val="center"/>
          </w:tcPr>
          <w:p w14:paraId="1D19422C">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c>
          <w:tcPr>
            <w:tcW w:w="1165" w:type="pct"/>
            <w:vAlign w:val="center"/>
          </w:tcPr>
          <w:p w14:paraId="07E02EFE">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24小时平均</w:t>
            </w:r>
          </w:p>
        </w:tc>
        <w:tc>
          <w:tcPr>
            <w:tcW w:w="830" w:type="pct"/>
            <w:vAlign w:val="center"/>
          </w:tcPr>
          <w:p w14:paraId="15915E2F">
            <w:pPr>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0.15</w:t>
            </w:r>
          </w:p>
        </w:tc>
        <w:tc>
          <w:tcPr>
            <w:tcW w:w="1944" w:type="pct"/>
            <w:vMerge w:val="continue"/>
            <w:vAlign w:val="center"/>
          </w:tcPr>
          <w:p w14:paraId="7BD39D0A">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r>
      <w:tr w14:paraId="6B970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Merge w:val="restart"/>
            <w:vAlign w:val="center"/>
          </w:tcPr>
          <w:p w14:paraId="71288113">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二氧化氮</w:t>
            </w:r>
          </w:p>
          <w:p w14:paraId="29987C3F">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（NO</w:t>
            </w:r>
            <w:r>
              <w:rPr>
                <w:rFonts w:hint="default" w:ascii="Times New Roman" w:hAnsi="Times New Roman" w:eastAsia="宋体" w:cs="Times New Roman"/>
                <w:color w:val="auto"/>
                <w:kern w:val="0"/>
                <w:sz w:val="21"/>
                <w:szCs w:val="21"/>
                <w:highlight w:val="none"/>
                <w:u w:val="none" w:color="auto"/>
                <w:vertAlign w:val="subscript"/>
              </w:rPr>
              <w:t>2</w:t>
            </w:r>
            <w:r>
              <w:rPr>
                <w:rFonts w:hint="default" w:ascii="Times New Roman" w:hAnsi="Times New Roman" w:eastAsia="宋体" w:cs="Times New Roman"/>
                <w:color w:val="auto"/>
                <w:kern w:val="0"/>
                <w:sz w:val="21"/>
                <w:szCs w:val="21"/>
                <w:highlight w:val="none"/>
                <w:u w:val="none" w:color="auto"/>
              </w:rPr>
              <w:t>）</w:t>
            </w:r>
          </w:p>
        </w:tc>
        <w:tc>
          <w:tcPr>
            <w:tcW w:w="1165" w:type="pct"/>
            <w:vAlign w:val="center"/>
          </w:tcPr>
          <w:p w14:paraId="4D69814C">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年平均</w:t>
            </w:r>
          </w:p>
        </w:tc>
        <w:tc>
          <w:tcPr>
            <w:tcW w:w="830" w:type="pct"/>
            <w:vAlign w:val="center"/>
          </w:tcPr>
          <w:p w14:paraId="192FF3C7">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0.04</w:t>
            </w:r>
          </w:p>
        </w:tc>
        <w:tc>
          <w:tcPr>
            <w:tcW w:w="1944" w:type="pct"/>
            <w:vMerge w:val="continue"/>
            <w:vAlign w:val="center"/>
          </w:tcPr>
          <w:p w14:paraId="1C93A6FD">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r>
      <w:tr w14:paraId="4BBCB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Merge w:val="continue"/>
            <w:vAlign w:val="center"/>
          </w:tcPr>
          <w:p w14:paraId="0718469F">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u w:val="none" w:color="auto"/>
              </w:rPr>
            </w:pPr>
          </w:p>
        </w:tc>
        <w:tc>
          <w:tcPr>
            <w:tcW w:w="1165" w:type="pct"/>
            <w:vAlign w:val="center"/>
          </w:tcPr>
          <w:p w14:paraId="1335918C">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24小时平均</w:t>
            </w:r>
          </w:p>
        </w:tc>
        <w:tc>
          <w:tcPr>
            <w:tcW w:w="830" w:type="pct"/>
            <w:vAlign w:val="center"/>
          </w:tcPr>
          <w:p w14:paraId="075BA8EA">
            <w:pPr>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0.08</w:t>
            </w:r>
          </w:p>
        </w:tc>
        <w:tc>
          <w:tcPr>
            <w:tcW w:w="1944" w:type="pct"/>
            <w:vMerge w:val="continue"/>
            <w:vAlign w:val="center"/>
          </w:tcPr>
          <w:p w14:paraId="06ED0CA5">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r>
      <w:tr w14:paraId="4FD6E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Align w:val="center"/>
          </w:tcPr>
          <w:p w14:paraId="1F6CD437">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一氧化碳（CO）</w:t>
            </w:r>
          </w:p>
        </w:tc>
        <w:tc>
          <w:tcPr>
            <w:tcW w:w="1165" w:type="pct"/>
            <w:vAlign w:val="center"/>
          </w:tcPr>
          <w:p w14:paraId="6A5CB046">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24小时平均</w:t>
            </w:r>
          </w:p>
        </w:tc>
        <w:tc>
          <w:tcPr>
            <w:tcW w:w="830" w:type="pct"/>
            <w:vAlign w:val="center"/>
          </w:tcPr>
          <w:p w14:paraId="6703FFF5">
            <w:pPr>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1944" w:type="pct"/>
            <w:vMerge w:val="continue"/>
            <w:vAlign w:val="center"/>
          </w:tcPr>
          <w:p w14:paraId="7D959171">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r>
      <w:tr w14:paraId="6F3D9B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Align w:val="center"/>
          </w:tcPr>
          <w:p w14:paraId="0527BD27">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臭氧（O</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w:t>
            </w:r>
          </w:p>
        </w:tc>
        <w:tc>
          <w:tcPr>
            <w:tcW w:w="1165" w:type="pct"/>
            <w:vAlign w:val="center"/>
          </w:tcPr>
          <w:p w14:paraId="3DE996F2">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日最大8小时平均</w:t>
            </w:r>
          </w:p>
        </w:tc>
        <w:tc>
          <w:tcPr>
            <w:tcW w:w="830" w:type="pct"/>
            <w:vAlign w:val="center"/>
          </w:tcPr>
          <w:p w14:paraId="6A989661">
            <w:pPr>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0.16</w:t>
            </w:r>
          </w:p>
        </w:tc>
        <w:tc>
          <w:tcPr>
            <w:tcW w:w="1944" w:type="pct"/>
            <w:vMerge w:val="continue"/>
            <w:vAlign w:val="center"/>
          </w:tcPr>
          <w:p w14:paraId="67F46D3E">
            <w:pPr>
              <w:keepNext w:val="0"/>
              <w:keepLines w:val="0"/>
              <w:pageBreakBefore w:val="0"/>
              <w:widowControl/>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r>
      <w:tr w14:paraId="6303D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Align w:val="center"/>
          </w:tcPr>
          <w:p w14:paraId="19AFF6B1">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氯化氢</w:t>
            </w:r>
          </w:p>
        </w:tc>
        <w:tc>
          <w:tcPr>
            <w:tcW w:w="1165" w:type="pct"/>
            <w:vAlign w:val="center"/>
          </w:tcPr>
          <w:p w14:paraId="04E057FD">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1小时平均</w:t>
            </w:r>
          </w:p>
        </w:tc>
        <w:tc>
          <w:tcPr>
            <w:tcW w:w="830" w:type="pct"/>
            <w:vAlign w:val="center"/>
          </w:tcPr>
          <w:p w14:paraId="35794494">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0.05</w:t>
            </w:r>
          </w:p>
        </w:tc>
        <w:tc>
          <w:tcPr>
            <w:tcW w:w="1944" w:type="pct"/>
            <w:vMerge w:val="restart"/>
            <w:vAlign w:val="center"/>
          </w:tcPr>
          <w:p w14:paraId="641924DE">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《环境影响评价技术导则大气环境》（HJ2.2-2018）中附录D</w:t>
            </w:r>
          </w:p>
        </w:tc>
      </w:tr>
      <w:tr w14:paraId="13C69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Align w:val="center"/>
          </w:tcPr>
          <w:p w14:paraId="60B2B37B">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u w:val="none" w:color="auto"/>
                <w:lang w:eastAsia="zh-CN"/>
              </w:rPr>
            </w:pPr>
            <w:r>
              <w:rPr>
                <w:rFonts w:hint="eastAsia" w:ascii="Times New Roman" w:hAnsi="Times New Roman" w:eastAsia="宋体" w:cs="Times New Roman"/>
                <w:color w:val="auto"/>
                <w:kern w:val="0"/>
                <w:sz w:val="21"/>
                <w:szCs w:val="21"/>
                <w:highlight w:val="none"/>
                <w:u w:val="none" w:color="auto"/>
                <w:lang w:eastAsia="zh-CN"/>
              </w:rPr>
              <w:t>氮氧化物</w:t>
            </w:r>
          </w:p>
        </w:tc>
        <w:tc>
          <w:tcPr>
            <w:tcW w:w="1165" w:type="pct"/>
            <w:vAlign w:val="center"/>
          </w:tcPr>
          <w:p w14:paraId="3393CF8D">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1小时平均</w:t>
            </w:r>
          </w:p>
        </w:tc>
        <w:tc>
          <w:tcPr>
            <w:tcW w:w="830" w:type="pct"/>
            <w:vAlign w:val="center"/>
          </w:tcPr>
          <w:p w14:paraId="75C8DB53">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0.25</w:t>
            </w:r>
          </w:p>
        </w:tc>
        <w:tc>
          <w:tcPr>
            <w:tcW w:w="1944" w:type="pct"/>
            <w:vMerge w:val="continue"/>
            <w:vAlign w:val="center"/>
          </w:tcPr>
          <w:p w14:paraId="520B3E59">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p>
        </w:tc>
      </w:tr>
      <w:tr w14:paraId="1A7DD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trPr>
        <w:tc>
          <w:tcPr>
            <w:tcW w:w="1060" w:type="pct"/>
            <w:vAlign w:val="center"/>
          </w:tcPr>
          <w:p w14:paraId="74A1393A">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硫酸雾</w:t>
            </w:r>
          </w:p>
        </w:tc>
        <w:tc>
          <w:tcPr>
            <w:tcW w:w="1165" w:type="pct"/>
            <w:vAlign w:val="center"/>
          </w:tcPr>
          <w:p w14:paraId="6CCAE770">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1小时平均</w:t>
            </w:r>
          </w:p>
        </w:tc>
        <w:tc>
          <w:tcPr>
            <w:tcW w:w="830" w:type="pct"/>
            <w:vAlign w:val="center"/>
          </w:tcPr>
          <w:p w14:paraId="7DC3D4F5">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0.3</w:t>
            </w:r>
          </w:p>
        </w:tc>
        <w:tc>
          <w:tcPr>
            <w:tcW w:w="1944" w:type="pct"/>
            <w:vMerge w:val="continue"/>
            <w:vAlign w:val="center"/>
          </w:tcPr>
          <w:p w14:paraId="28FD2A40">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p>
        </w:tc>
      </w:tr>
      <w:tr w14:paraId="36596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trPr>
        <w:tc>
          <w:tcPr>
            <w:tcW w:w="1060" w:type="pct"/>
            <w:vAlign w:val="center"/>
          </w:tcPr>
          <w:p w14:paraId="4D96FE92">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TVOC</w:t>
            </w:r>
          </w:p>
        </w:tc>
        <w:tc>
          <w:tcPr>
            <w:tcW w:w="1165" w:type="pct"/>
            <w:vAlign w:val="center"/>
          </w:tcPr>
          <w:p w14:paraId="0F7A9E6E">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val="en-US" w:eastAsia="zh-CN"/>
              </w:rPr>
              <w:t>8</w:t>
            </w:r>
            <w:r>
              <w:rPr>
                <w:rFonts w:hint="default" w:ascii="Times New Roman" w:hAnsi="Times New Roman" w:eastAsia="宋体" w:cs="Times New Roman"/>
                <w:color w:val="auto"/>
                <w:kern w:val="0"/>
                <w:sz w:val="21"/>
                <w:szCs w:val="21"/>
                <w:highlight w:val="none"/>
                <w:u w:val="none" w:color="auto"/>
              </w:rPr>
              <w:t>小时平均</w:t>
            </w:r>
          </w:p>
        </w:tc>
        <w:tc>
          <w:tcPr>
            <w:tcW w:w="830" w:type="pct"/>
            <w:vAlign w:val="center"/>
          </w:tcPr>
          <w:p w14:paraId="61FA5622">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0.6</w:t>
            </w:r>
          </w:p>
        </w:tc>
        <w:tc>
          <w:tcPr>
            <w:tcW w:w="1944" w:type="pct"/>
            <w:vMerge w:val="continue"/>
            <w:vAlign w:val="center"/>
          </w:tcPr>
          <w:p w14:paraId="44B9448C">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p>
        </w:tc>
      </w:tr>
      <w:tr w14:paraId="689311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060" w:type="pct"/>
            <w:vAlign w:val="center"/>
          </w:tcPr>
          <w:p w14:paraId="6BBFA5B9">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非甲烷总烃</w:t>
            </w:r>
          </w:p>
        </w:tc>
        <w:tc>
          <w:tcPr>
            <w:tcW w:w="1165" w:type="pct"/>
            <w:vAlign w:val="center"/>
          </w:tcPr>
          <w:p w14:paraId="3577D58C">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rPr>
              <w:t>1小时平均</w:t>
            </w:r>
          </w:p>
        </w:tc>
        <w:tc>
          <w:tcPr>
            <w:tcW w:w="830" w:type="pct"/>
            <w:vAlign w:val="center"/>
          </w:tcPr>
          <w:p w14:paraId="3FF89131">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2</w:t>
            </w:r>
          </w:p>
        </w:tc>
        <w:tc>
          <w:tcPr>
            <w:tcW w:w="1944" w:type="pct"/>
            <w:vAlign w:val="center"/>
          </w:tcPr>
          <w:p w14:paraId="3382F8D2">
            <w:pPr>
              <w:keepNext w:val="0"/>
              <w:keepLines w:val="0"/>
              <w:pageBreakBefore w:val="0"/>
              <w:widowControl/>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《环境质量标准 非甲烷总烃》（DB13/1577-2012）</w:t>
            </w:r>
          </w:p>
        </w:tc>
      </w:tr>
    </w:tbl>
    <w:p w14:paraId="5145FBF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（2）地表水环境质量标准</w:t>
      </w:r>
    </w:p>
    <w:p w14:paraId="5B05BE6E">
      <w:pPr>
        <w:pageBreakBefore w:val="0"/>
        <w:kinsoku/>
        <w:wordWrap/>
        <w:overflowPunct/>
        <w:topLinePunct w:val="0"/>
        <w:bidi w:val="0"/>
        <w:spacing w:line="360" w:lineRule="auto"/>
        <w:ind w:left="0" w:leftChars="0" w:firstLine="480" w:firstLineChars="200"/>
        <w:jc w:val="both"/>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本项目纳污水体为</w:t>
      </w:r>
      <w:r>
        <w:rPr>
          <w:rFonts w:hint="default" w:ascii="Times New Roman" w:hAnsi="Times New Roman" w:eastAsia="宋体" w:cs="Times New Roman"/>
          <w:color w:val="auto"/>
          <w:sz w:val="24"/>
          <w:szCs w:val="24"/>
          <w:highlight w:val="none"/>
          <w:u w:val="none" w:color="auto"/>
          <w:lang w:eastAsia="zh-CN"/>
        </w:rPr>
        <w:t>湘江</w:t>
      </w:r>
      <w:r>
        <w:rPr>
          <w:rFonts w:hint="default" w:ascii="Times New Roman" w:hAnsi="Times New Roman" w:eastAsia="宋体" w:cs="Times New Roman"/>
          <w:color w:val="auto"/>
          <w:sz w:val="24"/>
          <w:szCs w:val="24"/>
          <w:highlight w:val="none"/>
          <w:u w:val="none" w:color="auto"/>
        </w:rPr>
        <w:t>，根据《湖南省主要水系地表水环境功能区划》（DB43/023-2005），蒸水口至大浦镇师塘村上游6000m江段，长度22.4km，为工业用水区，执行《地表水环境质量标准》中的（GB3838-2002）III类标准，具体标准值详见下表：</w:t>
      </w:r>
    </w:p>
    <w:p w14:paraId="53D5A630">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表2.4-3地表水环境质量主要指标单位：mg/L，</w:t>
      </w:r>
      <w:r>
        <w:rPr>
          <w:rFonts w:hint="default" w:ascii="Times New Roman" w:hAnsi="Times New Roman" w:eastAsia="宋体" w:cs="Times New Roman"/>
          <w:b/>
          <w:color w:val="auto"/>
          <w:sz w:val="21"/>
          <w:szCs w:val="21"/>
          <w:highlight w:val="none"/>
          <w:u w:val="none" w:color="auto"/>
          <w:lang w:eastAsia="zh-CN"/>
        </w:rPr>
        <w:t>pH</w:t>
      </w:r>
      <w:r>
        <w:rPr>
          <w:rFonts w:hint="default" w:ascii="Times New Roman" w:hAnsi="Times New Roman" w:eastAsia="宋体" w:cs="Times New Roman"/>
          <w:b/>
          <w:color w:val="auto"/>
          <w:sz w:val="21"/>
          <w:szCs w:val="21"/>
          <w:highlight w:val="none"/>
          <w:u w:val="none" w:color="auto"/>
        </w:rPr>
        <w:t>值无量纲</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3"/>
        <w:gridCol w:w="1227"/>
        <w:gridCol w:w="1227"/>
        <w:gridCol w:w="1340"/>
        <w:gridCol w:w="1162"/>
        <w:gridCol w:w="1162"/>
        <w:gridCol w:w="1161"/>
      </w:tblGrid>
      <w:tr w14:paraId="63BFDE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9" w:type="pct"/>
            <w:vAlign w:val="center"/>
          </w:tcPr>
          <w:p w14:paraId="777132E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项目</w:t>
            </w:r>
          </w:p>
        </w:tc>
        <w:tc>
          <w:tcPr>
            <w:tcW w:w="720" w:type="pct"/>
            <w:vAlign w:val="center"/>
          </w:tcPr>
          <w:p w14:paraId="5448F60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eastAsia="zh-CN"/>
              </w:rPr>
              <w:t>pH</w:t>
            </w:r>
            <w:r>
              <w:rPr>
                <w:rFonts w:hint="default" w:ascii="Times New Roman" w:hAnsi="Times New Roman" w:eastAsia="宋体" w:cs="Times New Roman"/>
                <w:color w:val="auto"/>
                <w:kern w:val="0"/>
                <w:sz w:val="21"/>
                <w:szCs w:val="21"/>
                <w:highlight w:val="none"/>
                <w:u w:val="none" w:color="auto"/>
              </w:rPr>
              <w:t>值</w:t>
            </w:r>
          </w:p>
        </w:tc>
        <w:tc>
          <w:tcPr>
            <w:tcW w:w="720" w:type="pct"/>
            <w:vAlign w:val="center"/>
          </w:tcPr>
          <w:p w14:paraId="105DFBB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COD</w:t>
            </w:r>
          </w:p>
        </w:tc>
        <w:tc>
          <w:tcPr>
            <w:tcW w:w="786" w:type="pct"/>
            <w:vAlign w:val="center"/>
          </w:tcPr>
          <w:p w14:paraId="5BDDF72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BOD</w:t>
            </w:r>
            <w:r>
              <w:rPr>
                <w:rFonts w:hint="default" w:ascii="Times New Roman" w:hAnsi="Times New Roman" w:eastAsia="宋体" w:cs="Times New Roman"/>
                <w:color w:val="auto"/>
                <w:kern w:val="0"/>
                <w:sz w:val="21"/>
                <w:szCs w:val="21"/>
                <w:highlight w:val="none"/>
                <w:u w:val="none" w:color="auto"/>
                <w:vertAlign w:val="subscript"/>
              </w:rPr>
              <w:t>5</w:t>
            </w:r>
          </w:p>
        </w:tc>
        <w:tc>
          <w:tcPr>
            <w:tcW w:w="682" w:type="pct"/>
            <w:vAlign w:val="center"/>
          </w:tcPr>
          <w:p w14:paraId="6C37B79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氨氮</w:t>
            </w:r>
          </w:p>
        </w:tc>
        <w:tc>
          <w:tcPr>
            <w:tcW w:w="682" w:type="pct"/>
            <w:vAlign w:val="center"/>
          </w:tcPr>
          <w:p w14:paraId="7AA5A2D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总磷</w:t>
            </w:r>
          </w:p>
        </w:tc>
        <w:tc>
          <w:tcPr>
            <w:tcW w:w="681" w:type="pct"/>
            <w:vAlign w:val="center"/>
          </w:tcPr>
          <w:p w14:paraId="345EAF1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石油类</w:t>
            </w:r>
          </w:p>
        </w:tc>
      </w:tr>
      <w:tr w14:paraId="35DF2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9" w:type="pct"/>
            <w:vAlign w:val="center"/>
          </w:tcPr>
          <w:p w14:paraId="692BE22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Ⅲ类标准</w:t>
            </w:r>
          </w:p>
        </w:tc>
        <w:tc>
          <w:tcPr>
            <w:tcW w:w="720" w:type="pct"/>
            <w:vAlign w:val="center"/>
          </w:tcPr>
          <w:p w14:paraId="65AF043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6-9</w:t>
            </w:r>
          </w:p>
        </w:tc>
        <w:tc>
          <w:tcPr>
            <w:tcW w:w="720" w:type="pct"/>
            <w:vAlign w:val="center"/>
          </w:tcPr>
          <w:p w14:paraId="26CADDA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20</w:t>
            </w:r>
          </w:p>
        </w:tc>
        <w:tc>
          <w:tcPr>
            <w:tcW w:w="786" w:type="pct"/>
            <w:vAlign w:val="center"/>
          </w:tcPr>
          <w:p w14:paraId="30E310F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682" w:type="pct"/>
            <w:vAlign w:val="center"/>
          </w:tcPr>
          <w:p w14:paraId="7E03495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w:t>
            </w:r>
          </w:p>
        </w:tc>
        <w:tc>
          <w:tcPr>
            <w:tcW w:w="682" w:type="pct"/>
            <w:vAlign w:val="center"/>
          </w:tcPr>
          <w:p w14:paraId="27AFD0B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0.2</w:t>
            </w:r>
          </w:p>
        </w:tc>
        <w:tc>
          <w:tcPr>
            <w:tcW w:w="681" w:type="pct"/>
            <w:vAlign w:val="center"/>
          </w:tcPr>
          <w:p w14:paraId="575125C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0.05</w:t>
            </w:r>
          </w:p>
        </w:tc>
      </w:tr>
      <w:tr w14:paraId="3ADE4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9" w:type="pct"/>
            <w:vAlign w:val="center"/>
          </w:tcPr>
          <w:p w14:paraId="5ECDF44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项目</w:t>
            </w:r>
          </w:p>
        </w:tc>
        <w:tc>
          <w:tcPr>
            <w:tcW w:w="720" w:type="pct"/>
            <w:vAlign w:val="center"/>
          </w:tcPr>
          <w:p w14:paraId="2B18D85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铜</w:t>
            </w:r>
          </w:p>
        </w:tc>
        <w:tc>
          <w:tcPr>
            <w:tcW w:w="720" w:type="pct"/>
            <w:vAlign w:val="center"/>
          </w:tcPr>
          <w:p w14:paraId="06F5B8DB">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锌</w:t>
            </w:r>
          </w:p>
        </w:tc>
        <w:tc>
          <w:tcPr>
            <w:tcW w:w="786" w:type="pct"/>
            <w:vAlign w:val="center"/>
          </w:tcPr>
          <w:p w14:paraId="5788B3CE">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六价铬</w:t>
            </w:r>
          </w:p>
        </w:tc>
        <w:tc>
          <w:tcPr>
            <w:tcW w:w="682" w:type="pct"/>
            <w:vAlign w:val="center"/>
          </w:tcPr>
          <w:p w14:paraId="3764695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镍</w:t>
            </w:r>
          </w:p>
        </w:tc>
        <w:tc>
          <w:tcPr>
            <w:tcW w:w="682" w:type="pct"/>
            <w:vAlign w:val="center"/>
          </w:tcPr>
          <w:p w14:paraId="3138839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镉</w:t>
            </w:r>
          </w:p>
        </w:tc>
        <w:tc>
          <w:tcPr>
            <w:tcW w:w="681" w:type="pct"/>
            <w:vAlign w:val="center"/>
          </w:tcPr>
          <w:p w14:paraId="097B1D7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氰化物</w:t>
            </w:r>
          </w:p>
        </w:tc>
      </w:tr>
      <w:tr w14:paraId="4BEBBA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9" w:type="pct"/>
            <w:vAlign w:val="center"/>
          </w:tcPr>
          <w:p w14:paraId="037135AD">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Ⅲ类标准</w:t>
            </w:r>
          </w:p>
        </w:tc>
        <w:tc>
          <w:tcPr>
            <w:tcW w:w="720" w:type="pct"/>
            <w:vAlign w:val="center"/>
          </w:tcPr>
          <w:p w14:paraId="14CEC0A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w:t>
            </w:r>
          </w:p>
        </w:tc>
        <w:tc>
          <w:tcPr>
            <w:tcW w:w="720" w:type="pct"/>
            <w:vAlign w:val="center"/>
          </w:tcPr>
          <w:p w14:paraId="797DEAE5">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w:t>
            </w:r>
          </w:p>
        </w:tc>
        <w:tc>
          <w:tcPr>
            <w:tcW w:w="786" w:type="pct"/>
            <w:vAlign w:val="center"/>
          </w:tcPr>
          <w:p w14:paraId="63E59C60">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0.05</w:t>
            </w:r>
          </w:p>
        </w:tc>
        <w:tc>
          <w:tcPr>
            <w:tcW w:w="682" w:type="pct"/>
            <w:vAlign w:val="center"/>
          </w:tcPr>
          <w:p w14:paraId="1180A7C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0.02</w:t>
            </w:r>
          </w:p>
        </w:tc>
        <w:tc>
          <w:tcPr>
            <w:tcW w:w="682" w:type="pct"/>
            <w:vAlign w:val="center"/>
          </w:tcPr>
          <w:p w14:paraId="69323B5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0.005</w:t>
            </w:r>
          </w:p>
        </w:tc>
        <w:tc>
          <w:tcPr>
            <w:tcW w:w="681" w:type="pct"/>
            <w:vAlign w:val="center"/>
          </w:tcPr>
          <w:p w14:paraId="499CECF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0.2</w:t>
            </w:r>
          </w:p>
        </w:tc>
      </w:tr>
      <w:tr w14:paraId="66201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000" w:type="pct"/>
            <w:gridSpan w:val="7"/>
            <w:vAlign w:val="center"/>
          </w:tcPr>
          <w:p w14:paraId="62C72D6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备注：考虑到项目纳污水体为</w:t>
            </w:r>
            <w:r>
              <w:rPr>
                <w:rFonts w:hint="default" w:ascii="Times New Roman" w:hAnsi="Times New Roman" w:eastAsia="宋体" w:cs="Times New Roman"/>
                <w:color w:val="auto"/>
                <w:kern w:val="0"/>
                <w:sz w:val="21"/>
                <w:szCs w:val="21"/>
                <w:highlight w:val="none"/>
                <w:u w:val="none" w:color="auto"/>
                <w:lang w:eastAsia="zh-CN"/>
              </w:rPr>
              <w:t>湘江</w:t>
            </w:r>
            <w:r>
              <w:rPr>
                <w:rFonts w:hint="default" w:ascii="Times New Roman" w:hAnsi="Times New Roman" w:eastAsia="宋体" w:cs="Times New Roman"/>
                <w:color w:val="auto"/>
                <w:kern w:val="0"/>
                <w:sz w:val="21"/>
                <w:szCs w:val="21"/>
                <w:highlight w:val="none"/>
                <w:u w:val="none" w:color="auto"/>
              </w:rPr>
              <w:t>蒸水口至大浦镇师塘村上游6000m江段，不涉及饮用水水源保护区，故镍参照执行《渔业水质标准》（GB11607-89）</w:t>
            </w:r>
          </w:p>
        </w:tc>
      </w:tr>
    </w:tbl>
    <w:p w14:paraId="020EC6D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（3）地下水质量标准</w:t>
      </w:r>
    </w:p>
    <w:p w14:paraId="27EF890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项目周边区域地下水水质执行《地下水质量标准》（GB/T14848-2017）Ⅲ类标准，具体</w:t>
      </w:r>
      <w:r>
        <w:rPr>
          <w:rFonts w:hint="default" w:ascii="Times New Roman" w:hAnsi="Times New Roman" w:eastAsia="宋体" w:cs="Times New Roman"/>
          <w:color w:val="auto"/>
          <w:sz w:val="24"/>
          <w:szCs w:val="24"/>
          <w:highlight w:val="none"/>
          <w:u w:val="none" w:color="auto"/>
        </w:rPr>
        <w:t>详见下表：</w:t>
      </w:r>
    </w:p>
    <w:p w14:paraId="55BB6910">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表2.4-4地下水质量主要指标单位：mg/L，</w:t>
      </w:r>
      <w:r>
        <w:rPr>
          <w:rFonts w:hint="default" w:ascii="Times New Roman" w:hAnsi="Times New Roman" w:eastAsia="宋体" w:cs="Times New Roman"/>
          <w:b/>
          <w:color w:val="auto"/>
          <w:sz w:val="21"/>
          <w:szCs w:val="21"/>
          <w:highlight w:val="none"/>
          <w:u w:val="none" w:color="auto"/>
          <w:lang w:eastAsia="zh-CN"/>
        </w:rPr>
        <w:t>pH</w:t>
      </w:r>
      <w:r>
        <w:rPr>
          <w:rFonts w:hint="default" w:ascii="Times New Roman" w:hAnsi="Times New Roman" w:eastAsia="宋体" w:cs="Times New Roman"/>
          <w:b/>
          <w:color w:val="auto"/>
          <w:sz w:val="21"/>
          <w:szCs w:val="21"/>
          <w:highlight w:val="none"/>
          <w:u w:val="none" w:color="auto"/>
        </w:rPr>
        <w:t>值无量纲</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2"/>
        <w:gridCol w:w="1244"/>
        <w:gridCol w:w="1624"/>
        <w:gridCol w:w="1420"/>
        <w:gridCol w:w="1445"/>
        <w:gridCol w:w="1437"/>
      </w:tblGrid>
      <w:tr w14:paraId="33123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3" w:type="pct"/>
            <w:vAlign w:val="center"/>
          </w:tcPr>
          <w:p w14:paraId="5937DB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730" w:type="pct"/>
            <w:vAlign w:val="center"/>
          </w:tcPr>
          <w:p w14:paraId="29B475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值</w:t>
            </w:r>
          </w:p>
        </w:tc>
        <w:tc>
          <w:tcPr>
            <w:tcW w:w="953" w:type="pct"/>
            <w:vAlign w:val="center"/>
          </w:tcPr>
          <w:p w14:paraId="1CB5E4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好氧量</w:t>
            </w:r>
          </w:p>
          <w:p w14:paraId="52796F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w:t>
            </w:r>
            <w:r>
              <w:rPr>
                <w:rFonts w:hint="default" w:ascii="Times New Roman" w:hAnsi="Times New Roman" w:eastAsia="宋体" w:cs="Times New Roman"/>
                <w:color w:val="auto"/>
                <w:sz w:val="21"/>
                <w:szCs w:val="21"/>
                <w:highlight w:val="none"/>
                <w:u w:val="none" w:color="auto"/>
                <w:vertAlign w:val="subscript"/>
              </w:rPr>
              <w:t>Mn</w:t>
            </w:r>
            <w:r>
              <w:rPr>
                <w:rFonts w:hint="default" w:ascii="Times New Roman" w:hAnsi="Times New Roman" w:eastAsia="宋体" w:cs="Times New Roman"/>
                <w:color w:val="auto"/>
                <w:sz w:val="21"/>
                <w:szCs w:val="21"/>
                <w:highlight w:val="none"/>
                <w:u w:val="none" w:color="auto"/>
              </w:rPr>
              <w:t>）</w:t>
            </w:r>
          </w:p>
        </w:tc>
        <w:tc>
          <w:tcPr>
            <w:tcW w:w="833" w:type="pct"/>
            <w:vAlign w:val="center"/>
          </w:tcPr>
          <w:p w14:paraId="442E62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848" w:type="pct"/>
            <w:vAlign w:val="center"/>
          </w:tcPr>
          <w:p w14:paraId="4D6CEB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氟化物</w:t>
            </w:r>
          </w:p>
        </w:tc>
        <w:tc>
          <w:tcPr>
            <w:tcW w:w="843" w:type="pct"/>
            <w:vAlign w:val="center"/>
          </w:tcPr>
          <w:p w14:paraId="03A86A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硫化物</w:t>
            </w:r>
          </w:p>
        </w:tc>
      </w:tr>
      <w:tr w14:paraId="2EE3E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3" w:type="pct"/>
            <w:vAlign w:val="center"/>
          </w:tcPr>
          <w:p w14:paraId="56F862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Ⅲ类标准</w:t>
            </w:r>
          </w:p>
        </w:tc>
        <w:tc>
          <w:tcPr>
            <w:tcW w:w="730" w:type="pct"/>
            <w:vAlign w:val="center"/>
          </w:tcPr>
          <w:p w14:paraId="406E9B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6.5～8.5</w:t>
            </w:r>
          </w:p>
        </w:tc>
        <w:tc>
          <w:tcPr>
            <w:tcW w:w="953" w:type="pct"/>
            <w:vAlign w:val="center"/>
          </w:tcPr>
          <w:p w14:paraId="34423F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w:t>
            </w:r>
          </w:p>
        </w:tc>
        <w:tc>
          <w:tcPr>
            <w:tcW w:w="833" w:type="pct"/>
            <w:vAlign w:val="center"/>
          </w:tcPr>
          <w:p w14:paraId="09B10E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≤0.50</w:t>
            </w:r>
          </w:p>
        </w:tc>
        <w:tc>
          <w:tcPr>
            <w:tcW w:w="848" w:type="pct"/>
            <w:vAlign w:val="center"/>
          </w:tcPr>
          <w:p w14:paraId="23ACE2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843" w:type="pct"/>
            <w:vAlign w:val="center"/>
          </w:tcPr>
          <w:p w14:paraId="68DC19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r>
      <w:tr w14:paraId="7F1F6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3" w:type="pct"/>
            <w:vAlign w:val="center"/>
          </w:tcPr>
          <w:p w14:paraId="3F3E51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730" w:type="pct"/>
            <w:vAlign w:val="center"/>
          </w:tcPr>
          <w:p w14:paraId="75815D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硫酸盐</w:t>
            </w:r>
          </w:p>
        </w:tc>
        <w:tc>
          <w:tcPr>
            <w:tcW w:w="953" w:type="pct"/>
            <w:vAlign w:val="center"/>
          </w:tcPr>
          <w:p w14:paraId="594195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硝酸盐</w:t>
            </w:r>
          </w:p>
        </w:tc>
        <w:tc>
          <w:tcPr>
            <w:tcW w:w="833" w:type="pct"/>
            <w:vAlign w:val="center"/>
          </w:tcPr>
          <w:p w14:paraId="33A5D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铅</w:t>
            </w:r>
          </w:p>
        </w:tc>
        <w:tc>
          <w:tcPr>
            <w:tcW w:w="848" w:type="pct"/>
            <w:vAlign w:val="center"/>
          </w:tcPr>
          <w:p w14:paraId="67175E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843" w:type="pct"/>
            <w:vAlign w:val="center"/>
          </w:tcPr>
          <w:p w14:paraId="2AFB38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铁</w:t>
            </w:r>
          </w:p>
        </w:tc>
      </w:tr>
      <w:tr w14:paraId="6645E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3" w:type="pct"/>
            <w:vAlign w:val="center"/>
          </w:tcPr>
          <w:p w14:paraId="56F522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Ⅲ类标准</w:t>
            </w:r>
          </w:p>
        </w:tc>
        <w:tc>
          <w:tcPr>
            <w:tcW w:w="730" w:type="pct"/>
            <w:vAlign w:val="center"/>
          </w:tcPr>
          <w:p w14:paraId="59BE33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953" w:type="pct"/>
            <w:vAlign w:val="center"/>
          </w:tcPr>
          <w:p w14:paraId="4928D7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≤20.0</w:t>
            </w:r>
          </w:p>
        </w:tc>
        <w:tc>
          <w:tcPr>
            <w:tcW w:w="833" w:type="pct"/>
            <w:vAlign w:val="center"/>
          </w:tcPr>
          <w:p w14:paraId="1A719F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≤0.01</w:t>
            </w:r>
          </w:p>
        </w:tc>
        <w:tc>
          <w:tcPr>
            <w:tcW w:w="848" w:type="pct"/>
            <w:vAlign w:val="center"/>
          </w:tcPr>
          <w:p w14:paraId="6BA97C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w:t>
            </w:r>
          </w:p>
        </w:tc>
        <w:tc>
          <w:tcPr>
            <w:tcW w:w="843" w:type="pct"/>
            <w:vAlign w:val="center"/>
          </w:tcPr>
          <w:p w14:paraId="31C1E2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w:t>
            </w:r>
          </w:p>
        </w:tc>
      </w:tr>
      <w:tr w14:paraId="713B1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3" w:type="pct"/>
            <w:vAlign w:val="center"/>
          </w:tcPr>
          <w:p w14:paraId="2B989B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730" w:type="pct"/>
            <w:vAlign w:val="center"/>
          </w:tcPr>
          <w:p w14:paraId="1994C9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953" w:type="pct"/>
            <w:vAlign w:val="center"/>
          </w:tcPr>
          <w:p w14:paraId="277849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铬（六价）</w:t>
            </w:r>
          </w:p>
        </w:tc>
        <w:tc>
          <w:tcPr>
            <w:tcW w:w="833" w:type="pct"/>
            <w:vAlign w:val="center"/>
          </w:tcPr>
          <w:p w14:paraId="72A332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848" w:type="pct"/>
            <w:vAlign w:val="center"/>
          </w:tcPr>
          <w:p w14:paraId="26C8A6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44"/>
                <w:sz w:val="21"/>
                <w:szCs w:val="21"/>
                <w:highlight w:val="none"/>
                <w:u w:val="none" w:color="auto"/>
              </w:rPr>
            </w:pPr>
            <w:r>
              <w:rPr>
                <w:rFonts w:hint="default" w:ascii="Times New Roman" w:hAnsi="Times New Roman" w:eastAsia="宋体" w:cs="Times New Roman"/>
                <w:color w:val="auto"/>
                <w:kern w:val="44"/>
                <w:sz w:val="21"/>
                <w:szCs w:val="21"/>
                <w:highlight w:val="none"/>
                <w:u w:val="none" w:color="auto"/>
              </w:rPr>
              <w:t>镉</w:t>
            </w:r>
          </w:p>
        </w:tc>
        <w:tc>
          <w:tcPr>
            <w:tcW w:w="843" w:type="pct"/>
            <w:vAlign w:val="center"/>
          </w:tcPr>
          <w:p w14:paraId="5CBDBF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汞</w:t>
            </w:r>
          </w:p>
        </w:tc>
      </w:tr>
      <w:tr w14:paraId="60A12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3" w:type="pct"/>
            <w:vAlign w:val="center"/>
          </w:tcPr>
          <w:p w14:paraId="5E4B04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Ⅲ类标准</w:t>
            </w:r>
          </w:p>
        </w:tc>
        <w:tc>
          <w:tcPr>
            <w:tcW w:w="730" w:type="pct"/>
            <w:vAlign w:val="center"/>
          </w:tcPr>
          <w:p w14:paraId="489184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w:t>
            </w:r>
          </w:p>
        </w:tc>
        <w:tc>
          <w:tcPr>
            <w:tcW w:w="953" w:type="pct"/>
            <w:vAlign w:val="center"/>
          </w:tcPr>
          <w:p w14:paraId="0BD6E1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833" w:type="pct"/>
            <w:vAlign w:val="center"/>
          </w:tcPr>
          <w:p w14:paraId="7B0425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≤0.01</w:t>
            </w:r>
          </w:p>
        </w:tc>
        <w:tc>
          <w:tcPr>
            <w:tcW w:w="848" w:type="pct"/>
            <w:vAlign w:val="center"/>
          </w:tcPr>
          <w:p w14:paraId="633E67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843" w:type="pct"/>
            <w:vAlign w:val="center"/>
          </w:tcPr>
          <w:p w14:paraId="1B5FC7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w:t>
            </w:r>
          </w:p>
        </w:tc>
      </w:tr>
    </w:tbl>
    <w:p w14:paraId="77FB5C4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（4）声环境</w:t>
      </w:r>
    </w:p>
    <w:p w14:paraId="56E4B55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项目区域声环境质量执行《声环境质量标准》（GB3096-2008）中3类</w:t>
      </w:r>
      <w:r>
        <w:rPr>
          <w:rFonts w:hint="default" w:ascii="Times New Roman" w:hAnsi="Times New Roman" w:eastAsia="宋体" w:cs="Times New Roman"/>
          <w:bCs/>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rPr>
        <w:t>具体标准值详见下表：</w:t>
      </w:r>
    </w:p>
    <w:p w14:paraId="5A40B579">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表2.4-5声环境质量标准限值单位：dB（A）</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717"/>
        <w:gridCol w:w="1602"/>
        <w:gridCol w:w="1602"/>
        <w:gridCol w:w="1601"/>
      </w:tblGrid>
      <w:tr w14:paraId="1B5FDF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2181" w:type="pct"/>
            <w:vAlign w:val="center"/>
          </w:tcPr>
          <w:p w14:paraId="1132E2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评价位置</w:t>
            </w:r>
          </w:p>
        </w:tc>
        <w:tc>
          <w:tcPr>
            <w:tcW w:w="940" w:type="pct"/>
            <w:vAlign w:val="center"/>
          </w:tcPr>
          <w:p w14:paraId="6F40E4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类别</w:t>
            </w:r>
          </w:p>
        </w:tc>
        <w:tc>
          <w:tcPr>
            <w:tcW w:w="940" w:type="pct"/>
            <w:vAlign w:val="center"/>
          </w:tcPr>
          <w:p w14:paraId="6B350F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昼间</w:t>
            </w:r>
          </w:p>
        </w:tc>
        <w:tc>
          <w:tcPr>
            <w:tcW w:w="939" w:type="pct"/>
            <w:vAlign w:val="center"/>
          </w:tcPr>
          <w:p w14:paraId="55C9AA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夜间</w:t>
            </w:r>
          </w:p>
        </w:tc>
      </w:tr>
      <w:tr w14:paraId="6FE32F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81" w:type="pct"/>
            <w:vAlign w:val="center"/>
          </w:tcPr>
          <w:p w14:paraId="218B2E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项目用地区域</w:t>
            </w:r>
          </w:p>
        </w:tc>
        <w:tc>
          <w:tcPr>
            <w:tcW w:w="940" w:type="pct"/>
            <w:vAlign w:val="center"/>
          </w:tcPr>
          <w:p w14:paraId="5E7DFC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3类</w:t>
            </w:r>
          </w:p>
        </w:tc>
        <w:tc>
          <w:tcPr>
            <w:tcW w:w="940" w:type="pct"/>
            <w:vAlign w:val="center"/>
          </w:tcPr>
          <w:p w14:paraId="555FF0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65</w:t>
            </w:r>
          </w:p>
        </w:tc>
        <w:tc>
          <w:tcPr>
            <w:tcW w:w="939" w:type="pct"/>
            <w:vAlign w:val="center"/>
          </w:tcPr>
          <w:p w14:paraId="3EFC35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55</w:t>
            </w:r>
          </w:p>
        </w:tc>
      </w:tr>
      <w:tr w14:paraId="2D53F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81" w:type="pct"/>
            <w:vAlign w:val="center"/>
          </w:tcPr>
          <w:p w14:paraId="10E08C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北厂界</w:t>
            </w:r>
          </w:p>
        </w:tc>
        <w:tc>
          <w:tcPr>
            <w:tcW w:w="940" w:type="pct"/>
            <w:vAlign w:val="center"/>
          </w:tcPr>
          <w:p w14:paraId="2187B5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4a类</w:t>
            </w:r>
          </w:p>
        </w:tc>
        <w:tc>
          <w:tcPr>
            <w:tcW w:w="940" w:type="pct"/>
            <w:vAlign w:val="center"/>
          </w:tcPr>
          <w:p w14:paraId="7AB604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70</w:t>
            </w:r>
          </w:p>
        </w:tc>
        <w:tc>
          <w:tcPr>
            <w:tcW w:w="939" w:type="pct"/>
            <w:vAlign w:val="center"/>
          </w:tcPr>
          <w:p w14:paraId="5260F9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55</w:t>
            </w:r>
          </w:p>
        </w:tc>
      </w:tr>
    </w:tbl>
    <w:p w14:paraId="35687FE6">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（5）土壤环境</w:t>
      </w:r>
    </w:p>
    <w:p w14:paraId="7CDCC75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项目周边用地主要为工业用地，周边建设用地执行《土壤环境质量建设用地土壤污染风险管控标准（试行）》（GB36600-2018）表1、表2第二类用地（筛选值）标准要求，具体标准值详见下表：</w:t>
      </w:r>
    </w:p>
    <w:p w14:paraId="45B071D1">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表2.4-6建设用地土壤污染风险筛选值单位：mg/kg</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0"/>
        <w:gridCol w:w="2608"/>
        <w:gridCol w:w="2408"/>
        <w:gridCol w:w="2606"/>
      </w:tblGrid>
      <w:tr w14:paraId="3419C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Merge w:val="restart"/>
            <w:vAlign w:val="center"/>
          </w:tcPr>
          <w:p w14:paraId="73D378A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530" w:type="pct"/>
            <w:vMerge w:val="restart"/>
            <w:vAlign w:val="center"/>
          </w:tcPr>
          <w:p w14:paraId="5BA91F1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污染物项目</w:t>
            </w:r>
          </w:p>
        </w:tc>
        <w:tc>
          <w:tcPr>
            <w:tcW w:w="2942" w:type="pct"/>
            <w:gridSpan w:val="2"/>
            <w:shd w:val="clear" w:color="auto" w:fill="auto"/>
            <w:vAlign w:val="center"/>
          </w:tcPr>
          <w:p w14:paraId="1AB51C89">
            <w:pPr>
              <w:keepNext w:val="0"/>
              <w:keepLines w:val="0"/>
              <w:pageBreakBefore w:val="0"/>
              <w:widowControl/>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《土壤环境质量建设用地土壤污染风险管控标准》（GB36600-2018）筛选值</w:t>
            </w:r>
          </w:p>
        </w:tc>
      </w:tr>
      <w:tr w14:paraId="0E0F9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Merge w:val="continue"/>
            <w:vAlign w:val="center"/>
          </w:tcPr>
          <w:p w14:paraId="216C0E1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530" w:type="pct"/>
            <w:vMerge w:val="continue"/>
            <w:vAlign w:val="center"/>
          </w:tcPr>
          <w:p w14:paraId="24698393">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413" w:type="pct"/>
            <w:shd w:val="clear" w:color="auto" w:fill="auto"/>
            <w:vAlign w:val="center"/>
          </w:tcPr>
          <w:p w14:paraId="4296CD5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第一类用地</w:t>
            </w:r>
          </w:p>
        </w:tc>
        <w:tc>
          <w:tcPr>
            <w:tcW w:w="1529" w:type="pct"/>
            <w:vAlign w:val="center"/>
          </w:tcPr>
          <w:p w14:paraId="59BA4A5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第二类用地</w:t>
            </w:r>
          </w:p>
        </w:tc>
      </w:tr>
      <w:tr w14:paraId="484F0B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vAlign w:val="center"/>
          </w:tcPr>
          <w:p w14:paraId="4C17F426">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重金属和无机物</w:t>
            </w:r>
          </w:p>
        </w:tc>
      </w:tr>
      <w:tr w14:paraId="0E8D2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4FEA9AB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1530" w:type="pct"/>
            <w:vAlign w:val="center"/>
          </w:tcPr>
          <w:p w14:paraId="1AB1244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1413" w:type="pct"/>
            <w:shd w:val="clear" w:color="auto" w:fill="auto"/>
            <w:vAlign w:val="center"/>
          </w:tcPr>
          <w:p w14:paraId="187916C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1529" w:type="pct"/>
            <w:shd w:val="clear" w:color="auto" w:fill="auto"/>
            <w:vAlign w:val="center"/>
          </w:tcPr>
          <w:p w14:paraId="4EE109B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60</w:t>
            </w:r>
          </w:p>
        </w:tc>
      </w:tr>
      <w:tr w14:paraId="374634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1ED1FCF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1530" w:type="pct"/>
            <w:vAlign w:val="center"/>
          </w:tcPr>
          <w:p w14:paraId="42F3C9E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镉</w:t>
            </w:r>
          </w:p>
        </w:tc>
        <w:tc>
          <w:tcPr>
            <w:tcW w:w="1413" w:type="pct"/>
            <w:shd w:val="clear" w:color="auto" w:fill="auto"/>
            <w:vAlign w:val="center"/>
          </w:tcPr>
          <w:p w14:paraId="53946C3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1529" w:type="pct"/>
            <w:shd w:val="clear" w:color="auto" w:fill="auto"/>
            <w:vAlign w:val="center"/>
          </w:tcPr>
          <w:p w14:paraId="3A8BB4F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65</w:t>
            </w:r>
          </w:p>
        </w:tc>
      </w:tr>
      <w:tr w14:paraId="5487A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3D74151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1530" w:type="pct"/>
            <w:vAlign w:val="center"/>
          </w:tcPr>
          <w:p w14:paraId="4E63EFE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铬（六价）</w:t>
            </w:r>
          </w:p>
        </w:tc>
        <w:tc>
          <w:tcPr>
            <w:tcW w:w="1413" w:type="pct"/>
            <w:shd w:val="clear" w:color="auto" w:fill="auto"/>
            <w:vAlign w:val="center"/>
          </w:tcPr>
          <w:p w14:paraId="2CFC3F7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w:t>
            </w:r>
          </w:p>
        </w:tc>
        <w:tc>
          <w:tcPr>
            <w:tcW w:w="1529" w:type="pct"/>
            <w:shd w:val="clear" w:color="auto" w:fill="auto"/>
            <w:vAlign w:val="center"/>
          </w:tcPr>
          <w:p w14:paraId="494CC9B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5.7</w:t>
            </w:r>
          </w:p>
        </w:tc>
      </w:tr>
      <w:tr w14:paraId="65DD0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4532FA2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1530" w:type="pct"/>
            <w:vAlign w:val="center"/>
          </w:tcPr>
          <w:p w14:paraId="297DA14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1413" w:type="pct"/>
            <w:shd w:val="clear" w:color="auto" w:fill="auto"/>
            <w:vAlign w:val="center"/>
          </w:tcPr>
          <w:p w14:paraId="74F1AE6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2000</w:t>
            </w:r>
          </w:p>
        </w:tc>
        <w:tc>
          <w:tcPr>
            <w:tcW w:w="1529" w:type="pct"/>
            <w:shd w:val="clear" w:color="auto" w:fill="auto"/>
            <w:vAlign w:val="center"/>
          </w:tcPr>
          <w:p w14:paraId="243955D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18000</w:t>
            </w:r>
          </w:p>
        </w:tc>
      </w:tr>
      <w:tr w14:paraId="48EAF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7A836D3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1530" w:type="pct"/>
            <w:vAlign w:val="center"/>
          </w:tcPr>
          <w:p w14:paraId="2C42499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w:t>
            </w:r>
          </w:p>
        </w:tc>
        <w:tc>
          <w:tcPr>
            <w:tcW w:w="1413" w:type="pct"/>
            <w:shd w:val="clear" w:color="auto" w:fill="auto"/>
            <w:vAlign w:val="center"/>
          </w:tcPr>
          <w:p w14:paraId="39FF30B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400</w:t>
            </w:r>
          </w:p>
        </w:tc>
        <w:tc>
          <w:tcPr>
            <w:tcW w:w="1529" w:type="pct"/>
            <w:shd w:val="clear" w:color="auto" w:fill="auto"/>
            <w:vAlign w:val="center"/>
          </w:tcPr>
          <w:p w14:paraId="72DBED5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800</w:t>
            </w:r>
          </w:p>
        </w:tc>
      </w:tr>
      <w:tr w14:paraId="372D8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7FF706F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w:t>
            </w:r>
          </w:p>
        </w:tc>
        <w:tc>
          <w:tcPr>
            <w:tcW w:w="1530" w:type="pct"/>
            <w:vAlign w:val="center"/>
          </w:tcPr>
          <w:p w14:paraId="644291E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汞</w:t>
            </w:r>
          </w:p>
        </w:tc>
        <w:tc>
          <w:tcPr>
            <w:tcW w:w="1413" w:type="pct"/>
            <w:shd w:val="clear" w:color="auto" w:fill="auto"/>
            <w:vAlign w:val="center"/>
          </w:tcPr>
          <w:p w14:paraId="6B2315F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1529" w:type="pct"/>
            <w:shd w:val="clear" w:color="auto" w:fill="auto"/>
            <w:vAlign w:val="center"/>
          </w:tcPr>
          <w:p w14:paraId="0136E09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38</w:t>
            </w:r>
          </w:p>
        </w:tc>
      </w:tr>
      <w:tr w14:paraId="03F4B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4F8A955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1530" w:type="pct"/>
            <w:vAlign w:val="center"/>
          </w:tcPr>
          <w:p w14:paraId="0576F9E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1413" w:type="pct"/>
            <w:shd w:val="clear" w:color="auto" w:fill="auto"/>
            <w:vAlign w:val="center"/>
          </w:tcPr>
          <w:p w14:paraId="1A3CF433">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150</w:t>
            </w:r>
          </w:p>
        </w:tc>
        <w:tc>
          <w:tcPr>
            <w:tcW w:w="1529" w:type="pct"/>
            <w:shd w:val="clear" w:color="auto" w:fill="auto"/>
            <w:vAlign w:val="center"/>
          </w:tcPr>
          <w:p w14:paraId="0424B52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900</w:t>
            </w:r>
          </w:p>
        </w:tc>
      </w:tr>
      <w:tr w14:paraId="362992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vAlign w:val="center"/>
          </w:tcPr>
          <w:p w14:paraId="39D57A65">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挥发性有机物</w:t>
            </w:r>
          </w:p>
        </w:tc>
      </w:tr>
      <w:tr w14:paraId="3FD81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0917DE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1530" w:type="pct"/>
            <w:vAlign w:val="center"/>
          </w:tcPr>
          <w:p w14:paraId="1BB65BA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四氯化碳</w:t>
            </w:r>
          </w:p>
        </w:tc>
        <w:tc>
          <w:tcPr>
            <w:tcW w:w="1413" w:type="pct"/>
            <w:shd w:val="clear" w:color="auto" w:fill="auto"/>
            <w:vAlign w:val="center"/>
          </w:tcPr>
          <w:p w14:paraId="4FEB70A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0.9</w:t>
            </w:r>
          </w:p>
        </w:tc>
        <w:tc>
          <w:tcPr>
            <w:tcW w:w="1529" w:type="pct"/>
            <w:shd w:val="clear" w:color="auto" w:fill="auto"/>
            <w:vAlign w:val="center"/>
          </w:tcPr>
          <w:p w14:paraId="631EE2A3">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w:t>
            </w:r>
          </w:p>
        </w:tc>
      </w:tr>
      <w:tr w14:paraId="4B4DA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A27269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w:t>
            </w:r>
          </w:p>
        </w:tc>
        <w:tc>
          <w:tcPr>
            <w:tcW w:w="1530" w:type="pct"/>
            <w:vAlign w:val="center"/>
          </w:tcPr>
          <w:p w14:paraId="77DC722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氯仿</w:t>
            </w:r>
          </w:p>
        </w:tc>
        <w:tc>
          <w:tcPr>
            <w:tcW w:w="1413" w:type="pct"/>
            <w:shd w:val="clear" w:color="auto" w:fill="auto"/>
            <w:vAlign w:val="center"/>
          </w:tcPr>
          <w:p w14:paraId="6CDE635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w:t>
            </w:r>
          </w:p>
        </w:tc>
        <w:tc>
          <w:tcPr>
            <w:tcW w:w="1529" w:type="pct"/>
            <w:shd w:val="clear" w:color="auto" w:fill="auto"/>
            <w:vAlign w:val="center"/>
          </w:tcPr>
          <w:p w14:paraId="4B0D2B9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0.9</w:t>
            </w:r>
          </w:p>
        </w:tc>
      </w:tr>
      <w:tr w14:paraId="33C21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11A554D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1530" w:type="pct"/>
            <w:vAlign w:val="center"/>
          </w:tcPr>
          <w:p w14:paraId="3AF6A59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氯甲烷</w:t>
            </w:r>
          </w:p>
        </w:tc>
        <w:tc>
          <w:tcPr>
            <w:tcW w:w="1413" w:type="pct"/>
            <w:shd w:val="clear" w:color="auto" w:fill="auto"/>
            <w:vAlign w:val="center"/>
          </w:tcPr>
          <w:p w14:paraId="50F140A6">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w:t>
            </w:r>
          </w:p>
        </w:tc>
        <w:tc>
          <w:tcPr>
            <w:tcW w:w="1529" w:type="pct"/>
            <w:shd w:val="clear" w:color="auto" w:fill="auto"/>
            <w:vAlign w:val="center"/>
          </w:tcPr>
          <w:p w14:paraId="6B1C3BB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37</w:t>
            </w:r>
          </w:p>
        </w:tc>
      </w:tr>
      <w:tr w14:paraId="01B6F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2944EC6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w:t>
            </w:r>
          </w:p>
        </w:tc>
        <w:tc>
          <w:tcPr>
            <w:tcW w:w="1530" w:type="pct"/>
            <w:vAlign w:val="center"/>
          </w:tcPr>
          <w:p w14:paraId="6FADA08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1-二氯乙烷</w:t>
            </w:r>
          </w:p>
        </w:tc>
        <w:tc>
          <w:tcPr>
            <w:tcW w:w="1413" w:type="pct"/>
            <w:shd w:val="clear" w:color="auto" w:fill="auto"/>
            <w:vAlign w:val="center"/>
          </w:tcPr>
          <w:p w14:paraId="5D45AA0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1529" w:type="pct"/>
            <w:shd w:val="clear" w:color="auto" w:fill="auto"/>
            <w:vAlign w:val="center"/>
          </w:tcPr>
          <w:p w14:paraId="399A92E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w:t>
            </w:r>
          </w:p>
        </w:tc>
      </w:tr>
      <w:tr w14:paraId="01A0A4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04C8084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w:t>
            </w:r>
          </w:p>
        </w:tc>
        <w:tc>
          <w:tcPr>
            <w:tcW w:w="1530" w:type="pct"/>
            <w:vAlign w:val="center"/>
          </w:tcPr>
          <w:p w14:paraId="5426206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2-二氯乙烷</w:t>
            </w:r>
          </w:p>
        </w:tc>
        <w:tc>
          <w:tcPr>
            <w:tcW w:w="1413" w:type="pct"/>
            <w:shd w:val="clear" w:color="auto" w:fill="auto"/>
            <w:vAlign w:val="center"/>
          </w:tcPr>
          <w:p w14:paraId="6A30274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0.52</w:t>
            </w:r>
          </w:p>
        </w:tc>
        <w:tc>
          <w:tcPr>
            <w:tcW w:w="1529" w:type="pct"/>
            <w:shd w:val="clear" w:color="auto" w:fill="auto"/>
            <w:vAlign w:val="center"/>
          </w:tcPr>
          <w:p w14:paraId="311B19A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r>
      <w:tr w14:paraId="69183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3E53935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w:t>
            </w:r>
          </w:p>
        </w:tc>
        <w:tc>
          <w:tcPr>
            <w:tcW w:w="1530" w:type="pct"/>
            <w:vAlign w:val="center"/>
          </w:tcPr>
          <w:p w14:paraId="1BDDBFD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1-二氯乙烯</w:t>
            </w:r>
          </w:p>
        </w:tc>
        <w:tc>
          <w:tcPr>
            <w:tcW w:w="1413" w:type="pct"/>
            <w:shd w:val="clear" w:color="auto" w:fill="auto"/>
            <w:vAlign w:val="center"/>
          </w:tcPr>
          <w:p w14:paraId="6116503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w:t>
            </w:r>
          </w:p>
        </w:tc>
        <w:tc>
          <w:tcPr>
            <w:tcW w:w="1529" w:type="pct"/>
            <w:shd w:val="clear" w:color="auto" w:fill="auto"/>
            <w:vAlign w:val="center"/>
          </w:tcPr>
          <w:p w14:paraId="0EE56D4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66</w:t>
            </w:r>
          </w:p>
        </w:tc>
      </w:tr>
      <w:tr w14:paraId="32C88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7F03D46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w:t>
            </w:r>
          </w:p>
        </w:tc>
        <w:tc>
          <w:tcPr>
            <w:tcW w:w="1530" w:type="pct"/>
            <w:vAlign w:val="center"/>
          </w:tcPr>
          <w:p w14:paraId="65CE907D">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顺-1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2-二氯乙烯</w:t>
            </w:r>
          </w:p>
        </w:tc>
        <w:tc>
          <w:tcPr>
            <w:tcW w:w="1413" w:type="pct"/>
            <w:shd w:val="clear" w:color="auto" w:fill="auto"/>
            <w:vAlign w:val="center"/>
          </w:tcPr>
          <w:p w14:paraId="2C26094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66</w:t>
            </w:r>
          </w:p>
        </w:tc>
        <w:tc>
          <w:tcPr>
            <w:tcW w:w="1529" w:type="pct"/>
            <w:shd w:val="clear" w:color="auto" w:fill="auto"/>
            <w:vAlign w:val="center"/>
          </w:tcPr>
          <w:p w14:paraId="3D3DBE9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596</w:t>
            </w:r>
          </w:p>
        </w:tc>
      </w:tr>
      <w:tr w14:paraId="281CD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B777A7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w:t>
            </w:r>
          </w:p>
        </w:tc>
        <w:tc>
          <w:tcPr>
            <w:tcW w:w="1530" w:type="pct"/>
            <w:vAlign w:val="center"/>
          </w:tcPr>
          <w:p w14:paraId="00857F4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反-1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2-二氯乙烯</w:t>
            </w:r>
          </w:p>
        </w:tc>
        <w:tc>
          <w:tcPr>
            <w:tcW w:w="1413" w:type="pct"/>
            <w:shd w:val="clear" w:color="auto" w:fill="auto"/>
            <w:vAlign w:val="center"/>
          </w:tcPr>
          <w:p w14:paraId="1F29737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1529" w:type="pct"/>
            <w:shd w:val="clear" w:color="auto" w:fill="auto"/>
            <w:vAlign w:val="center"/>
          </w:tcPr>
          <w:p w14:paraId="7DE3379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54</w:t>
            </w:r>
          </w:p>
        </w:tc>
      </w:tr>
      <w:tr w14:paraId="04763B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09FAA5D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w:t>
            </w:r>
          </w:p>
        </w:tc>
        <w:tc>
          <w:tcPr>
            <w:tcW w:w="1530" w:type="pct"/>
            <w:vAlign w:val="center"/>
          </w:tcPr>
          <w:p w14:paraId="2F191C7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二氯甲烷</w:t>
            </w:r>
          </w:p>
        </w:tc>
        <w:tc>
          <w:tcPr>
            <w:tcW w:w="1413" w:type="pct"/>
            <w:shd w:val="clear" w:color="auto" w:fill="auto"/>
            <w:vAlign w:val="center"/>
          </w:tcPr>
          <w:p w14:paraId="0527F47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94</w:t>
            </w:r>
          </w:p>
        </w:tc>
        <w:tc>
          <w:tcPr>
            <w:tcW w:w="1529" w:type="pct"/>
            <w:shd w:val="clear" w:color="auto" w:fill="auto"/>
            <w:vAlign w:val="center"/>
          </w:tcPr>
          <w:p w14:paraId="6ADE899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616</w:t>
            </w:r>
          </w:p>
        </w:tc>
      </w:tr>
      <w:tr w14:paraId="50598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0E367A1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17</w:t>
            </w:r>
          </w:p>
        </w:tc>
        <w:tc>
          <w:tcPr>
            <w:tcW w:w="1530" w:type="pct"/>
            <w:vAlign w:val="center"/>
          </w:tcPr>
          <w:p w14:paraId="0F1E863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2-二氯丙烷</w:t>
            </w:r>
          </w:p>
        </w:tc>
        <w:tc>
          <w:tcPr>
            <w:tcW w:w="1413" w:type="pct"/>
            <w:shd w:val="clear" w:color="auto" w:fill="auto"/>
            <w:vAlign w:val="center"/>
          </w:tcPr>
          <w:p w14:paraId="069C350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1529" w:type="pct"/>
            <w:shd w:val="clear" w:color="auto" w:fill="auto"/>
            <w:vAlign w:val="center"/>
          </w:tcPr>
          <w:p w14:paraId="04C646B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r>
      <w:tr w14:paraId="5EF07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2BF080F3">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18</w:t>
            </w:r>
          </w:p>
        </w:tc>
        <w:tc>
          <w:tcPr>
            <w:tcW w:w="1530" w:type="pct"/>
            <w:vAlign w:val="center"/>
          </w:tcPr>
          <w:p w14:paraId="6BC0A42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2-四氯乙烷</w:t>
            </w:r>
          </w:p>
        </w:tc>
        <w:tc>
          <w:tcPr>
            <w:tcW w:w="1413" w:type="pct"/>
            <w:shd w:val="clear" w:color="auto" w:fill="auto"/>
            <w:vAlign w:val="center"/>
          </w:tcPr>
          <w:p w14:paraId="3ECE4FC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w:t>
            </w:r>
          </w:p>
        </w:tc>
        <w:tc>
          <w:tcPr>
            <w:tcW w:w="1529" w:type="pct"/>
            <w:shd w:val="clear" w:color="auto" w:fill="auto"/>
            <w:vAlign w:val="center"/>
          </w:tcPr>
          <w:p w14:paraId="3D4C16C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r>
      <w:tr w14:paraId="3873E3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4C75EB4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19</w:t>
            </w:r>
          </w:p>
        </w:tc>
        <w:tc>
          <w:tcPr>
            <w:tcW w:w="1530" w:type="pct"/>
            <w:vAlign w:val="center"/>
          </w:tcPr>
          <w:p w14:paraId="69CAD7F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2-四氯乙烷</w:t>
            </w:r>
          </w:p>
        </w:tc>
        <w:tc>
          <w:tcPr>
            <w:tcW w:w="1413" w:type="pct"/>
            <w:shd w:val="clear" w:color="auto" w:fill="auto"/>
            <w:vAlign w:val="center"/>
          </w:tcPr>
          <w:p w14:paraId="6376373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w:t>
            </w:r>
          </w:p>
        </w:tc>
        <w:tc>
          <w:tcPr>
            <w:tcW w:w="1529" w:type="pct"/>
            <w:shd w:val="clear" w:color="auto" w:fill="auto"/>
            <w:vAlign w:val="center"/>
          </w:tcPr>
          <w:p w14:paraId="25B9677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5.8</w:t>
            </w:r>
          </w:p>
        </w:tc>
      </w:tr>
      <w:tr w14:paraId="1063B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1633ECF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1530" w:type="pct"/>
            <w:vAlign w:val="center"/>
          </w:tcPr>
          <w:p w14:paraId="2BBE8CA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四氯乙烯</w:t>
            </w:r>
          </w:p>
        </w:tc>
        <w:tc>
          <w:tcPr>
            <w:tcW w:w="1413" w:type="pct"/>
            <w:shd w:val="clear" w:color="auto" w:fill="auto"/>
            <w:vAlign w:val="center"/>
          </w:tcPr>
          <w:p w14:paraId="51E8A35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w:t>
            </w:r>
          </w:p>
        </w:tc>
        <w:tc>
          <w:tcPr>
            <w:tcW w:w="1529" w:type="pct"/>
            <w:shd w:val="clear" w:color="auto" w:fill="auto"/>
            <w:vAlign w:val="center"/>
          </w:tcPr>
          <w:p w14:paraId="1DEA124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53</w:t>
            </w:r>
          </w:p>
        </w:tc>
      </w:tr>
      <w:tr w14:paraId="76B13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6926CF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21</w:t>
            </w:r>
          </w:p>
        </w:tc>
        <w:tc>
          <w:tcPr>
            <w:tcW w:w="1530" w:type="pct"/>
            <w:vAlign w:val="center"/>
          </w:tcPr>
          <w:p w14:paraId="47A3653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1-三氯乙烷</w:t>
            </w:r>
          </w:p>
        </w:tc>
        <w:tc>
          <w:tcPr>
            <w:tcW w:w="1413" w:type="pct"/>
            <w:shd w:val="clear" w:color="auto" w:fill="auto"/>
            <w:vAlign w:val="center"/>
          </w:tcPr>
          <w:p w14:paraId="7DDD4AD3">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701</w:t>
            </w:r>
          </w:p>
        </w:tc>
        <w:tc>
          <w:tcPr>
            <w:tcW w:w="1529" w:type="pct"/>
            <w:shd w:val="clear" w:color="auto" w:fill="auto"/>
            <w:vAlign w:val="center"/>
          </w:tcPr>
          <w:p w14:paraId="3757336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840</w:t>
            </w:r>
          </w:p>
        </w:tc>
      </w:tr>
      <w:tr w14:paraId="2C55F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4E66B0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w:t>
            </w:r>
          </w:p>
        </w:tc>
        <w:tc>
          <w:tcPr>
            <w:tcW w:w="1530" w:type="pct"/>
            <w:vAlign w:val="center"/>
          </w:tcPr>
          <w:p w14:paraId="7AC84E8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2-三氯乙烷</w:t>
            </w:r>
          </w:p>
        </w:tc>
        <w:tc>
          <w:tcPr>
            <w:tcW w:w="1413" w:type="pct"/>
            <w:shd w:val="clear" w:color="auto" w:fill="auto"/>
            <w:vAlign w:val="center"/>
          </w:tcPr>
          <w:p w14:paraId="765816C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0.6</w:t>
            </w:r>
          </w:p>
        </w:tc>
        <w:tc>
          <w:tcPr>
            <w:tcW w:w="1529" w:type="pct"/>
            <w:shd w:val="clear" w:color="auto" w:fill="auto"/>
            <w:vAlign w:val="center"/>
          </w:tcPr>
          <w:p w14:paraId="7BD623E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w:t>
            </w:r>
          </w:p>
        </w:tc>
      </w:tr>
      <w:tr w14:paraId="17403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44615C7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23</w:t>
            </w:r>
          </w:p>
        </w:tc>
        <w:tc>
          <w:tcPr>
            <w:tcW w:w="1530" w:type="pct"/>
            <w:vAlign w:val="center"/>
          </w:tcPr>
          <w:p w14:paraId="543529F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三氯乙烯</w:t>
            </w:r>
          </w:p>
        </w:tc>
        <w:tc>
          <w:tcPr>
            <w:tcW w:w="1413" w:type="pct"/>
            <w:shd w:val="clear" w:color="auto" w:fill="auto"/>
            <w:vAlign w:val="center"/>
          </w:tcPr>
          <w:p w14:paraId="152A5F2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0.7</w:t>
            </w:r>
          </w:p>
        </w:tc>
        <w:tc>
          <w:tcPr>
            <w:tcW w:w="1529" w:type="pct"/>
            <w:shd w:val="clear" w:color="auto" w:fill="auto"/>
            <w:vAlign w:val="center"/>
          </w:tcPr>
          <w:p w14:paraId="0FB4FAD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w:t>
            </w:r>
          </w:p>
        </w:tc>
      </w:tr>
      <w:tr w14:paraId="466DD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0E0538A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w:t>
            </w:r>
          </w:p>
        </w:tc>
        <w:tc>
          <w:tcPr>
            <w:tcW w:w="1530" w:type="pct"/>
            <w:vAlign w:val="center"/>
          </w:tcPr>
          <w:p w14:paraId="043DBFE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3-三氯丙烷</w:t>
            </w:r>
          </w:p>
        </w:tc>
        <w:tc>
          <w:tcPr>
            <w:tcW w:w="1413" w:type="pct"/>
            <w:shd w:val="clear" w:color="auto" w:fill="auto"/>
            <w:vAlign w:val="center"/>
          </w:tcPr>
          <w:p w14:paraId="36DE261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1529" w:type="pct"/>
            <w:shd w:val="clear" w:color="auto" w:fill="auto"/>
            <w:vAlign w:val="center"/>
          </w:tcPr>
          <w:p w14:paraId="06B738B6">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w:t>
            </w:r>
          </w:p>
        </w:tc>
      </w:tr>
      <w:tr w14:paraId="0DFF8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56856F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w:t>
            </w:r>
          </w:p>
        </w:tc>
        <w:tc>
          <w:tcPr>
            <w:tcW w:w="1530" w:type="pct"/>
            <w:vAlign w:val="center"/>
          </w:tcPr>
          <w:p w14:paraId="32FCBE7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氯乙烯</w:t>
            </w:r>
          </w:p>
        </w:tc>
        <w:tc>
          <w:tcPr>
            <w:tcW w:w="1413" w:type="pct"/>
            <w:shd w:val="clear" w:color="auto" w:fill="auto"/>
            <w:vAlign w:val="center"/>
          </w:tcPr>
          <w:p w14:paraId="48D2BA1D">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0.12</w:t>
            </w:r>
          </w:p>
        </w:tc>
        <w:tc>
          <w:tcPr>
            <w:tcW w:w="1529" w:type="pct"/>
            <w:shd w:val="clear" w:color="auto" w:fill="auto"/>
            <w:vAlign w:val="center"/>
          </w:tcPr>
          <w:p w14:paraId="547C216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0.43</w:t>
            </w:r>
          </w:p>
        </w:tc>
      </w:tr>
      <w:tr w14:paraId="14623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3744988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w:t>
            </w:r>
          </w:p>
        </w:tc>
        <w:tc>
          <w:tcPr>
            <w:tcW w:w="1530" w:type="pct"/>
            <w:vAlign w:val="center"/>
          </w:tcPr>
          <w:p w14:paraId="2262880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苯</w:t>
            </w:r>
          </w:p>
        </w:tc>
        <w:tc>
          <w:tcPr>
            <w:tcW w:w="1413" w:type="pct"/>
            <w:shd w:val="clear" w:color="auto" w:fill="auto"/>
            <w:vAlign w:val="center"/>
          </w:tcPr>
          <w:p w14:paraId="47485A9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1529" w:type="pct"/>
            <w:shd w:val="clear" w:color="auto" w:fill="auto"/>
            <w:vAlign w:val="center"/>
          </w:tcPr>
          <w:p w14:paraId="4B208AE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r>
      <w:tr w14:paraId="10114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517C08F6">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27</w:t>
            </w:r>
          </w:p>
        </w:tc>
        <w:tc>
          <w:tcPr>
            <w:tcW w:w="1530" w:type="pct"/>
            <w:vAlign w:val="center"/>
          </w:tcPr>
          <w:p w14:paraId="094710ED">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氯苯</w:t>
            </w:r>
          </w:p>
        </w:tc>
        <w:tc>
          <w:tcPr>
            <w:tcW w:w="1413" w:type="pct"/>
            <w:shd w:val="clear" w:color="auto" w:fill="auto"/>
            <w:vAlign w:val="center"/>
          </w:tcPr>
          <w:p w14:paraId="7C31A70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68</w:t>
            </w:r>
          </w:p>
        </w:tc>
        <w:tc>
          <w:tcPr>
            <w:tcW w:w="1529" w:type="pct"/>
            <w:shd w:val="clear" w:color="auto" w:fill="auto"/>
            <w:vAlign w:val="center"/>
          </w:tcPr>
          <w:p w14:paraId="5E63A3D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270</w:t>
            </w:r>
          </w:p>
        </w:tc>
      </w:tr>
      <w:tr w14:paraId="167B7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41806D3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w:t>
            </w:r>
          </w:p>
        </w:tc>
        <w:tc>
          <w:tcPr>
            <w:tcW w:w="1530" w:type="pct"/>
            <w:vAlign w:val="center"/>
          </w:tcPr>
          <w:p w14:paraId="047A7D3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2-二氯苯</w:t>
            </w:r>
          </w:p>
        </w:tc>
        <w:tc>
          <w:tcPr>
            <w:tcW w:w="1413" w:type="pct"/>
            <w:shd w:val="clear" w:color="auto" w:fill="auto"/>
            <w:vAlign w:val="center"/>
          </w:tcPr>
          <w:p w14:paraId="5FEAD5A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560</w:t>
            </w:r>
          </w:p>
        </w:tc>
        <w:tc>
          <w:tcPr>
            <w:tcW w:w="1529" w:type="pct"/>
            <w:shd w:val="clear" w:color="auto" w:fill="auto"/>
            <w:vAlign w:val="center"/>
          </w:tcPr>
          <w:p w14:paraId="154F003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560</w:t>
            </w:r>
          </w:p>
        </w:tc>
      </w:tr>
      <w:tr w14:paraId="143F1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0FC96D16">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w:t>
            </w:r>
          </w:p>
        </w:tc>
        <w:tc>
          <w:tcPr>
            <w:tcW w:w="1530" w:type="pct"/>
            <w:vAlign w:val="center"/>
          </w:tcPr>
          <w:p w14:paraId="6C3ABC9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4-二氯苯</w:t>
            </w:r>
          </w:p>
        </w:tc>
        <w:tc>
          <w:tcPr>
            <w:tcW w:w="1413" w:type="pct"/>
            <w:shd w:val="clear" w:color="auto" w:fill="auto"/>
            <w:vAlign w:val="center"/>
          </w:tcPr>
          <w:p w14:paraId="612AE3D3">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5.6</w:t>
            </w:r>
          </w:p>
        </w:tc>
        <w:tc>
          <w:tcPr>
            <w:tcW w:w="1529" w:type="pct"/>
            <w:shd w:val="clear" w:color="auto" w:fill="auto"/>
            <w:vAlign w:val="center"/>
          </w:tcPr>
          <w:p w14:paraId="018B0E46">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r>
      <w:tr w14:paraId="56141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2E0DDC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w:t>
            </w:r>
          </w:p>
        </w:tc>
        <w:tc>
          <w:tcPr>
            <w:tcW w:w="1530" w:type="pct"/>
            <w:vAlign w:val="center"/>
          </w:tcPr>
          <w:p w14:paraId="0F91463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乙苯</w:t>
            </w:r>
          </w:p>
        </w:tc>
        <w:tc>
          <w:tcPr>
            <w:tcW w:w="1413" w:type="pct"/>
            <w:shd w:val="clear" w:color="auto" w:fill="auto"/>
            <w:vAlign w:val="center"/>
          </w:tcPr>
          <w:p w14:paraId="6C200C4E">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w:t>
            </w:r>
          </w:p>
        </w:tc>
        <w:tc>
          <w:tcPr>
            <w:tcW w:w="1529" w:type="pct"/>
            <w:shd w:val="clear" w:color="auto" w:fill="auto"/>
            <w:vAlign w:val="center"/>
          </w:tcPr>
          <w:p w14:paraId="7C93386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w:t>
            </w:r>
          </w:p>
        </w:tc>
      </w:tr>
      <w:tr w14:paraId="51128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E7D802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31</w:t>
            </w:r>
          </w:p>
        </w:tc>
        <w:tc>
          <w:tcPr>
            <w:tcW w:w="1530" w:type="pct"/>
            <w:vAlign w:val="center"/>
          </w:tcPr>
          <w:p w14:paraId="558788A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苯乙烯</w:t>
            </w:r>
          </w:p>
        </w:tc>
        <w:tc>
          <w:tcPr>
            <w:tcW w:w="1413" w:type="pct"/>
            <w:shd w:val="clear" w:color="auto" w:fill="auto"/>
            <w:vAlign w:val="center"/>
          </w:tcPr>
          <w:p w14:paraId="2B5AD6C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1290</w:t>
            </w:r>
          </w:p>
        </w:tc>
        <w:tc>
          <w:tcPr>
            <w:tcW w:w="1529" w:type="pct"/>
            <w:shd w:val="clear" w:color="auto" w:fill="auto"/>
            <w:vAlign w:val="center"/>
          </w:tcPr>
          <w:p w14:paraId="7BD642F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1290</w:t>
            </w:r>
          </w:p>
        </w:tc>
      </w:tr>
      <w:tr w14:paraId="5AD24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348894C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w:t>
            </w:r>
          </w:p>
        </w:tc>
        <w:tc>
          <w:tcPr>
            <w:tcW w:w="1530" w:type="pct"/>
            <w:vAlign w:val="center"/>
          </w:tcPr>
          <w:p w14:paraId="7ADF689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甲苯</w:t>
            </w:r>
          </w:p>
        </w:tc>
        <w:tc>
          <w:tcPr>
            <w:tcW w:w="1413" w:type="pct"/>
            <w:shd w:val="clear" w:color="auto" w:fill="auto"/>
            <w:vAlign w:val="center"/>
          </w:tcPr>
          <w:p w14:paraId="3C45080D">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1200</w:t>
            </w:r>
          </w:p>
        </w:tc>
        <w:tc>
          <w:tcPr>
            <w:tcW w:w="1529" w:type="pct"/>
            <w:shd w:val="clear" w:color="auto" w:fill="auto"/>
            <w:vAlign w:val="center"/>
          </w:tcPr>
          <w:p w14:paraId="3FC9584A">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1200</w:t>
            </w:r>
          </w:p>
        </w:tc>
      </w:tr>
      <w:tr w14:paraId="66BE6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013E35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w:t>
            </w:r>
          </w:p>
        </w:tc>
        <w:tc>
          <w:tcPr>
            <w:tcW w:w="1530" w:type="pct"/>
            <w:vAlign w:val="center"/>
          </w:tcPr>
          <w:p w14:paraId="7B345D6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间二甲苯+对二甲苯</w:t>
            </w:r>
          </w:p>
        </w:tc>
        <w:tc>
          <w:tcPr>
            <w:tcW w:w="1413" w:type="pct"/>
            <w:shd w:val="clear" w:color="auto" w:fill="auto"/>
            <w:vAlign w:val="center"/>
          </w:tcPr>
          <w:p w14:paraId="79C8C84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163</w:t>
            </w:r>
          </w:p>
        </w:tc>
        <w:tc>
          <w:tcPr>
            <w:tcW w:w="1529" w:type="pct"/>
            <w:shd w:val="clear" w:color="auto" w:fill="auto"/>
            <w:vAlign w:val="center"/>
          </w:tcPr>
          <w:p w14:paraId="069F160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570</w:t>
            </w:r>
          </w:p>
        </w:tc>
      </w:tr>
      <w:tr w14:paraId="1D695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5D459BC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34</w:t>
            </w:r>
          </w:p>
        </w:tc>
        <w:tc>
          <w:tcPr>
            <w:tcW w:w="1530" w:type="pct"/>
            <w:vAlign w:val="center"/>
          </w:tcPr>
          <w:p w14:paraId="120DDA9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邻二甲苯</w:t>
            </w:r>
          </w:p>
        </w:tc>
        <w:tc>
          <w:tcPr>
            <w:tcW w:w="1413" w:type="pct"/>
            <w:shd w:val="clear" w:color="auto" w:fill="auto"/>
            <w:vAlign w:val="center"/>
          </w:tcPr>
          <w:p w14:paraId="635ABBE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222</w:t>
            </w:r>
          </w:p>
        </w:tc>
        <w:tc>
          <w:tcPr>
            <w:tcW w:w="1529" w:type="pct"/>
            <w:shd w:val="clear" w:color="auto" w:fill="auto"/>
            <w:vAlign w:val="center"/>
          </w:tcPr>
          <w:p w14:paraId="28396B8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640</w:t>
            </w:r>
          </w:p>
        </w:tc>
      </w:tr>
      <w:tr w14:paraId="39D64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vAlign w:val="center"/>
          </w:tcPr>
          <w:p w14:paraId="35692456">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半挥发性有机物</w:t>
            </w:r>
          </w:p>
        </w:tc>
      </w:tr>
      <w:tr w14:paraId="136DA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5395B48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35</w:t>
            </w:r>
          </w:p>
        </w:tc>
        <w:tc>
          <w:tcPr>
            <w:tcW w:w="1530" w:type="pct"/>
            <w:vAlign w:val="center"/>
          </w:tcPr>
          <w:p w14:paraId="4707402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硝基苯</w:t>
            </w:r>
          </w:p>
        </w:tc>
        <w:tc>
          <w:tcPr>
            <w:tcW w:w="1413" w:type="pct"/>
            <w:shd w:val="clear" w:color="auto" w:fill="auto"/>
            <w:vAlign w:val="center"/>
          </w:tcPr>
          <w:p w14:paraId="5DC8D1BD">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34</w:t>
            </w:r>
          </w:p>
        </w:tc>
        <w:tc>
          <w:tcPr>
            <w:tcW w:w="1529" w:type="pct"/>
            <w:shd w:val="clear" w:color="auto" w:fill="auto"/>
            <w:vAlign w:val="center"/>
          </w:tcPr>
          <w:p w14:paraId="1199964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76</w:t>
            </w:r>
          </w:p>
        </w:tc>
      </w:tr>
      <w:tr w14:paraId="59B64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3EA2A14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36</w:t>
            </w:r>
          </w:p>
        </w:tc>
        <w:tc>
          <w:tcPr>
            <w:tcW w:w="1530" w:type="pct"/>
            <w:vAlign w:val="center"/>
          </w:tcPr>
          <w:p w14:paraId="3B737CD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苯胺</w:t>
            </w:r>
          </w:p>
        </w:tc>
        <w:tc>
          <w:tcPr>
            <w:tcW w:w="1413" w:type="pct"/>
            <w:shd w:val="clear" w:color="auto" w:fill="auto"/>
            <w:vAlign w:val="center"/>
          </w:tcPr>
          <w:p w14:paraId="1D17E4B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92</w:t>
            </w:r>
          </w:p>
        </w:tc>
        <w:tc>
          <w:tcPr>
            <w:tcW w:w="1529" w:type="pct"/>
            <w:shd w:val="clear" w:color="auto" w:fill="auto"/>
            <w:vAlign w:val="center"/>
          </w:tcPr>
          <w:p w14:paraId="04BF958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260</w:t>
            </w:r>
          </w:p>
        </w:tc>
      </w:tr>
      <w:tr w14:paraId="14942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029BE213">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37</w:t>
            </w:r>
          </w:p>
        </w:tc>
        <w:tc>
          <w:tcPr>
            <w:tcW w:w="1530" w:type="pct"/>
            <w:vAlign w:val="center"/>
          </w:tcPr>
          <w:p w14:paraId="57103B5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2-氯酚</w:t>
            </w:r>
          </w:p>
        </w:tc>
        <w:tc>
          <w:tcPr>
            <w:tcW w:w="1413" w:type="pct"/>
            <w:shd w:val="clear" w:color="auto" w:fill="auto"/>
            <w:vAlign w:val="center"/>
          </w:tcPr>
          <w:p w14:paraId="3BBD8DD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1529" w:type="pct"/>
            <w:shd w:val="clear" w:color="auto" w:fill="auto"/>
            <w:vAlign w:val="center"/>
          </w:tcPr>
          <w:p w14:paraId="00275B2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2256</w:t>
            </w:r>
          </w:p>
        </w:tc>
      </w:tr>
      <w:tr w14:paraId="61FF7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767D7AB6">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38</w:t>
            </w:r>
          </w:p>
        </w:tc>
        <w:tc>
          <w:tcPr>
            <w:tcW w:w="1530" w:type="pct"/>
            <w:vAlign w:val="center"/>
          </w:tcPr>
          <w:p w14:paraId="2F7B0FB6">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苯并[a]蒽</w:t>
            </w:r>
          </w:p>
        </w:tc>
        <w:tc>
          <w:tcPr>
            <w:tcW w:w="1413" w:type="pct"/>
            <w:shd w:val="clear" w:color="auto" w:fill="auto"/>
            <w:vAlign w:val="center"/>
          </w:tcPr>
          <w:p w14:paraId="1A29C4A7">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w:t>
            </w:r>
          </w:p>
        </w:tc>
        <w:tc>
          <w:tcPr>
            <w:tcW w:w="1529" w:type="pct"/>
            <w:shd w:val="clear" w:color="auto" w:fill="auto"/>
            <w:vAlign w:val="center"/>
          </w:tcPr>
          <w:p w14:paraId="388C1CE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w:t>
            </w:r>
          </w:p>
        </w:tc>
      </w:tr>
      <w:tr w14:paraId="66C4B8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52943EA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39</w:t>
            </w:r>
          </w:p>
        </w:tc>
        <w:tc>
          <w:tcPr>
            <w:tcW w:w="1530" w:type="pct"/>
            <w:vAlign w:val="center"/>
          </w:tcPr>
          <w:p w14:paraId="7916C98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苯并[a]芘</w:t>
            </w:r>
          </w:p>
        </w:tc>
        <w:tc>
          <w:tcPr>
            <w:tcW w:w="1413" w:type="pct"/>
            <w:shd w:val="clear" w:color="auto" w:fill="auto"/>
            <w:vAlign w:val="center"/>
          </w:tcPr>
          <w:p w14:paraId="6135C23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0.55</w:t>
            </w:r>
          </w:p>
        </w:tc>
        <w:tc>
          <w:tcPr>
            <w:tcW w:w="1529" w:type="pct"/>
            <w:shd w:val="clear" w:color="auto" w:fill="auto"/>
            <w:vAlign w:val="center"/>
          </w:tcPr>
          <w:p w14:paraId="117C8C4F">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w:t>
            </w:r>
          </w:p>
        </w:tc>
      </w:tr>
      <w:tr w14:paraId="75F985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3600B32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w:t>
            </w:r>
          </w:p>
        </w:tc>
        <w:tc>
          <w:tcPr>
            <w:tcW w:w="1530" w:type="pct"/>
            <w:vAlign w:val="center"/>
          </w:tcPr>
          <w:p w14:paraId="73451B18">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苯并[b]荧蒽</w:t>
            </w:r>
          </w:p>
        </w:tc>
        <w:tc>
          <w:tcPr>
            <w:tcW w:w="1413" w:type="pct"/>
            <w:shd w:val="clear" w:color="auto" w:fill="auto"/>
            <w:vAlign w:val="center"/>
          </w:tcPr>
          <w:p w14:paraId="67A70EE3">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w:t>
            </w:r>
          </w:p>
        </w:tc>
        <w:tc>
          <w:tcPr>
            <w:tcW w:w="1529" w:type="pct"/>
            <w:shd w:val="clear" w:color="auto" w:fill="auto"/>
            <w:vAlign w:val="center"/>
          </w:tcPr>
          <w:p w14:paraId="0E5CD58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w:t>
            </w:r>
          </w:p>
        </w:tc>
      </w:tr>
      <w:tr w14:paraId="0EEFD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3E30BE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41</w:t>
            </w:r>
          </w:p>
        </w:tc>
        <w:tc>
          <w:tcPr>
            <w:tcW w:w="1530" w:type="pct"/>
            <w:vAlign w:val="center"/>
          </w:tcPr>
          <w:p w14:paraId="419EFA3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苯并[k]荧蒽</w:t>
            </w:r>
          </w:p>
        </w:tc>
        <w:tc>
          <w:tcPr>
            <w:tcW w:w="1413" w:type="pct"/>
            <w:shd w:val="clear" w:color="auto" w:fill="auto"/>
            <w:vAlign w:val="center"/>
          </w:tcPr>
          <w:p w14:paraId="7E856EA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w:t>
            </w:r>
          </w:p>
        </w:tc>
        <w:tc>
          <w:tcPr>
            <w:tcW w:w="1529" w:type="pct"/>
            <w:shd w:val="clear" w:color="auto" w:fill="auto"/>
            <w:vAlign w:val="center"/>
          </w:tcPr>
          <w:p w14:paraId="590AA9BD">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151</w:t>
            </w:r>
          </w:p>
        </w:tc>
      </w:tr>
      <w:tr w14:paraId="275EFE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62D08D4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42</w:t>
            </w:r>
          </w:p>
        </w:tc>
        <w:tc>
          <w:tcPr>
            <w:tcW w:w="1530" w:type="pct"/>
            <w:vAlign w:val="center"/>
          </w:tcPr>
          <w:p w14:paraId="37203699">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䓛</w:t>
            </w:r>
          </w:p>
        </w:tc>
        <w:tc>
          <w:tcPr>
            <w:tcW w:w="1413" w:type="pct"/>
            <w:shd w:val="clear" w:color="auto" w:fill="auto"/>
            <w:vAlign w:val="center"/>
          </w:tcPr>
          <w:p w14:paraId="5179043C">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490</w:t>
            </w:r>
          </w:p>
        </w:tc>
        <w:tc>
          <w:tcPr>
            <w:tcW w:w="1529" w:type="pct"/>
            <w:shd w:val="clear" w:color="auto" w:fill="auto"/>
            <w:vAlign w:val="center"/>
          </w:tcPr>
          <w:p w14:paraId="6F61ECF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1293</w:t>
            </w:r>
          </w:p>
        </w:tc>
      </w:tr>
      <w:tr w14:paraId="20FE3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0F7B858B">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43</w:t>
            </w:r>
          </w:p>
        </w:tc>
        <w:tc>
          <w:tcPr>
            <w:tcW w:w="1530" w:type="pct"/>
            <w:vAlign w:val="center"/>
          </w:tcPr>
          <w:p w14:paraId="380D61ED">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二苯并(a</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h)蒽</w:t>
            </w:r>
          </w:p>
        </w:tc>
        <w:tc>
          <w:tcPr>
            <w:tcW w:w="1413" w:type="pct"/>
            <w:shd w:val="clear" w:color="auto" w:fill="auto"/>
            <w:vAlign w:val="center"/>
          </w:tcPr>
          <w:p w14:paraId="6C04FEC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0.55</w:t>
            </w:r>
          </w:p>
        </w:tc>
        <w:tc>
          <w:tcPr>
            <w:tcW w:w="1529" w:type="pct"/>
            <w:shd w:val="clear" w:color="auto" w:fill="auto"/>
            <w:vAlign w:val="center"/>
          </w:tcPr>
          <w:p w14:paraId="3072C42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w:t>
            </w:r>
          </w:p>
        </w:tc>
      </w:tr>
      <w:tr w14:paraId="4C7C8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27C65031">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44</w:t>
            </w:r>
          </w:p>
        </w:tc>
        <w:tc>
          <w:tcPr>
            <w:tcW w:w="1530" w:type="pct"/>
            <w:vAlign w:val="center"/>
          </w:tcPr>
          <w:p w14:paraId="00D0046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茚并(1</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2</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3-cd)芘</w:t>
            </w:r>
          </w:p>
        </w:tc>
        <w:tc>
          <w:tcPr>
            <w:tcW w:w="1413" w:type="pct"/>
            <w:shd w:val="clear" w:color="auto" w:fill="auto"/>
            <w:vAlign w:val="center"/>
          </w:tcPr>
          <w:p w14:paraId="3E4F92C0">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w:t>
            </w:r>
          </w:p>
        </w:tc>
        <w:tc>
          <w:tcPr>
            <w:tcW w:w="1529" w:type="pct"/>
            <w:shd w:val="clear" w:color="auto" w:fill="auto"/>
            <w:vAlign w:val="center"/>
          </w:tcPr>
          <w:p w14:paraId="29D80204">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w:t>
            </w:r>
          </w:p>
        </w:tc>
      </w:tr>
      <w:tr w14:paraId="399869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8" w:type="pct"/>
            <w:vAlign w:val="center"/>
          </w:tcPr>
          <w:p w14:paraId="2D1FBAA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45</w:t>
            </w:r>
          </w:p>
        </w:tc>
        <w:tc>
          <w:tcPr>
            <w:tcW w:w="1530" w:type="pct"/>
            <w:vAlign w:val="center"/>
          </w:tcPr>
          <w:p w14:paraId="7C49C495">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萘</w:t>
            </w:r>
          </w:p>
        </w:tc>
        <w:tc>
          <w:tcPr>
            <w:tcW w:w="1413" w:type="pct"/>
            <w:shd w:val="clear" w:color="auto" w:fill="auto"/>
            <w:vAlign w:val="center"/>
          </w:tcPr>
          <w:p w14:paraId="4832A132">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w:t>
            </w:r>
          </w:p>
        </w:tc>
        <w:tc>
          <w:tcPr>
            <w:tcW w:w="1529" w:type="pct"/>
            <w:shd w:val="clear" w:color="auto" w:fill="auto"/>
            <w:vAlign w:val="center"/>
          </w:tcPr>
          <w:p w14:paraId="70DED283">
            <w:pPr>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w:t>
            </w:r>
          </w:p>
        </w:tc>
      </w:tr>
    </w:tbl>
    <w:p w14:paraId="391E499A">
      <w:pPr>
        <w:pStyle w:val="5"/>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2.4.2.2污染物排放标准</w:t>
      </w:r>
    </w:p>
    <w:p w14:paraId="2CF63B0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（1）废气排放标准</w:t>
      </w:r>
    </w:p>
    <w:p w14:paraId="6D5F30E0">
      <w:pPr>
        <w:pageBreakBefore w:val="0"/>
        <w:kinsoku/>
        <w:wordWrap/>
        <w:overflowPunct/>
        <w:topLinePunct w:val="0"/>
        <w:bidi w:val="0"/>
        <w:spacing w:line="360" w:lineRule="auto"/>
        <w:ind w:left="0" w:leftChars="0" w:firstLine="480" w:firstLineChars="200"/>
        <w:jc w:val="both"/>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施工期无组织粉尘执行《大气污染物综合排放标准》（GB16297-1996）表2中无组织排放限值</w:t>
      </w:r>
      <w:r>
        <w:rPr>
          <w:rFonts w:hint="default" w:ascii="Times New Roman" w:hAnsi="Times New Roman" w:eastAsia="宋体" w:cs="Times New Roman"/>
          <w:color w:val="auto"/>
          <w:sz w:val="24"/>
          <w:szCs w:val="24"/>
          <w:highlight w:val="none"/>
          <w:u w:val="none" w:color="auto"/>
          <w:lang w:eastAsia="zh-CN"/>
        </w:rPr>
        <w:t>。</w:t>
      </w:r>
    </w:p>
    <w:p w14:paraId="4C29DA7A">
      <w:pPr>
        <w:pageBreakBefore w:val="0"/>
        <w:kinsoku/>
        <w:wordWrap/>
        <w:overflowPunct/>
        <w:topLinePunct w:val="0"/>
        <w:bidi w:val="0"/>
        <w:spacing w:line="360" w:lineRule="auto"/>
        <w:ind w:left="0" w:leftChars="0" w:firstLine="480" w:firstLineChars="200"/>
        <w:jc w:val="both"/>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运营期废气中有组织氯化氢、硫酸雾、氮氧化物执行《电镀污染物排放标准》（GB21900-2008）表5规定的大气污染物排放限值，无组织氯化氢、硫酸雾等执行《大气污染物综合排放标准》（GB16297-1996）表2无组织排放限值；</w:t>
      </w:r>
      <w:r>
        <w:rPr>
          <w:rFonts w:hint="default" w:ascii="Times New Roman" w:hAnsi="Times New Roman" w:eastAsia="宋体" w:cs="Times New Roman"/>
          <w:color w:val="auto"/>
          <w:kern w:val="2"/>
          <w:sz w:val="24"/>
          <w:szCs w:val="24"/>
          <w:highlight w:val="none"/>
          <w:u w:val="none" w:color="auto"/>
          <w:lang w:val="en-US" w:eastAsia="zh-CN" w:bidi="ar-SA"/>
        </w:rPr>
        <w:t>非甲烷总烃执</w:t>
      </w:r>
      <w:r>
        <w:rPr>
          <w:rFonts w:hint="default" w:ascii="Times New Roman" w:hAnsi="Times New Roman" w:eastAsia="宋体" w:cs="Times New Roman"/>
          <w:color w:val="auto"/>
          <w:sz w:val="24"/>
          <w:szCs w:val="24"/>
          <w:highlight w:val="none"/>
          <w:u w:val="none" w:color="auto"/>
          <w:lang w:val="en-US" w:eastAsia="zh-CN"/>
        </w:rPr>
        <w:t>行</w:t>
      </w:r>
      <w:r>
        <w:rPr>
          <w:rFonts w:hint="default" w:ascii="Times New Roman" w:hAnsi="Times New Roman" w:eastAsia="宋体" w:cs="Times New Roman"/>
          <w:color w:val="auto"/>
          <w:kern w:val="2"/>
          <w:sz w:val="24"/>
          <w:szCs w:val="24"/>
          <w:highlight w:val="none"/>
          <w:u w:val="none" w:color="auto"/>
          <w:lang w:val="en-US" w:eastAsia="zh-CN" w:bidi="ar-SA"/>
        </w:rPr>
        <w:t>《合成树脂工业污染物排放标准》（GB31572-2015）中浓度限值要求；臭气浓度</w:t>
      </w:r>
      <w:r>
        <w:rPr>
          <w:rFonts w:hint="default" w:ascii="Times New Roman" w:hAnsi="Times New Roman" w:eastAsia="宋体" w:cs="Times New Roman"/>
          <w:strike w:val="0"/>
          <w:dstrike w:val="0"/>
          <w:color w:val="auto"/>
          <w:sz w:val="24"/>
          <w:szCs w:val="24"/>
          <w:highlight w:val="none"/>
          <w:u w:val="none" w:color="auto"/>
        </w:rPr>
        <w:t>执行《恶臭污染物排放标准》（GB14554-93）</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食堂油烟废气执行《饮食业油烟排放标准（试行）》（GB18483-2001），具体标准值详见下表：</w:t>
      </w:r>
    </w:p>
    <w:p w14:paraId="694BC213">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lang w:eastAsia="zh-CN"/>
        </w:rPr>
      </w:pPr>
      <w:r>
        <w:rPr>
          <w:rFonts w:hint="default" w:ascii="Times New Roman" w:hAnsi="Times New Roman" w:eastAsia="宋体" w:cs="Times New Roman"/>
          <w:b/>
          <w:color w:val="auto"/>
          <w:sz w:val="21"/>
          <w:szCs w:val="21"/>
          <w:highlight w:val="none"/>
          <w:u w:val="none" w:color="auto"/>
        </w:rPr>
        <w:t>表2.4-7</w:t>
      </w:r>
      <w:r>
        <w:rPr>
          <w:rFonts w:hint="default" w:ascii="Times New Roman" w:hAnsi="Times New Roman" w:eastAsia="宋体" w:cs="Times New Roman"/>
          <w:b/>
          <w:color w:val="auto"/>
          <w:sz w:val="21"/>
          <w:szCs w:val="21"/>
          <w:highlight w:val="none"/>
          <w:u w:val="none" w:color="auto"/>
          <w:lang w:val="en-US" w:eastAsia="zh-CN"/>
        </w:rPr>
        <w:t xml:space="preserve">  本项目</w:t>
      </w:r>
      <w:r>
        <w:rPr>
          <w:rFonts w:hint="default" w:ascii="Times New Roman" w:hAnsi="Times New Roman" w:eastAsia="宋体" w:cs="Times New Roman"/>
          <w:b/>
          <w:color w:val="auto"/>
          <w:sz w:val="21"/>
          <w:szCs w:val="21"/>
          <w:highlight w:val="none"/>
          <w:u w:val="none" w:color="auto"/>
          <w:lang w:eastAsia="zh-CN"/>
        </w:rPr>
        <w:t>废气排放标准</w:t>
      </w:r>
    </w:p>
    <w:tbl>
      <w:tblPr>
        <w:tblStyle w:val="22"/>
        <w:tblW w:w="505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595"/>
        <w:gridCol w:w="1281"/>
        <w:gridCol w:w="1135"/>
        <w:gridCol w:w="850"/>
        <w:gridCol w:w="1295"/>
        <w:gridCol w:w="976"/>
      </w:tblGrid>
      <w:tr w14:paraId="798D4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61" w:type="pct"/>
            <w:vMerge w:val="restart"/>
            <w:vAlign w:val="center"/>
          </w:tcPr>
          <w:p w14:paraId="782FED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eastAsia="zh-CN"/>
              </w:rPr>
            </w:pPr>
            <w:r>
              <w:rPr>
                <w:rFonts w:hint="default" w:ascii="Times New Roman" w:hAnsi="Times New Roman" w:eastAsia="宋体" w:cs="Times New Roman"/>
                <w:b w:val="0"/>
                <w:bCs w:val="0"/>
                <w:color w:val="auto"/>
                <w:sz w:val="21"/>
                <w:szCs w:val="21"/>
                <w:highlight w:val="none"/>
                <w:u w:val="none" w:color="auto"/>
                <w:lang w:eastAsia="zh-CN"/>
              </w:rPr>
              <w:t>标准名称</w:t>
            </w:r>
          </w:p>
        </w:tc>
        <w:tc>
          <w:tcPr>
            <w:tcW w:w="925" w:type="pct"/>
            <w:vMerge w:val="restart"/>
            <w:vAlign w:val="center"/>
          </w:tcPr>
          <w:p w14:paraId="15E2E2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序号</w:t>
            </w:r>
          </w:p>
        </w:tc>
        <w:tc>
          <w:tcPr>
            <w:tcW w:w="743" w:type="pct"/>
            <w:vMerge w:val="restart"/>
            <w:vAlign w:val="center"/>
          </w:tcPr>
          <w:p w14:paraId="2D3A0E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污染物项目</w:t>
            </w:r>
          </w:p>
        </w:tc>
        <w:tc>
          <w:tcPr>
            <w:tcW w:w="1151" w:type="pct"/>
            <w:gridSpan w:val="2"/>
            <w:vAlign w:val="center"/>
          </w:tcPr>
          <w:p w14:paraId="2A4A15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有组织</w:t>
            </w:r>
          </w:p>
        </w:tc>
        <w:tc>
          <w:tcPr>
            <w:tcW w:w="1317" w:type="pct"/>
            <w:gridSpan w:val="2"/>
            <w:vAlign w:val="center"/>
          </w:tcPr>
          <w:p w14:paraId="4B413F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无组织</w:t>
            </w:r>
          </w:p>
        </w:tc>
      </w:tr>
      <w:tr w14:paraId="2A239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861" w:type="pct"/>
            <w:vMerge w:val="continue"/>
            <w:vAlign w:val="center"/>
          </w:tcPr>
          <w:p w14:paraId="591714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925" w:type="pct"/>
            <w:vMerge w:val="continue"/>
            <w:vAlign w:val="center"/>
          </w:tcPr>
          <w:p w14:paraId="3AFE68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743" w:type="pct"/>
            <w:vMerge w:val="continue"/>
            <w:vAlign w:val="center"/>
          </w:tcPr>
          <w:p w14:paraId="3F9E56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658" w:type="pct"/>
            <w:vAlign w:val="center"/>
          </w:tcPr>
          <w:p w14:paraId="5C4ED6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排放限值</w:t>
            </w:r>
          </w:p>
          <w:p w14:paraId="1819B3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（mg/m</w:t>
            </w:r>
            <w:r>
              <w:rPr>
                <w:rFonts w:hint="default" w:ascii="Times New Roman" w:hAnsi="Times New Roman" w:eastAsia="宋体" w:cs="Times New Roman"/>
                <w:b w:val="0"/>
                <w:bCs w:val="0"/>
                <w:color w:val="auto"/>
                <w:sz w:val="21"/>
                <w:szCs w:val="21"/>
                <w:highlight w:val="none"/>
                <w:u w:val="none" w:color="auto"/>
                <w:vertAlign w:val="superscript"/>
              </w:rPr>
              <w:t>3</w:t>
            </w:r>
            <w:r>
              <w:rPr>
                <w:rFonts w:hint="default" w:ascii="Times New Roman" w:hAnsi="Times New Roman" w:eastAsia="宋体" w:cs="Times New Roman"/>
                <w:b w:val="0"/>
                <w:bCs w:val="0"/>
                <w:color w:val="auto"/>
                <w:sz w:val="21"/>
                <w:szCs w:val="21"/>
                <w:highlight w:val="none"/>
                <w:u w:val="none" w:color="auto"/>
              </w:rPr>
              <w:t>）</w:t>
            </w:r>
          </w:p>
        </w:tc>
        <w:tc>
          <w:tcPr>
            <w:tcW w:w="493" w:type="pct"/>
            <w:vAlign w:val="center"/>
          </w:tcPr>
          <w:p w14:paraId="0AD9A7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污染物排放监控位置</w:t>
            </w:r>
          </w:p>
        </w:tc>
        <w:tc>
          <w:tcPr>
            <w:tcW w:w="751" w:type="pct"/>
            <w:vAlign w:val="center"/>
          </w:tcPr>
          <w:p w14:paraId="579340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浓度</w:t>
            </w:r>
          </w:p>
          <w:p w14:paraId="4C9077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（mg/m</w:t>
            </w:r>
            <w:r>
              <w:rPr>
                <w:rFonts w:hint="default" w:ascii="Times New Roman" w:hAnsi="Times New Roman" w:eastAsia="宋体" w:cs="Times New Roman"/>
                <w:b w:val="0"/>
                <w:bCs w:val="0"/>
                <w:color w:val="auto"/>
                <w:sz w:val="21"/>
                <w:szCs w:val="21"/>
                <w:highlight w:val="none"/>
                <w:u w:val="none" w:color="auto"/>
                <w:vertAlign w:val="superscript"/>
              </w:rPr>
              <w:t>3</w:t>
            </w:r>
            <w:r>
              <w:rPr>
                <w:rFonts w:hint="default" w:ascii="Times New Roman" w:hAnsi="Times New Roman" w:eastAsia="宋体" w:cs="Times New Roman"/>
                <w:b w:val="0"/>
                <w:bCs w:val="0"/>
                <w:color w:val="auto"/>
                <w:sz w:val="21"/>
                <w:szCs w:val="21"/>
                <w:highlight w:val="none"/>
                <w:u w:val="none" w:color="auto"/>
              </w:rPr>
              <w:t>）</w:t>
            </w:r>
          </w:p>
        </w:tc>
        <w:tc>
          <w:tcPr>
            <w:tcW w:w="566" w:type="pct"/>
            <w:vAlign w:val="center"/>
          </w:tcPr>
          <w:p w14:paraId="3BDA83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无组织</w:t>
            </w:r>
          </w:p>
          <w:p w14:paraId="088AF4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监控点</w:t>
            </w:r>
          </w:p>
        </w:tc>
      </w:tr>
      <w:tr w14:paraId="01A48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61" w:type="pct"/>
            <w:vMerge w:val="restart"/>
            <w:vAlign w:val="center"/>
          </w:tcPr>
          <w:p w14:paraId="7306A3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电镀污染物排放标准（GB21900-2008）</w:t>
            </w:r>
          </w:p>
        </w:tc>
        <w:tc>
          <w:tcPr>
            <w:tcW w:w="925" w:type="pct"/>
            <w:vAlign w:val="center"/>
          </w:tcPr>
          <w:p w14:paraId="7DBCB6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1</w:t>
            </w:r>
          </w:p>
        </w:tc>
        <w:tc>
          <w:tcPr>
            <w:tcW w:w="743" w:type="pct"/>
            <w:vAlign w:val="center"/>
          </w:tcPr>
          <w:p w14:paraId="0CD35E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氯化氢</w:t>
            </w:r>
          </w:p>
        </w:tc>
        <w:tc>
          <w:tcPr>
            <w:tcW w:w="658" w:type="pct"/>
            <w:vAlign w:val="center"/>
          </w:tcPr>
          <w:p w14:paraId="04E76E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30</w:t>
            </w:r>
          </w:p>
        </w:tc>
        <w:tc>
          <w:tcPr>
            <w:tcW w:w="493" w:type="pct"/>
            <w:vMerge w:val="restart"/>
            <w:vAlign w:val="center"/>
          </w:tcPr>
          <w:p w14:paraId="4305F8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车间或生产设施排气筒</w:t>
            </w:r>
          </w:p>
        </w:tc>
        <w:tc>
          <w:tcPr>
            <w:tcW w:w="751" w:type="pct"/>
            <w:vAlign w:val="center"/>
          </w:tcPr>
          <w:p w14:paraId="0FC3F0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0.20</w:t>
            </w:r>
          </w:p>
        </w:tc>
        <w:tc>
          <w:tcPr>
            <w:tcW w:w="566" w:type="pct"/>
            <w:vMerge w:val="restart"/>
            <w:vAlign w:val="center"/>
          </w:tcPr>
          <w:p w14:paraId="735D87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周界外浓度最高点</w:t>
            </w:r>
          </w:p>
        </w:tc>
      </w:tr>
      <w:tr w14:paraId="446CD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61" w:type="pct"/>
            <w:vMerge w:val="continue"/>
            <w:vAlign w:val="center"/>
          </w:tcPr>
          <w:p w14:paraId="12E4F6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p>
        </w:tc>
        <w:tc>
          <w:tcPr>
            <w:tcW w:w="925" w:type="pct"/>
            <w:vAlign w:val="center"/>
          </w:tcPr>
          <w:p w14:paraId="189A4A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eastAsia="zh-CN"/>
              </w:rPr>
            </w:pPr>
            <w:r>
              <w:rPr>
                <w:rFonts w:hint="default" w:ascii="Times New Roman" w:hAnsi="Times New Roman" w:eastAsia="宋体" w:cs="Times New Roman"/>
                <w:b w:val="0"/>
                <w:bCs w:val="0"/>
                <w:color w:val="auto"/>
                <w:sz w:val="21"/>
                <w:szCs w:val="21"/>
                <w:highlight w:val="none"/>
                <w:u w:val="none" w:color="auto"/>
                <w:lang w:val="en-US" w:eastAsia="zh-CN"/>
              </w:rPr>
              <w:t>2</w:t>
            </w:r>
          </w:p>
        </w:tc>
        <w:tc>
          <w:tcPr>
            <w:tcW w:w="743" w:type="pct"/>
            <w:vAlign w:val="center"/>
          </w:tcPr>
          <w:p w14:paraId="4DBB28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硫酸雾</w:t>
            </w:r>
          </w:p>
        </w:tc>
        <w:tc>
          <w:tcPr>
            <w:tcW w:w="658" w:type="pct"/>
            <w:vAlign w:val="center"/>
          </w:tcPr>
          <w:p w14:paraId="5CD3CF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30</w:t>
            </w:r>
          </w:p>
        </w:tc>
        <w:tc>
          <w:tcPr>
            <w:tcW w:w="493" w:type="pct"/>
            <w:vMerge w:val="continue"/>
            <w:vAlign w:val="center"/>
          </w:tcPr>
          <w:p w14:paraId="533A00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751" w:type="pct"/>
            <w:vAlign w:val="center"/>
          </w:tcPr>
          <w:p w14:paraId="553C62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1.2</w:t>
            </w:r>
          </w:p>
        </w:tc>
        <w:tc>
          <w:tcPr>
            <w:tcW w:w="566" w:type="pct"/>
            <w:vMerge w:val="continue"/>
            <w:vAlign w:val="center"/>
          </w:tcPr>
          <w:p w14:paraId="646C8F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r>
      <w:tr w14:paraId="7A560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61" w:type="pct"/>
            <w:vMerge w:val="continue"/>
            <w:vAlign w:val="center"/>
          </w:tcPr>
          <w:p w14:paraId="33D0E2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p>
        </w:tc>
        <w:tc>
          <w:tcPr>
            <w:tcW w:w="925" w:type="pct"/>
            <w:vAlign w:val="center"/>
          </w:tcPr>
          <w:p w14:paraId="5EAEEA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eastAsia="zh-CN"/>
              </w:rPr>
            </w:pPr>
            <w:r>
              <w:rPr>
                <w:rFonts w:hint="default" w:ascii="Times New Roman" w:hAnsi="Times New Roman" w:eastAsia="宋体" w:cs="Times New Roman"/>
                <w:b w:val="0"/>
                <w:bCs w:val="0"/>
                <w:color w:val="auto"/>
                <w:sz w:val="21"/>
                <w:szCs w:val="21"/>
                <w:highlight w:val="none"/>
                <w:u w:val="none" w:color="auto"/>
                <w:lang w:val="en-US" w:eastAsia="zh-CN"/>
              </w:rPr>
              <w:t>3</w:t>
            </w:r>
          </w:p>
        </w:tc>
        <w:tc>
          <w:tcPr>
            <w:tcW w:w="743" w:type="pct"/>
            <w:vAlign w:val="center"/>
          </w:tcPr>
          <w:p w14:paraId="05E367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氮氧化物</w:t>
            </w:r>
          </w:p>
        </w:tc>
        <w:tc>
          <w:tcPr>
            <w:tcW w:w="658" w:type="pct"/>
            <w:vAlign w:val="center"/>
          </w:tcPr>
          <w:p w14:paraId="1584DF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200</w:t>
            </w:r>
          </w:p>
        </w:tc>
        <w:tc>
          <w:tcPr>
            <w:tcW w:w="493" w:type="pct"/>
            <w:vMerge w:val="continue"/>
            <w:vAlign w:val="center"/>
          </w:tcPr>
          <w:p w14:paraId="72A74C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751" w:type="pct"/>
            <w:vAlign w:val="center"/>
          </w:tcPr>
          <w:p w14:paraId="526472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0.12</w:t>
            </w:r>
          </w:p>
        </w:tc>
        <w:tc>
          <w:tcPr>
            <w:tcW w:w="566" w:type="pct"/>
            <w:vMerge w:val="continue"/>
            <w:vAlign w:val="center"/>
          </w:tcPr>
          <w:p w14:paraId="34605C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r>
      <w:tr w14:paraId="3C215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61" w:type="pct"/>
            <w:vMerge w:val="continue"/>
            <w:vAlign w:val="center"/>
          </w:tcPr>
          <w:p w14:paraId="74C853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925" w:type="pct"/>
            <w:vAlign w:val="center"/>
          </w:tcPr>
          <w:p w14:paraId="40F813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vertAlign w:val="superscript"/>
              </w:rPr>
            </w:pPr>
            <w:r>
              <w:rPr>
                <w:rFonts w:hint="default" w:ascii="Times New Roman" w:hAnsi="Times New Roman" w:eastAsia="宋体" w:cs="Times New Roman"/>
                <w:b w:val="0"/>
                <w:bCs w:val="0"/>
                <w:color w:val="auto"/>
                <w:sz w:val="21"/>
                <w:szCs w:val="21"/>
                <w:highlight w:val="none"/>
                <w:u w:val="none" w:color="auto"/>
              </w:rPr>
              <w:t>基准排气量，m</w:t>
            </w:r>
            <w:r>
              <w:rPr>
                <w:rFonts w:hint="default" w:ascii="Times New Roman" w:hAnsi="Times New Roman" w:eastAsia="宋体" w:cs="Times New Roman"/>
                <w:b w:val="0"/>
                <w:bCs w:val="0"/>
                <w:color w:val="auto"/>
                <w:sz w:val="21"/>
                <w:szCs w:val="21"/>
                <w:highlight w:val="none"/>
                <w:u w:val="none" w:color="auto"/>
                <w:vertAlign w:val="superscript"/>
              </w:rPr>
              <w:t>3</w:t>
            </w:r>
            <w:r>
              <w:rPr>
                <w:rFonts w:hint="default" w:ascii="Times New Roman" w:hAnsi="Times New Roman" w:eastAsia="宋体" w:cs="Times New Roman"/>
                <w:b w:val="0"/>
                <w:bCs w:val="0"/>
                <w:color w:val="auto"/>
                <w:sz w:val="21"/>
                <w:szCs w:val="21"/>
                <w:highlight w:val="none"/>
                <w:u w:val="none" w:color="auto"/>
              </w:rPr>
              <w:t>/m</w:t>
            </w:r>
            <w:r>
              <w:rPr>
                <w:rFonts w:hint="default" w:ascii="Times New Roman" w:hAnsi="Times New Roman" w:eastAsia="宋体" w:cs="Times New Roman"/>
                <w:b w:val="0"/>
                <w:bCs w:val="0"/>
                <w:color w:val="auto"/>
                <w:sz w:val="21"/>
                <w:szCs w:val="21"/>
                <w:highlight w:val="none"/>
                <w:u w:val="none" w:color="auto"/>
                <w:vertAlign w:val="superscript"/>
              </w:rPr>
              <w:t>2</w:t>
            </w:r>
          </w:p>
          <w:p w14:paraId="136A61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（镀件/镀层）</w:t>
            </w:r>
          </w:p>
        </w:tc>
        <w:tc>
          <w:tcPr>
            <w:tcW w:w="743" w:type="pct"/>
            <w:vAlign w:val="center"/>
          </w:tcPr>
          <w:p w14:paraId="49C220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其他镀种</w:t>
            </w:r>
          </w:p>
          <w:p w14:paraId="6C2AE9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（镀铜、镍等）</w:t>
            </w:r>
          </w:p>
        </w:tc>
        <w:tc>
          <w:tcPr>
            <w:tcW w:w="658" w:type="pct"/>
            <w:vAlign w:val="center"/>
          </w:tcPr>
          <w:p w14:paraId="6D9986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37.3</w:t>
            </w:r>
          </w:p>
        </w:tc>
        <w:tc>
          <w:tcPr>
            <w:tcW w:w="493" w:type="pct"/>
            <w:vMerge w:val="continue"/>
            <w:vAlign w:val="center"/>
          </w:tcPr>
          <w:p w14:paraId="137774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1317" w:type="pct"/>
            <w:gridSpan w:val="2"/>
            <w:vAlign w:val="center"/>
          </w:tcPr>
          <w:p w14:paraId="39A7B0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w:t>
            </w:r>
          </w:p>
        </w:tc>
      </w:tr>
      <w:tr w14:paraId="56060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861" w:type="pct"/>
            <w:vAlign w:val="center"/>
          </w:tcPr>
          <w:p w14:paraId="761E65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《合成树脂工业污染物排放标准》（GB31572-2015）</w:t>
            </w:r>
          </w:p>
        </w:tc>
        <w:tc>
          <w:tcPr>
            <w:tcW w:w="925" w:type="pct"/>
            <w:vAlign w:val="center"/>
          </w:tcPr>
          <w:p w14:paraId="175A41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4</w:t>
            </w:r>
          </w:p>
        </w:tc>
        <w:tc>
          <w:tcPr>
            <w:tcW w:w="743" w:type="pct"/>
            <w:vAlign w:val="center"/>
          </w:tcPr>
          <w:p w14:paraId="622E67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非甲烷总烃</w:t>
            </w:r>
          </w:p>
        </w:tc>
        <w:tc>
          <w:tcPr>
            <w:tcW w:w="658" w:type="pct"/>
            <w:vAlign w:val="center"/>
          </w:tcPr>
          <w:p w14:paraId="63C8A1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100</w:t>
            </w:r>
          </w:p>
        </w:tc>
        <w:tc>
          <w:tcPr>
            <w:tcW w:w="493" w:type="pct"/>
            <w:vMerge w:val="continue"/>
            <w:vAlign w:val="center"/>
          </w:tcPr>
          <w:p w14:paraId="5C910E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751" w:type="pct"/>
            <w:vAlign w:val="center"/>
          </w:tcPr>
          <w:p w14:paraId="054D45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4.0</w:t>
            </w:r>
          </w:p>
        </w:tc>
        <w:tc>
          <w:tcPr>
            <w:tcW w:w="566" w:type="pct"/>
            <w:vMerge w:val="restart"/>
            <w:vAlign w:val="center"/>
          </w:tcPr>
          <w:p w14:paraId="1ED8A6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rPr>
              <w:t>周界外浓度最高点</w:t>
            </w:r>
          </w:p>
        </w:tc>
      </w:tr>
      <w:tr w14:paraId="5F49F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861" w:type="pct"/>
            <w:vAlign w:val="center"/>
          </w:tcPr>
          <w:p w14:paraId="0C6C60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trike w:val="0"/>
                <w:dstrike w:val="0"/>
                <w:color w:val="auto"/>
                <w:sz w:val="21"/>
                <w:szCs w:val="21"/>
                <w:highlight w:val="none"/>
                <w:u w:val="none" w:color="auto"/>
              </w:rPr>
              <w:t>《恶臭污染物排放标准》（GB14554-93）</w:t>
            </w:r>
          </w:p>
        </w:tc>
        <w:tc>
          <w:tcPr>
            <w:tcW w:w="925" w:type="pct"/>
            <w:vAlign w:val="center"/>
          </w:tcPr>
          <w:p w14:paraId="26A579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5</w:t>
            </w:r>
          </w:p>
        </w:tc>
        <w:tc>
          <w:tcPr>
            <w:tcW w:w="743" w:type="pct"/>
            <w:vAlign w:val="center"/>
          </w:tcPr>
          <w:p w14:paraId="032EAE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臭气浓度</w:t>
            </w:r>
          </w:p>
        </w:tc>
        <w:tc>
          <w:tcPr>
            <w:tcW w:w="658" w:type="pct"/>
            <w:vAlign w:val="center"/>
          </w:tcPr>
          <w:p w14:paraId="568326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w:t>
            </w:r>
          </w:p>
        </w:tc>
        <w:tc>
          <w:tcPr>
            <w:tcW w:w="493" w:type="pct"/>
            <w:vMerge w:val="continue"/>
            <w:vAlign w:val="center"/>
          </w:tcPr>
          <w:p w14:paraId="30E81F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751" w:type="pct"/>
            <w:vAlign w:val="center"/>
          </w:tcPr>
          <w:p w14:paraId="120692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20</w:t>
            </w:r>
          </w:p>
        </w:tc>
        <w:tc>
          <w:tcPr>
            <w:tcW w:w="566" w:type="pct"/>
            <w:vMerge w:val="continue"/>
            <w:vAlign w:val="center"/>
          </w:tcPr>
          <w:p w14:paraId="3BF49A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p>
        </w:tc>
      </w:tr>
      <w:tr w14:paraId="655AA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4" w:hRule="atLeast"/>
          <w:jc w:val="center"/>
        </w:trPr>
        <w:tc>
          <w:tcPr>
            <w:tcW w:w="861" w:type="pct"/>
            <w:vAlign w:val="center"/>
          </w:tcPr>
          <w:p w14:paraId="2267B0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《饮食业油烟排放标准（试行）》（GB18483-2001）</w:t>
            </w:r>
          </w:p>
        </w:tc>
        <w:tc>
          <w:tcPr>
            <w:tcW w:w="925" w:type="pct"/>
            <w:vAlign w:val="center"/>
          </w:tcPr>
          <w:p w14:paraId="1950DD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6</w:t>
            </w:r>
          </w:p>
        </w:tc>
        <w:tc>
          <w:tcPr>
            <w:tcW w:w="743" w:type="pct"/>
            <w:vAlign w:val="center"/>
          </w:tcPr>
          <w:p w14:paraId="7D7F99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油烟</w:t>
            </w:r>
          </w:p>
        </w:tc>
        <w:tc>
          <w:tcPr>
            <w:tcW w:w="658" w:type="pct"/>
            <w:vAlign w:val="center"/>
          </w:tcPr>
          <w:p w14:paraId="0142D3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2.0</w:t>
            </w:r>
          </w:p>
        </w:tc>
        <w:tc>
          <w:tcPr>
            <w:tcW w:w="493" w:type="pct"/>
            <w:vAlign w:val="center"/>
          </w:tcPr>
          <w:p w14:paraId="7E4F4A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w:t>
            </w:r>
          </w:p>
        </w:tc>
        <w:tc>
          <w:tcPr>
            <w:tcW w:w="751" w:type="pct"/>
            <w:vAlign w:val="center"/>
          </w:tcPr>
          <w:p w14:paraId="533B07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w:t>
            </w:r>
          </w:p>
        </w:tc>
        <w:tc>
          <w:tcPr>
            <w:tcW w:w="566" w:type="pct"/>
            <w:vAlign w:val="center"/>
          </w:tcPr>
          <w:p w14:paraId="6CEEAD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w:t>
            </w:r>
          </w:p>
        </w:tc>
      </w:tr>
    </w:tbl>
    <w:p w14:paraId="1169446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（2）废水排放标准</w:t>
      </w:r>
    </w:p>
    <w:p w14:paraId="0BF280AB">
      <w:pPr>
        <w:pageBreakBefore w:val="0"/>
        <w:kinsoku/>
        <w:wordWrap/>
        <w:overflowPunct/>
        <w:topLinePunct w:val="0"/>
        <w:bidi w:val="0"/>
        <w:spacing w:line="360" w:lineRule="auto"/>
        <w:ind w:left="0" w:leftChars="0" w:firstLine="480" w:firstLineChars="200"/>
        <w:jc w:val="both"/>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项目</w:t>
      </w:r>
      <w:r>
        <w:rPr>
          <w:rFonts w:hint="eastAsia" w:ascii="Times New Roman" w:hAnsi="Times New Roman" w:eastAsia="宋体" w:cs="Times New Roman"/>
          <w:color w:val="auto"/>
          <w:sz w:val="24"/>
          <w:szCs w:val="24"/>
          <w:highlight w:val="none"/>
          <w:u w:val="none" w:color="auto"/>
          <w:lang w:val="en-US" w:eastAsia="zh-CN"/>
        </w:rPr>
        <w:t>电镀工序</w:t>
      </w:r>
      <w:r>
        <w:rPr>
          <w:rFonts w:hint="default" w:ascii="Times New Roman" w:hAnsi="Times New Roman" w:eastAsia="宋体" w:cs="Times New Roman"/>
          <w:color w:val="auto"/>
          <w:sz w:val="24"/>
          <w:szCs w:val="24"/>
          <w:highlight w:val="none"/>
          <w:u w:val="none" w:color="auto"/>
          <w:lang w:eastAsia="zh-CN"/>
        </w:rPr>
        <w:t>含重金属废水经</w:t>
      </w:r>
      <w:r>
        <w:rPr>
          <w:rFonts w:hint="default" w:ascii="Times New Roman" w:hAnsi="Times New Roman" w:eastAsia="宋体" w:cs="Times New Roman"/>
          <w:color w:val="auto"/>
          <w:sz w:val="24"/>
          <w:szCs w:val="24"/>
          <w:highlight w:val="none"/>
          <w:u w:val="none" w:color="auto"/>
          <w:lang w:val="en-US" w:eastAsia="zh-CN"/>
        </w:rPr>
        <w:t>pH中和+</w:t>
      </w:r>
      <w:r>
        <w:rPr>
          <w:rFonts w:hint="eastAsia" w:ascii="Times New Roman" w:hAnsi="Times New Roman" w:eastAsia="宋体" w:cs="Times New Roman"/>
          <w:color w:val="auto"/>
          <w:sz w:val="24"/>
          <w:szCs w:val="24"/>
          <w:highlight w:val="none"/>
          <w:u w:val="none" w:color="auto"/>
          <w:lang w:val="en-US" w:eastAsia="zh-CN"/>
        </w:rPr>
        <w:t>沉淀（自由沉降）</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w:t>
      </w:r>
      <w:r>
        <w:rPr>
          <w:rFonts w:hint="eastAsia" w:ascii="Times New Roman" w:hAnsi="Times New Roman" w:eastAsia="宋体" w:cs="Times New Roman"/>
          <w:color w:val="auto"/>
          <w:sz w:val="24"/>
          <w:szCs w:val="24"/>
          <w:highlight w:val="none"/>
          <w:u w:val="none" w:color="auto"/>
          <w:lang w:val="en-US" w:eastAsia="zh-CN"/>
        </w:rPr>
        <w:t>于生产</w:t>
      </w:r>
      <w:r>
        <w:rPr>
          <w:rFonts w:hint="default"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非重金属废水</w:t>
      </w:r>
      <w:r>
        <w:rPr>
          <w:rFonts w:hint="default" w:ascii="Times New Roman" w:hAnsi="Times New Roman" w:eastAsia="宋体" w:cs="Times New Roman"/>
          <w:color w:val="auto"/>
          <w:sz w:val="24"/>
          <w:szCs w:val="24"/>
          <w:highlight w:val="none"/>
          <w:u w:val="none" w:color="auto"/>
          <w:lang w:val="en-US" w:eastAsia="zh-CN"/>
        </w:rPr>
        <w:t>经</w:t>
      </w:r>
      <w:r>
        <w:rPr>
          <w:rFonts w:hint="default" w:ascii="Times New Roman" w:hAnsi="Times New Roman" w:eastAsia="宋体" w:cs="Times New Roman"/>
          <w:color w:val="auto"/>
          <w:sz w:val="24"/>
          <w:szCs w:val="24"/>
          <w:highlight w:val="none"/>
          <w:u w:val="none" w:color="auto"/>
          <w:lang w:eastAsia="zh-CN"/>
        </w:rPr>
        <w:t>隔油</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气浮</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混凝沉淀+</w:t>
      </w:r>
      <w:r>
        <w:rPr>
          <w:rFonts w:hint="default" w:ascii="Times New Roman" w:hAnsi="Times New Roman" w:eastAsia="宋体" w:cs="Times New Roman"/>
          <w:color w:val="auto"/>
          <w:sz w:val="24"/>
          <w:szCs w:val="24"/>
          <w:highlight w:val="none"/>
          <w:u w:val="none" w:color="auto"/>
          <w:lang w:eastAsia="zh-CN"/>
        </w:rPr>
        <w:t>袋滤</w:t>
      </w:r>
      <w:r>
        <w:rPr>
          <w:rFonts w:hint="default" w:ascii="Times New Roman" w:hAnsi="Times New Roman" w:eastAsia="宋体" w:cs="Times New Roman"/>
          <w:color w:val="auto"/>
          <w:sz w:val="24"/>
          <w:szCs w:val="24"/>
          <w:highlight w:val="none"/>
          <w:u w:val="none" w:color="auto"/>
        </w:rPr>
        <w:t>+超滤处理后</w:t>
      </w:r>
      <w:r>
        <w:rPr>
          <w:rFonts w:hint="default" w:ascii="Times New Roman" w:hAnsi="Times New Roman" w:eastAsia="宋体" w:cs="Times New Roman"/>
          <w:color w:val="auto"/>
          <w:sz w:val="24"/>
          <w:szCs w:val="24"/>
          <w:highlight w:val="none"/>
          <w:u w:val="none" w:color="auto"/>
          <w:lang w:eastAsia="zh-CN"/>
        </w:rPr>
        <w:t>回用</w:t>
      </w:r>
      <w:r>
        <w:rPr>
          <w:rFonts w:hint="eastAsia" w:ascii="Times New Roman" w:hAnsi="Times New Roman" w:eastAsia="宋体" w:cs="Times New Roman"/>
          <w:color w:val="auto"/>
          <w:sz w:val="24"/>
          <w:szCs w:val="24"/>
          <w:highlight w:val="none"/>
          <w:u w:val="none" w:color="auto"/>
          <w:lang w:val="en-US" w:eastAsia="zh-CN"/>
        </w:rPr>
        <w:t>于生产及电镀车间地面清洗</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剩余浓水</w:t>
      </w:r>
      <w:r>
        <w:rPr>
          <w:rFonts w:hint="default" w:ascii="Times New Roman" w:hAnsi="Times New Roman" w:eastAsia="宋体" w:cs="Times New Roman"/>
          <w:color w:val="auto"/>
          <w:sz w:val="24"/>
          <w:szCs w:val="24"/>
          <w:highlight w:val="none"/>
          <w:u w:val="none" w:color="auto"/>
          <w:lang w:eastAsia="zh-CN"/>
        </w:rPr>
        <w:t>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w:t>
      </w:r>
      <w:r>
        <w:rPr>
          <w:rFonts w:hint="eastAsia" w:ascii="Times New Roman" w:hAnsi="Times New Roman" w:eastAsia="宋体" w:cs="Times New Roman"/>
          <w:color w:val="auto"/>
          <w:sz w:val="24"/>
          <w:szCs w:val="24"/>
          <w:highlight w:val="none"/>
          <w:u w:val="none" w:color="auto"/>
          <w:lang w:val="en-US" w:eastAsia="zh-CN"/>
        </w:rPr>
        <w:t>于生产电</w:t>
      </w:r>
      <w:r>
        <w:rPr>
          <w:rFonts w:hint="default" w:ascii="Times New Roman" w:hAnsi="Times New Roman" w:eastAsia="宋体" w:cs="Times New Roman"/>
          <w:color w:val="auto"/>
          <w:sz w:val="24"/>
          <w:szCs w:val="24"/>
          <w:highlight w:val="none"/>
          <w:u w:val="none" w:color="auto"/>
        </w:rPr>
        <w:t>，不外排</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机加工车间</w:t>
      </w:r>
      <w:r>
        <w:rPr>
          <w:rFonts w:hint="eastAsia" w:ascii="Times New Roman" w:hAnsi="Times New Roman" w:eastAsia="宋体" w:cs="Times New Roman"/>
          <w:color w:val="auto"/>
          <w:sz w:val="24"/>
          <w:szCs w:val="21"/>
          <w:highlight w:val="none"/>
          <w:u w:val="none" w:color="auto"/>
          <w:lang w:val="en-US" w:eastAsia="zh-CN"/>
        </w:rPr>
        <w:t>卫生废水、容器清洗废水、直接冷却废水</w:t>
      </w:r>
      <w:r>
        <w:rPr>
          <w:rFonts w:hint="eastAsia" w:ascii="Times New Roman" w:hAnsi="Times New Roman" w:eastAsia="宋体" w:cs="Times New Roman"/>
          <w:color w:val="auto"/>
          <w:sz w:val="24"/>
          <w:szCs w:val="24"/>
          <w:highlight w:val="none"/>
          <w:u w:val="none" w:color="auto"/>
          <w:lang w:val="en-US" w:eastAsia="zh-CN"/>
        </w:rPr>
        <w:t>经独立沉淀池处理后进入园区污水管网，</w:t>
      </w:r>
      <w:r>
        <w:rPr>
          <w:rFonts w:hint="default" w:ascii="Times New Roman" w:hAnsi="Times New Roman" w:eastAsia="宋体" w:cs="Times New Roman"/>
          <w:color w:val="auto"/>
          <w:sz w:val="24"/>
          <w:szCs w:val="24"/>
          <w:highlight w:val="none"/>
          <w:u w:val="none" w:color="auto"/>
          <w:lang w:eastAsia="zh-CN"/>
        </w:rPr>
        <w:t>生活污水</w:t>
      </w:r>
      <w:r>
        <w:rPr>
          <w:rFonts w:hint="eastAsia" w:ascii="Times New Roman" w:hAnsi="Times New Roman" w:eastAsia="宋体" w:cs="Times New Roman"/>
          <w:color w:val="auto"/>
          <w:sz w:val="24"/>
          <w:szCs w:val="24"/>
          <w:highlight w:val="none"/>
          <w:u w:val="none" w:color="auto"/>
          <w:lang w:val="en-US" w:eastAsia="zh-CN"/>
        </w:rPr>
        <w:t>经化粪池处理后进入园区污水管网，外排废水</w:t>
      </w:r>
      <w:r>
        <w:rPr>
          <w:rFonts w:hint="default" w:ascii="Times New Roman" w:hAnsi="Times New Roman" w:eastAsia="宋体" w:cs="Times New Roman"/>
          <w:color w:val="auto"/>
          <w:sz w:val="24"/>
          <w:szCs w:val="24"/>
          <w:highlight w:val="none"/>
          <w:u w:val="none" w:color="auto"/>
        </w:rPr>
        <w:t>执行《污水综合排放标准》（GB8978-1996）表4 三级标准、《污水排入城镇下水道水质标准》（GB/T31962-2015）B等级标准，同时满足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进水水质要求，具体标准限值详见下表：</w:t>
      </w:r>
    </w:p>
    <w:p w14:paraId="06AC022A">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p>
    <w:p w14:paraId="49C8327D">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w:t>
      </w:r>
      <w:r>
        <w:rPr>
          <w:rFonts w:hint="default" w:ascii="Times New Roman" w:hAnsi="Times New Roman" w:eastAsia="宋体" w:cs="Times New Roman"/>
          <w:b/>
          <w:color w:val="auto"/>
          <w:sz w:val="21"/>
          <w:szCs w:val="21"/>
          <w:highlight w:val="none"/>
          <w:u w:val="none" w:color="auto"/>
          <w:lang w:val="en-US" w:eastAsia="zh-CN"/>
        </w:rPr>
        <w:t>8</w:t>
      </w:r>
      <w:r>
        <w:rPr>
          <w:rFonts w:hint="default" w:ascii="Times New Roman" w:hAnsi="Times New Roman" w:eastAsia="宋体" w:cs="Times New Roman"/>
          <w:b/>
          <w:color w:val="auto"/>
          <w:sz w:val="21"/>
          <w:szCs w:val="21"/>
          <w:highlight w:val="none"/>
          <w:u w:val="none" w:color="auto"/>
        </w:rPr>
        <w:t xml:space="preserve"> 《污水综合排放标准》表4三级标准</w:t>
      </w:r>
    </w:p>
    <w:tbl>
      <w:tblPr>
        <w:tblStyle w:val="22"/>
        <w:tblW w:w="510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380"/>
        <w:gridCol w:w="1374"/>
        <w:gridCol w:w="1570"/>
        <w:gridCol w:w="1570"/>
        <w:gridCol w:w="1614"/>
      </w:tblGrid>
      <w:tr w14:paraId="4EB47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4" w:hRule="atLeast"/>
          <w:jc w:val="center"/>
        </w:trPr>
        <w:tc>
          <w:tcPr>
            <w:tcW w:w="1398" w:type="pct"/>
            <w:vAlign w:val="center"/>
          </w:tcPr>
          <w:p w14:paraId="0B806E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en-US"/>
              </w:rPr>
            </w:pPr>
            <w:r>
              <w:rPr>
                <w:rFonts w:hint="default" w:ascii="Times New Roman" w:hAnsi="Times New Roman" w:eastAsia="宋体" w:cs="Times New Roman"/>
                <w:color w:val="auto"/>
                <w:kern w:val="0"/>
                <w:sz w:val="21"/>
                <w:szCs w:val="21"/>
                <w:highlight w:val="none"/>
                <w:u w:val="none" w:color="auto"/>
                <w:lang w:eastAsia="en-US"/>
              </w:rPr>
              <w:t>污染物</w:t>
            </w:r>
          </w:p>
        </w:tc>
        <w:tc>
          <w:tcPr>
            <w:tcW w:w="807" w:type="pct"/>
            <w:vAlign w:val="center"/>
          </w:tcPr>
          <w:p w14:paraId="37183E1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eastAsia="zh-CN"/>
              </w:rPr>
              <w:t>pH</w:t>
            </w:r>
          </w:p>
        </w:tc>
        <w:tc>
          <w:tcPr>
            <w:tcW w:w="922" w:type="pct"/>
            <w:vAlign w:val="center"/>
          </w:tcPr>
          <w:p w14:paraId="5EABF5B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SS</w:t>
            </w:r>
          </w:p>
        </w:tc>
        <w:tc>
          <w:tcPr>
            <w:tcW w:w="922" w:type="pct"/>
            <w:vAlign w:val="center"/>
          </w:tcPr>
          <w:p w14:paraId="6D455D7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CODcr</w:t>
            </w:r>
          </w:p>
        </w:tc>
        <w:tc>
          <w:tcPr>
            <w:tcW w:w="948" w:type="pct"/>
            <w:vAlign w:val="center"/>
          </w:tcPr>
          <w:p w14:paraId="3D06085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val="en-US" w:eastAsia="zh-CN"/>
              </w:rPr>
              <w:t>BOD5</w:t>
            </w:r>
          </w:p>
        </w:tc>
      </w:tr>
      <w:tr w14:paraId="5E37D3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01" w:hRule="atLeast"/>
          <w:jc w:val="center"/>
        </w:trPr>
        <w:tc>
          <w:tcPr>
            <w:tcW w:w="1398" w:type="pct"/>
            <w:vAlign w:val="center"/>
          </w:tcPr>
          <w:p w14:paraId="571D7E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标准值（</w:t>
            </w:r>
            <w:r>
              <w:rPr>
                <w:rFonts w:hint="default" w:ascii="Times New Roman" w:hAnsi="Times New Roman" w:eastAsia="宋体" w:cs="Times New Roman"/>
                <w:bCs/>
                <w:color w:val="auto"/>
                <w:kern w:val="0"/>
                <w:sz w:val="21"/>
                <w:szCs w:val="21"/>
                <w:highlight w:val="none"/>
                <w:u w:val="none" w:color="auto"/>
              </w:rPr>
              <w:t>mg/L</w:t>
            </w:r>
            <w:r>
              <w:rPr>
                <w:rFonts w:hint="default" w:ascii="Times New Roman" w:hAnsi="Times New Roman" w:eastAsia="宋体" w:cs="Times New Roman"/>
                <w:color w:val="auto"/>
                <w:kern w:val="0"/>
                <w:sz w:val="21"/>
                <w:szCs w:val="21"/>
                <w:highlight w:val="none"/>
                <w:u w:val="none" w:color="auto"/>
              </w:rPr>
              <w:t>）</w:t>
            </w:r>
          </w:p>
        </w:tc>
        <w:tc>
          <w:tcPr>
            <w:tcW w:w="807" w:type="pct"/>
            <w:vAlign w:val="center"/>
          </w:tcPr>
          <w:p w14:paraId="4137D2F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922" w:type="pct"/>
            <w:vAlign w:val="center"/>
          </w:tcPr>
          <w:p w14:paraId="738FDA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400</w:t>
            </w:r>
          </w:p>
        </w:tc>
        <w:tc>
          <w:tcPr>
            <w:tcW w:w="922" w:type="pct"/>
            <w:vAlign w:val="center"/>
          </w:tcPr>
          <w:p w14:paraId="2B2C3B2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500</w:t>
            </w:r>
          </w:p>
        </w:tc>
        <w:tc>
          <w:tcPr>
            <w:tcW w:w="948" w:type="pct"/>
            <w:vAlign w:val="center"/>
          </w:tcPr>
          <w:p w14:paraId="22A248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val="en-US" w:eastAsia="zh-CN"/>
              </w:rPr>
              <w:t>300</w:t>
            </w:r>
          </w:p>
        </w:tc>
      </w:tr>
    </w:tbl>
    <w:p w14:paraId="0B3844E4">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w:t>
      </w:r>
      <w:r>
        <w:rPr>
          <w:rFonts w:hint="default" w:ascii="Times New Roman" w:hAnsi="Times New Roman" w:eastAsia="宋体" w:cs="Times New Roman"/>
          <w:b/>
          <w:color w:val="auto"/>
          <w:sz w:val="21"/>
          <w:szCs w:val="21"/>
          <w:highlight w:val="none"/>
          <w:u w:val="none" w:color="auto"/>
          <w:lang w:val="en-US" w:eastAsia="zh-CN"/>
        </w:rPr>
        <w:t>9</w:t>
      </w:r>
      <w:r>
        <w:rPr>
          <w:rFonts w:hint="default" w:ascii="Times New Roman" w:hAnsi="Times New Roman" w:eastAsia="宋体" w:cs="Times New Roman"/>
          <w:b/>
          <w:color w:val="auto"/>
          <w:sz w:val="21"/>
          <w:szCs w:val="21"/>
          <w:highlight w:val="none"/>
          <w:u w:val="none" w:color="auto"/>
        </w:rPr>
        <w:t>《污水排入城镇下水道水质标准》B等级</w:t>
      </w:r>
    </w:p>
    <w:tbl>
      <w:tblPr>
        <w:tblStyle w:val="22"/>
        <w:tblW w:w="501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863"/>
        <w:gridCol w:w="1566"/>
        <w:gridCol w:w="1281"/>
        <w:gridCol w:w="1279"/>
        <w:gridCol w:w="1139"/>
        <w:gridCol w:w="1238"/>
      </w:tblGrid>
      <w:tr w14:paraId="26236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9" w:hRule="atLeast"/>
          <w:jc w:val="center"/>
        </w:trPr>
        <w:tc>
          <w:tcPr>
            <w:tcW w:w="1113" w:type="pct"/>
            <w:vAlign w:val="center"/>
          </w:tcPr>
          <w:p w14:paraId="0F1FE0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en-US"/>
              </w:rPr>
            </w:pPr>
            <w:r>
              <w:rPr>
                <w:rFonts w:hint="default" w:ascii="Times New Roman" w:hAnsi="Times New Roman" w:eastAsia="宋体" w:cs="Times New Roman"/>
                <w:color w:val="auto"/>
                <w:kern w:val="0"/>
                <w:sz w:val="21"/>
                <w:szCs w:val="21"/>
                <w:highlight w:val="none"/>
                <w:u w:val="none" w:color="auto"/>
                <w:lang w:eastAsia="en-US"/>
              </w:rPr>
              <w:t>污染物</w:t>
            </w:r>
          </w:p>
        </w:tc>
        <w:tc>
          <w:tcPr>
            <w:tcW w:w="935" w:type="pct"/>
            <w:vAlign w:val="center"/>
          </w:tcPr>
          <w:p w14:paraId="3DFA540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eastAsia="zh-CN"/>
              </w:rPr>
              <w:t>pH</w:t>
            </w:r>
          </w:p>
        </w:tc>
        <w:tc>
          <w:tcPr>
            <w:tcW w:w="765" w:type="pct"/>
            <w:vAlign w:val="center"/>
          </w:tcPr>
          <w:p w14:paraId="558CFBA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SS</w:t>
            </w:r>
          </w:p>
        </w:tc>
        <w:tc>
          <w:tcPr>
            <w:tcW w:w="764" w:type="pct"/>
            <w:vAlign w:val="center"/>
          </w:tcPr>
          <w:p w14:paraId="2DB1B4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COD</w:t>
            </w:r>
          </w:p>
        </w:tc>
        <w:tc>
          <w:tcPr>
            <w:tcW w:w="680" w:type="pct"/>
            <w:vAlign w:val="center"/>
          </w:tcPr>
          <w:p w14:paraId="2FCEBB4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氨氮</w:t>
            </w:r>
          </w:p>
        </w:tc>
        <w:tc>
          <w:tcPr>
            <w:tcW w:w="739" w:type="pct"/>
            <w:vAlign w:val="center"/>
          </w:tcPr>
          <w:p w14:paraId="1F2A09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总磷</w:t>
            </w:r>
          </w:p>
        </w:tc>
      </w:tr>
      <w:tr w14:paraId="2662DA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9" w:hRule="atLeast"/>
          <w:jc w:val="center"/>
        </w:trPr>
        <w:tc>
          <w:tcPr>
            <w:tcW w:w="1113" w:type="pct"/>
            <w:vAlign w:val="center"/>
          </w:tcPr>
          <w:p w14:paraId="0E9AAB4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标准值（</w:t>
            </w:r>
            <w:r>
              <w:rPr>
                <w:rFonts w:hint="default" w:ascii="Times New Roman" w:hAnsi="Times New Roman" w:eastAsia="宋体" w:cs="Times New Roman"/>
                <w:bCs/>
                <w:color w:val="auto"/>
                <w:kern w:val="0"/>
                <w:sz w:val="21"/>
                <w:szCs w:val="21"/>
                <w:highlight w:val="none"/>
                <w:u w:val="none" w:color="auto"/>
              </w:rPr>
              <w:t>mg/L</w:t>
            </w:r>
            <w:r>
              <w:rPr>
                <w:rFonts w:hint="default" w:ascii="Times New Roman" w:hAnsi="Times New Roman" w:eastAsia="宋体" w:cs="Times New Roman"/>
                <w:color w:val="auto"/>
                <w:kern w:val="0"/>
                <w:sz w:val="21"/>
                <w:szCs w:val="21"/>
                <w:highlight w:val="none"/>
                <w:u w:val="none" w:color="auto"/>
              </w:rPr>
              <w:t>）</w:t>
            </w:r>
          </w:p>
        </w:tc>
        <w:tc>
          <w:tcPr>
            <w:tcW w:w="935" w:type="pct"/>
            <w:vAlign w:val="center"/>
          </w:tcPr>
          <w:p w14:paraId="1D29502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765" w:type="pct"/>
            <w:vAlign w:val="center"/>
          </w:tcPr>
          <w:p w14:paraId="2E7F518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400</w:t>
            </w:r>
          </w:p>
        </w:tc>
        <w:tc>
          <w:tcPr>
            <w:tcW w:w="764" w:type="pct"/>
            <w:vAlign w:val="center"/>
          </w:tcPr>
          <w:p w14:paraId="459EE4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500</w:t>
            </w:r>
          </w:p>
        </w:tc>
        <w:tc>
          <w:tcPr>
            <w:tcW w:w="680" w:type="pct"/>
            <w:vAlign w:val="center"/>
          </w:tcPr>
          <w:p w14:paraId="0CCB71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45</w:t>
            </w:r>
          </w:p>
        </w:tc>
        <w:tc>
          <w:tcPr>
            <w:tcW w:w="739" w:type="pct"/>
            <w:vAlign w:val="center"/>
          </w:tcPr>
          <w:p w14:paraId="2365A2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w:t>
            </w:r>
          </w:p>
        </w:tc>
      </w:tr>
    </w:tbl>
    <w:p w14:paraId="76FA6EE4">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w:t>
      </w:r>
      <w:r>
        <w:rPr>
          <w:rFonts w:hint="default" w:ascii="Times New Roman" w:hAnsi="Times New Roman" w:eastAsia="宋体" w:cs="Times New Roman"/>
          <w:b/>
          <w:color w:val="auto"/>
          <w:sz w:val="21"/>
          <w:szCs w:val="21"/>
          <w:highlight w:val="none"/>
          <w:u w:val="none" w:color="auto"/>
          <w:lang w:val="en-US" w:eastAsia="zh-CN"/>
        </w:rPr>
        <w:t xml:space="preserve">10 </w:t>
      </w:r>
      <w:r>
        <w:rPr>
          <w:rFonts w:hint="default" w:ascii="Times New Roman" w:hAnsi="Times New Roman" w:eastAsia="宋体" w:cs="Times New Roman"/>
          <w:b/>
          <w:color w:val="auto"/>
          <w:sz w:val="21"/>
          <w:szCs w:val="21"/>
          <w:highlight w:val="none"/>
          <w:u w:val="none" w:color="auto"/>
          <w:lang w:eastAsia="zh-CN"/>
        </w:rPr>
        <w:t>松木污水处理厂</w:t>
      </w:r>
      <w:r>
        <w:rPr>
          <w:rFonts w:hint="default" w:ascii="Times New Roman" w:hAnsi="Times New Roman" w:eastAsia="宋体" w:cs="Times New Roman"/>
          <w:b/>
          <w:color w:val="auto"/>
          <w:sz w:val="21"/>
          <w:szCs w:val="21"/>
          <w:highlight w:val="none"/>
          <w:u w:val="none" w:color="auto"/>
        </w:rPr>
        <w:t>进水标准</w:t>
      </w:r>
    </w:p>
    <w:tbl>
      <w:tblPr>
        <w:tblStyle w:val="22"/>
        <w:tblW w:w="503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801"/>
        <w:gridCol w:w="1119"/>
        <w:gridCol w:w="1297"/>
        <w:gridCol w:w="1297"/>
        <w:gridCol w:w="1134"/>
        <w:gridCol w:w="1738"/>
      </w:tblGrid>
      <w:tr w14:paraId="67B2B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75" w:hRule="atLeast"/>
          <w:jc w:val="center"/>
        </w:trPr>
        <w:tc>
          <w:tcPr>
            <w:tcW w:w="1073" w:type="pct"/>
            <w:vAlign w:val="center"/>
          </w:tcPr>
          <w:p w14:paraId="3686BC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en-US"/>
              </w:rPr>
            </w:pPr>
            <w:r>
              <w:rPr>
                <w:rFonts w:hint="default" w:ascii="Times New Roman" w:hAnsi="Times New Roman" w:eastAsia="宋体" w:cs="Times New Roman"/>
                <w:color w:val="auto"/>
                <w:kern w:val="0"/>
                <w:sz w:val="21"/>
                <w:szCs w:val="21"/>
                <w:highlight w:val="none"/>
                <w:u w:val="none" w:color="auto"/>
                <w:lang w:eastAsia="en-US"/>
              </w:rPr>
              <w:t>污染物</w:t>
            </w:r>
          </w:p>
        </w:tc>
        <w:tc>
          <w:tcPr>
            <w:tcW w:w="667" w:type="pct"/>
            <w:vAlign w:val="center"/>
          </w:tcPr>
          <w:p w14:paraId="788B0D1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SS</w:t>
            </w:r>
          </w:p>
        </w:tc>
        <w:tc>
          <w:tcPr>
            <w:tcW w:w="773" w:type="pct"/>
            <w:vAlign w:val="center"/>
          </w:tcPr>
          <w:p w14:paraId="3C3378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CODcr</w:t>
            </w:r>
          </w:p>
        </w:tc>
        <w:tc>
          <w:tcPr>
            <w:tcW w:w="773" w:type="pct"/>
            <w:vAlign w:val="center"/>
          </w:tcPr>
          <w:p w14:paraId="4D269D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氨氮</w:t>
            </w:r>
          </w:p>
        </w:tc>
        <w:tc>
          <w:tcPr>
            <w:tcW w:w="676" w:type="pct"/>
            <w:vAlign w:val="center"/>
          </w:tcPr>
          <w:p w14:paraId="0A7246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总磷</w:t>
            </w:r>
          </w:p>
        </w:tc>
        <w:tc>
          <w:tcPr>
            <w:tcW w:w="1035" w:type="pct"/>
            <w:vAlign w:val="center"/>
          </w:tcPr>
          <w:p w14:paraId="3403C7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BOD</w:t>
            </w:r>
            <w:r>
              <w:rPr>
                <w:rFonts w:hint="default" w:ascii="Times New Roman" w:hAnsi="Times New Roman" w:eastAsia="宋体" w:cs="Times New Roman"/>
                <w:color w:val="auto"/>
                <w:kern w:val="0"/>
                <w:sz w:val="21"/>
                <w:szCs w:val="21"/>
                <w:highlight w:val="none"/>
                <w:u w:val="none" w:color="auto"/>
                <w:vertAlign w:val="subscript"/>
                <w:lang w:val="en-US" w:eastAsia="zh-CN"/>
              </w:rPr>
              <w:t>5</w:t>
            </w:r>
          </w:p>
        </w:tc>
      </w:tr>
      <w:tr w14:paraId="3AFA5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3" w:hRule="atLeast"/>
          <w:jc w:val="center"/>
        </w:trPr>
        <w:tc>
          <w:tcPr>
            <w:tcW w:w="1073" w:type="pct"/>
            <w:vAlign w:val="center"/>
          </w:tcPr>
          <w:p w14:paraId="280B707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标准值（</w:t>
            </w:r>
            <w:r>
              <w:rPr>
                <w:rFonts w:hint="default" w:ascii="Times New Roman" w:hAnsi="Times New Roman" w:eastAsia="宋体" w:cs="Times New Roman"/>
                <w:bCs/>
                <w:color w:val="auto"/>
                <w:kern w:val="0"/>
                <w:sz w:val="21"/>
                <w:szCs w:val="21"/>
                <w:highlight w:val="none"/>
                <w:u w:val="none" w:color="auto"/>
              </w:rPr>
              <w:t>mg/L</w:t>
            </w:r>
            <w:r>
              <w:rPr>
                <w:rFonts w:hint="default" w:ascii="Times New Roman" w:hAnsi="Times New Roman" w:eastAsia="宋体" w:cs="Times New Roman"/>
                <w:color w:val="auto"/>
                <w:kern w:val="0"/>
                <w:sz w:val="21"/>
                <w:szCs w:val="21"/>
                <w:highlight w:val="none"/>
                <w:u w:val="none" w:color="auto"/>
              </w:rPr>
              <w:t>）</w:t>
            </w:r>
          </w:p>
        </w:tc>
        <w:tc>
          <w:tcPr>
            <w:tcW w:w="667" w:type="pct"/>
            <w:vAlign w:val="center"/>
          </w:tcPr>
          <w:p w14:paraId="58E40AA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250</w:t>
            </w:r>
          </w:p>
        </w:tc>
        <w:tc>
          <w:tcPr>
            <w:tcW w:w="773" w:type="pct"/>
            <w:vAlign w:val="center"/>
          </w:tcPr>
          <w:p w14:paraId="15A0063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300</w:t>
            </w:r>
          </w:p>
        </w:tc>
        <w:tc>
          <w:tcPr>
            <w:tcW w:w="773" w:type="pct"/>
            <w:vAlign w:val="center"/>
          </w:tcPr>
          <w:p w14:paraId="7D3906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25</w:t>
            </w:r>
          </w:p>
        </w:tc>
        <w:tc>
          <w:tcPr>
            <w:tcW w:w="676" w:type="pct"/>
            <w:vAlign w:val="center"/>
          </w:tcPr>
          <w:p w14:paraId="5460977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val="en-US" w:eastAsia="zh-CN"/>
              </w:rPr>
              <w:t>4</w:t>
            </w:r>
          </w:p>
        </w:tc>
        <w:tc>
          <w:tcPr>
            <w:tcW w:w="1035" w:type="pct"/>
            <w:vAlign w:val="center"/>
          </w:tcPr>
          <w:p w14:paraId="43F0541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130</w:t>
            </w:r>
          </w:p>
        </w:tc>
      </w:tr>
    </w:tbl>
    <w:p w14:paraId="775129F3">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w:t>
      </w:r>
      <w:r>
        <w:rPr>
          <w:rFonts w:hint="default" w:ascii="Times New Roman" w:hAnsi="Times New Roman" w:eastAsia="宋体" w:cs="Times New Roman"/>
          <w:b/>
          <w:color w:val="auto"/>
          <w:sz w:val="21"/>
          <w:szCs w:val="21"/>
          <w:highlight w:val="none"/>
          <w:u w:val="none" w:color="auto"/>
          <w:lang w:val="en-US" w:eastAsia="zh-CN"/>
        </w:rPr>
        <w:t>11</w:t>
      </w:r>
      <w:r>
        <w:rPr>
          <w:rFonts w:hint="default" w:ascii="Times New Roman" w:hAnsi="Times New Roman" w:eastAsia="宋体" w:cs="Times New Roman"/>
          <w:b/>
          <w:color w:val="auto"/>
          <w:sz w:val="21"/>
          <w:szCs w:val="21"/>
          <w:highlight w:val="none"/>
          <w:u w:val="none" w:color="auto"/>
        </w:rPr>
        <w:t xml:space="preserve">  本项目废水排放标准单位：mg/L，</w:t>
      </w:r>
      <w:r>
        <w:rPr>
          <w:rFonts w:hint="default" w:ascii="Times New Roman" w:hAnsi="Times New Roman" w:eastAsia="宋体" w:cs="Times New Roman"/>
          <w:b/>
          <w:color w:val="auto"/>
          <w:sz w:val="21"/>
          <w:szCs w:val="21"/>
          <w:highlight w:val="none"/>
          <w:u w:val="none" w:color="auto"/>
          <w:lang w:eastAsia="zh-CN"/>
        </w:rPr>
        <w:t>pH</w:t>
      </w:r>
      <w:r>
        <w:rPr>
          <w:rFonts w:hint="default" w:ascii="Times New Roman" w:hAnsi="Times New Roman" w:eastAsia="宋体" w:cs="Times New Roman"/>
          <w:b/>
          <w:color w:val="auto"/>
          <w:sz w:val="21"/>
          <w:szCs w:val="21"/>
          <w:highlight w:val="none"/>
          <w:u w:val="none" w:color="auto"/>
        </w:rPr>
        <w:t>无量纲</w:t>
      </w:r>
    </w:p>
    <w:tbl>
      <w:tblPr>
        <w:tblStyle w:val="22"/>
        <w:tblW w:w="83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17"/>
        <w:gridCol w:w="3053"/>
        <w:gridCol w:w="3888"/>
      </w:tblGrid>
      <w:tr w14:paraId="39E40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2" w:hRule="atLeast"/>
          <w:jc w:val="center"/>
        </w:trPr>
        <w:tc>
          <w:tcPr>
            <w:tcW w:w="1417" w:type="dxa"/>
            <w:vAlign w:val="center"/>
          </w:tcPr>
          <w:p w14:paraId="1D54687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序号</w:t>
            </w:r>
          </w:p>
        </w:tc>
        <w:tc>
          <w:tcPr>
            <w:tcW w:w="3053" w:type="dxa"/>
            <w:vAlign w:val="center"/>
          </w:tcPr>
          <w:p w14:paraId="7A369F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污染物</w:t>
            </w:r>
          </w:p>
        </w:tc>
        <w:tc>
          <w:tcPr>
            <w:tcW w:w="3888" w:type="dxa"/>
            <w:vAlign w:val="center"/>
          </w:tcPr>
          <w:p w14:paraId="06470F0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排放限值</w:t>
            </w:r>
          </w:p>
        </w:tc>
      </w:tr>
      <w:tr w14:paraId="7488A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7" w:hRule="atLeast"/>
          <w:jc w:val="center"/>
        </w:trPr>
        <w:tc>
          <w:tcPr>
            <w:tcW w:w="1417" w:type="dxa"/>
            <w:vAlign w:val="center"/>
          </w:tcPr>
          <w:p w14:paraId="0C2A19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1</w:t>
            </w:r>
          </w:p>
        </w:tc>
        <w:tc>
          <w:tcPr>
            <w:tcW w:w="3053" w:type="dxa"/>
            <w:vAlign w:val="center"/>
          </w:tcPr>
          <w:p w14:paraId="5C6CB5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pH</w:t>
            </w:r>
          </w:p>
        </w:tc>
        <w:tc>
          <w:tcPr>
            <w:tcW w:w="3888" w:type="dxa"/>
            <w:vAlign w:val="center"/>
          </w:tcPr>
          <w:p w14:paraId="2FA73C5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6~9</w:t>
            </w:r>
          </w:p>
        </w:tc>
      </w:tr>
      <w:tr w14:paraId="75AC7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7" w:hRule="atLeast"/>
          <w:jc w:val="center"/>
        </w:trPr>
        <w:tc>
          <w:tcPr>
            <w:tcW w:w="1417" w:type="dxa"/>
            <w:vAlign w:val="center"/>
          </w:tcPr>
          <w:p w14:paraId="73A4E3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2</w:t>
            </w:r>
          </w:p>
        </w:tc>
        <w:tc>
          <w:tcPr>
            <w:tcW w:w="3053" w:type="dxa"/>
            <w:vAlign w:val="center"/>
          </w:tcPr>
          <w:p w14:paraId="4358B86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CODcr</w:t>
            </w:r>
          </w:p>
        </w:tc>
        <w:tc>
          <w:tcPr>
            <w:tcW w:w="3888" w:type="dxa"/>
            <w:vAlign w:val="center"/>
          </w:tcPr>
          <w:p w14:paraId="5183F1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300</w:t>
            </w:r>
          </w:p>
        </w:tc>
      </w:tr>
      <w:tr w14:paraId="0C1ED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7" w:hRule="atLeast"/>
          <w:jc w:val="center"/>
        </w:trPr>
        <w:tc>
          <w:tcPr>
            <w:tcW w:w="1417" w:type="dxa"/>
            <w:vAlign w:val="center"/>
          </w:tcPr>
          <w:p w14:paraId="43D814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3</w:t>
            </w:r>
          </w:p>
        </w:tc>
        <w:tc>
          <w:tcPr>
            <w:tcW w:w="3053" w:type="dxa"/>
            <w:vAlign w:val="center"/>
          </w:tcPr>
          <w:p w14:paraId="13E9E8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BOD</w:t>
            </w:r>
            <w:r>
              <w:rPr>
                <w:rFonts w:hint="default" w:ascii="Times New Roman" w:hAnsi="Times New Roman" w:eastAsia="宋体" w:cs="Times New Roman"/>
                <w:color w:val="auto"/>
                <w:kern w:val="0"/>
                <w:sz w:val="21"/>
                <w:szCs w:val="21"/>
                <w:highlight w:val="none"/>
                <w:u w:val="none" w:color="auto"/>
                <w:vertAlign w:val="subscript"/>
                <w:lang w:val="en-US" w:eastAsia="zh-CN"/>
              </w:rPr>
              <w:t>5</w:t>
            </w:r>
          </w:p>
        </w:tc>
        <w:tc>
          <w:tcPr>
            <w:tcW w:w="3888" w:type="dxa"/>
            <w:vAlign w:val="center"/>
          </w:tcPr>
          <w:p w14:paraId="41528EA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130</w:t>
            </w:r>
          </w:p>
        </w:tc>
      </w:tr>
      <w:tr w14:paraId="1F754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7" w:hRule="atLeast"/>
          <w:jc w:val="center"/>
        </w:trPr>
        <w:tc>
          <w:tcPr>
            <w:tcW w:w="1417" w:type="dxa"/>
            <w:vAlign w:val="center"/>
          </w:tcPr>
          <w:p w14:paraId="78AB32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4</w:t>
            </w:r>
          </w:p>
        </w:tc>
        <w:tc>
          <w:tcPr>
            <w:tcW w:w="3053" w:type="dxa"/>
            <w:vAlign w:val="center"/>
          </w:tcPr>
          <w:p w14:paraId="7C76B02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NH</w:t>
            </w:r>
            <w:r>
              <w:rPr>
                <w:rFonts w:hint="default" w:ascii="Times New Roman" w:hAnsi="Times New Roman" w:eastAsia="宋体" w:cs="Times New Roman"/>
                <w:color w:val="auto"/>
                <w:kern w:val="0"/>
                <w:sz w:val="21"/>
                <w:szCs w:val="21"/>
                <w:highlight w:val="none"/>
                <w:u w:val="none" w:color="auto"/>
                <w:vertAlign w:val="subscript"/>
                <w:lang w:val="en-US" w:eastAsia="zh-CN"/>
              </w:rPr>
              <w:t>3</w:t>
            </w:r>
            <w:r>
              <w:rPr>
                <w:rFonts w:hint="default" w:ascii="Times New Roman" w:hAnsi="Times New Roman" w:eastAsia="宋体" w:cs="Times New Roman"/>
                <w:color w:val="auto"/>
                <w:kern w:val="0"/>
                <w:sz w:val="21"/>
                <w:szCs w:val="21"/>
                <w:highlight w:val="none"/>
                <w:u w:val="none" w:color="auto"/>
                <w:lang w:val="en-US" w:eastAsia="zh-CN"/>
              </w:rPr>
              <w:t>-N</w:t>
            </w:r>
          </w:p>
        </w:tc>
        <w:tc>
          <w:tcPr>
            <w:tcW w:w="3888" w:type="dxa"/>
            <w:vAlign w:val="center"/>
          </w:tcPr>
          <w:p w14:paraId="19E820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25</w:t>
            </w:r>
          </w:p>
        </w:tc>
      </w:tr>
      <w:tr w14:paraId="33BE4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77" w:hRule="atLeast"/>
          <w:jc w:val="center"/>
        </w:trPr>
        <w:tc>
          <w:tcPr>
            <w:tcW w:w="1417" w:type="dxa"/>
            <w:vAlign w:val="center"/>
          </w:tcPr>
          <w:p w14:paraId="07FB45F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5</w:t>
            </w:r>
          </w:p>
        </w:tc>
        <w:tc>
          <w:tcPr>
            <w:tcW w:w="3053" w:type="dxa"/>
            <w:vAlign w:val="center"/>
          </w:tcPr>
          <w:p w14:paraId="09ACF6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总磷</w:t>
            </w:r>
          </w:p>
        </w:tc>
        <w:tc>
          <w:tcPr>
            <w:tcW w:w="3888" w:type="dxa"/>
            <w:vAlign w:val="center"/>
          </w:tcPr>
          <w:p w14:paraId="4EEDB7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4</w:t>
            </w:r>
          </w:p>
        </w:tc>
      </w:tr>
      <w:tr w14:paraId="3A849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77" w:hRule="atLeast"/>
          <w:jc w:val="center"/>
        </w:trPr>
        <w:tc>
          <w:tcPr>
            <w:tcW w:w="1417" w:type="dxa"/>
            <w:vAlign w:val="center"/>
          </w:tcPr>
          <w:p w14:paraId="0D9DF7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6</w:t>
            </w:r>
          </w:p>
        </w:tc>
        <w:tc>
          <w:tcPr>
            <w:tcW w:w="3053" w:type="dxa"/>
            <w:vAlign w:val="center"/>
          </w:tcPr>
          <w:p w14:paraId="15FCC16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rPr>
              <w:t>SS</w:t>
            </w:r>
          </w:p>
        </w:tc>
        <w:tc>
          <w:tcPr>
            <w:tcW w:w="3888" w:type="dxa"/>
            <w:vAlign w:val="center"/>
          </w:tcPr>
          <w:p w14:paraId="27F113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rPr>
              <w:t>250</w:t>
            </w:r>
          </w:p>
        </w:tc>
      </w:tr>
    </w:tbl>
    <w:p w14:paraId="2FABC76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（3）噪声排放标准</w:t>
      </w:r>
    </w:p>
    <w:p w14:paraId="087C957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项目营运期噪声排放执行《工业企业厂界环境噪声排放标准》（GB12348-2008）3类</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标准，标准值详见下表：</w:t>
      </w:r>
    </w:p>
    <w:p w14:paraId="0655D7D4">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表2.4-1</w:t>
      </w:r>
      <w:r>
        <w:rPr>
          <w:rFonts w:hint="default" w:ascii="Times New Roman" w:hAnsi="Times New Roman" w:eastAsia="宋体" w:cs="Times New Roman"/>
          <w:b/>
          <w:color w:val="auto"/>
          <w:sz w:val="21"/>
          <w:szCs w:val="21"/>
          <w:highlight w:val="none"/>
          <w:u w:val="none" w:color="auto"/>
          <w:lang w:val="en-US" w:eastAsia="zh-CN"/>
        </w:rPr>
        <w:t>2</w:t>
      </w:r>
      <w:r>
        <w:rPr>
          <w:rFonts w:hint="default" w:ascii="Times New Roman" w:hAnsi="Times New Roman" w:eastAsia="宋体" w:cs="Times New Roman"/>
          <w:b/>
          <w:color w:val="auto"/>
          <w:sz w:val="21"/>
          <w:szCs w:val="21"/>
          <w:highlight w:val="none"/>
          <w:u w:val="none" w:color="auto"/>
        </w:rPr>
        <w:t>工业企业厂界环境噪声排放标准单位：（Leq[dB(A)]）</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11"/>
        <w:gridCol w:w="2937"/>
        <w:gridCol w:w="3174"/>
      </w:tblGrid>
      <w:tr w14:paraId="4F061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15" w:type="pct"/>
            <w:vAlign w:val="center"/>
          </w:tcPr>
          <w:p w14:paraId="695A84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类别</w:t>
            </w:r>
          </w:p>
        </w:tc>
        <w:tc>
          <w:tcPr>
            <w:tcW w:w="1723" w:type="pct"/>
            <w:vAlign w:val="center"/>
          </w:tcPr>
          <w:p w14:paraId="3E899C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昼间</w:t>
            </w:r>
          </w:p>
        </w:tc>
        <w:tc>
          <w:tcPr>
            <w:tcW w:w="1862" w:type="pct"/>
            <w:vAlign w:val="center"/>
          </w:tcPr>
          <w:p w14:paraId="5075A5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夜间</w:t>
            </w:r>
          </w:p>
        </w:tc>
      </w:tr>
      <w:tr w14:paraId="376D2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15" w:type="pct"/>
            <w:vAlign w:val="center"/>
          </w:tcPr>
          <w:p w14:paraId="130E81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3类</w:t>
            </w:r>
          </w:p>
        </w:tc>
        <w:tc>
          <w:tcPr>
            <w:tcW w:w="1723" w:type="pct"/>
            <w:vAlign w:val="center"/>
          </w:tcPr>
          <w:p w14:paraId="63427E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65</w:t>
            </w:r>
          </w:p>
        </w:tc>
        <w:tc>
          <w:tcPr>
            <w:tcW w:w="1862" w:type="pct"/>
            <w:vAlign w:val="center"/>
          </w:tcPr>
          <w:p w14:paraId="172584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w:t>
            </w:r>
          </w:p>
        </w:tc>
      </w:tr>
      <w:tr w14:paraId="265F56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15" w:type="pct"/>
            <w:vAlign w:val="center"/>
          </w:tcPr>
          <w:p w14:paraId="604728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4类</w:t>
            </w:r>
          </w:p>
        </w:tc>
        <w:tc>
          <w:tcPr>
            <w:tcW w:w="1723" w:type="pct"/>
            <w:vAlign w:val="center"/>
          </w:tcPr>
          <w:p w14:paraId="762A02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70</w:t>
            </w:r>
          </w:p>
        </w:tc>
        <w:tc>
          <w:tcPr>
            <w:tcW w:w="1862" w:type="pct"/>
            <w:vAlign w:val="center"/>
          </w:tcPr>
          <w:p w14:paraId="7E3BDD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55</w:t>
            </w:r>
          </w:p>
        </w:tc>
      </w:tr>
    </w:tbl>
    <w:p w14:paraId="683C0BF6">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施工期噪声执行《建筑施工场界环境噪声排放标准》（GB12523-2011），噪声限值见下表：</w:t>
      </w:r>
    </w:p>
    <w:p w14:paraId="581D8FC2">
      <w:pPr>
        <w:pageBreakBefore w:val="0"/>
        <w:kinsoku/>
        <w:wordWrap/>
        <w:overflowPunct/>
        <w:topLinePunct w:val="0"/>
        <w:bidi w:val="0"/>
        <w:spacing w:line="360" w:lineRule="auto"/>
        <w:ind w:left="0" w:leftChars="0" w:firstLine="422" w:firstLineChars="20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表2.4-1</w:t>
      </w:r>
      <w:r>
        <w:rPr>
          <w:rFonts w:hint="default" w:ascii="Times New Roman" w:hAnsi="Times New Roman" w:eastAsia="宋体" w:cs="Times New Roman"/>
          <w:b/>
          <w:color w:val="auto"/>
          <w:sz w:val="21"/>
          <w:szCs w:val="21"/>
          <w:highlight w:val="none"/>
          <w:u w:val="none" w:color="auto"/>
          <w:lang w:val="en-US" w:eastAsia="zh-CN"/>
        </w:rPr>
        <w:t>3</w:t>
      </w:r>
      <w:r>
        <w:rPr>
          <w:rFonts w:hint="default" w:ascii="Times New Roman" w:hAnsi="Times New Roman" w:eastAsia="宋体" w:cs="Times New Roman"/>
          <w:b/>
          <w:color w:val="auto"/>
          <w:sz w:val="21"/>
          <w:szCs w:val="21"/>
          <w:highlight w:val="none"/>
          <w:u w:val="none" w:color="auto"/>
        </w:rPr>
        <w:t xml:space="preserve"> 建筑施工场界环境噪声排放标准单位：（Leq[dB(A)]）</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997"/>
        <w:gridCol w:w="4525"/>
      </w:tblGrid>
      <w:tr w14:paraId="55D57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345" w:type="pct"/>
            <w:vAlign w:val="center"/>
          </w:tcPr>
          <w:p w14:paraId="3CFA01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昼间</w:t>
            </w:r>
          </w:p>
        </w:tc>
        <w:tc>
          <w:tcPr>
            <w:tcW w:w="2655" w:type="pct"/>
            <w:vAlign w:val="center"/>
          </w:tcPr>
          <w:p w14:paraId="2532A2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夜间</w:t>
            </w:r>
          </w:p>
        </w:tc>
      </w:tr>
      <w:tr w14:paraId="7DC79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345" w:type="pct"/>
            <w:vAlign w:val="center"/>
          </w:tcPr>
          <w:p w14:paraId="374AEF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w:t>
            </w:r>
          </w:p>
        </w:tc>
        <w:tc>
          <w:tcPr>
            <w:tcW w:w="2655" w:type="pct"/>
            <w:vAlign w:val="center"/>
          </w:tcPr>
          <w:p w14:paraId="3BF796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w:t>
            </w:r>
          </w:p>
        </w:tc>
      </w:tr>
    </w:tbl>
    <w:p w14:paraId="39809C6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（4）固体废物</w:t>
      </w:r>
    </w:p>
    <w:p w14:paraId="1A3E1145">
      <w:pPr>
        <w:pageBreakBefore w:val="0"/>
        <w:kinsoku/>
        <w:wordWrap/>
        <w:overflowPunct/>
        <w:topLinePunct w:val="0"/>
        <w:bidi w:val="0"/>
        <w:spacing w:line="360" w:lineRule="auto"/>
        <w:ind w:left="0" w:leftChars="0" w:firstLine="480" w:firstLineChars="200"/>
        <w:jc w:val="both"/>
        <w:rPr>
          <w:rFonts w:hint="default" w:ascii="Times New Roman" w:hAnsi="Times New Roman" w:eastAsia="宋体" w:cs="Times New Roman"/>
          <w:i w:val="0"/>
          <w:iCs w:val="0"/>
          <w:color w:val="auto"/>
          <w:sz w:val="24"/>
          <w:szCs w:val="24"/>
          <w:highlight w:val="none"/>
          <w:u w:val="none" w:color="auto"/>
        </w:rPr>
      </w:pPr>
      <w:r>
        <w:rPr>
          <w:rFonts w:hint="default" w:ascii="Times New Roman" w:hAnsi="Times New Roman" w:eastAsia="宋体" w:cs="Times New Roman"/>
          <w:i w:val="0"/>
          <w:iCs w:val="0"/>
          <w:color w:val="auto"/>
          <w:sz w:val="24"/>
          <w:szCs w:val="24"/>
          <w:highlight w:val="none"/>
          <w:u w:val="none" w:color="auto"/>
        </w:rPr>
        <w:t>一般工业固废暂存执行《一般工业固体废物贮存和填埋污染控制标准》（GB18599-2020），危险废物暂存执行</w:t>
      </w:r>
      <w:r>
        <w:rPr>
          <w:rFonts w:hint="eastAsia" w:ascii="Times New Roman" w:hAnsi="Times New Roman" w:eastAsia="宋体" w:cs="Times New Roman"/>
          <w:i w:val="0"/>
          <w:iCs w:val="0"/>
          <w:color w:val="auto"/>
          <w:sz w:val="24"/>
          <w:szCs w:val="24"/>
          <w:highlight w:val="none"/>
          <w:u w:val="none" w:color="auto"/>
          <w:lang w:eastAsia="zh-CN"/>
        </w:rPr>
        <w:t>《危险废物贮存污染控制标准》（GB18597-2023）</w:t>
      </w:r>
      <w:r>
        <w:rPr>
          <w:rFonts w:hint="default" w:ascii="Times New Roman" w:hAnsi="Times New Roman" w:eastAsia="宋体" w:cs="Times New Roman"/>
          <w:i w:val="0"/>
          <w:iCs w:val="0"/>
          <w:color w:val="auto"/>
          <w:sz w:val="24"/>
          <w:szCs w:val="24"/>
          <w:highlight w:val="none"/>
          <w:u w:val="none" w:color="auto"/>
        </w:rPr>
        <w:t>，危废转移执行《危险废物转移联单管理办法》。</w:t>
      </w:r>
    </w:p>
    <w:p w14:paraId="0C62EBB1">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18" w:name="_Toc10920"/>
      <w:r>
        <w:rPr>
          <w:rFonts w:hint="default" w:ascii="Times New Roman" w:hAnsi="Times New Roman" w:eastAsia="宋体" w:cs="Times New Roman"/>
          <w:color w:val="auto"/>
          <w:sz w:val="28"/>
          <w:szCs w:val="28"/>
          <w:highlight w:val="none"/>
          <w:u w:val="none" w:color="auto"/>
        </w:rPr>
        <w:t>2.5评价等级及评价范围</w:t>
      </w:r>
      <w:bookmarkEnd w:id="18"/>
    </w:p>
    <w:p w14:paraId="5C52AEA4">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2.5.1环境空气</w:t>
      </w:r>
    </w:p>
    <w:p w14:paraId="4141A2D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（1）评价等级</w:t>
      </w:r>
    </w:p>
    <w:p w14:paraId="2A8C5F3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w:t>
      </w:r>
      <w:r>
        <w:rPr>
          <w:rFonts w:hint="default" w:ascii="Times New Roman" w:hAnsi="Times New Roman" w:eastAsia="宋体" w:cs="Times New Roman"/>
          <w:bCs/>
          <w:color w:val="auto"/>
          <w:sz w:val="24"/>
          <w:szCs w:val="24"/>
          <w:highlight w:val="none"/>
          <w:u w:val="none" w:color="auto"/>
        </w:rPr>
        <w:t>《环境影响评价技术导则大气环境》（HJ/T2.2-2018）</w:t>
      </w:r>
      <w:r>
        <w:rPr>
          <w:rFonts w:hint="default" w:ascii="Times New Roman" w:hAnsi="Times New Roman" w:eastAsia="宋体" w:cs="Times New Roman"/>
          <w:color w:val="auto"/>
          <w:sz w:val="24"/>
          <w:szCs w:val="24"/>
          <w:highlight w:val="none"/>
          <w:u w:val="none" w:color="auto"/>
        </w:rPr>
        <w:t>关于评价工作分级方法的规定，结合本项目工程分析结果，采用估算模式计算其最大地面浓度占标率P</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及地面浓度达标准限值10%时所对应的最远距离D</w:t>
      </w:r>
      <w:r>
        <w:rPr>
          <w:rFonts w:hint="default" w:ascii="Times New Roman" w:hAnsi="Times New Roman" w:eastAsia="宋体" w:cs="Times New Roman"/>
          <w:color w:val="auto"/>
          <w:sz w:val="24"/>
          <w:szCs w:val="24"/>
          <w:highlight w:val="none"/>
          <w:u w:val="none" w:color="auto"/>
          <w:vertAlign w:val="subscript"/>
        </w:rPr>
        <w:t>10%</w:t>
      </w:r>
      <w:r>
        <w:rPr>
          <w:rFonts w:hint="default" w:ascii="Times New Roman" w:hAnsi="Times New Roman" w:eastAsia="宋体" w:cs="Times New Roman"/>
          <w:color w:val="auto"/>
          <w:sz w:val="24"/>
          <w:szCs w:val="24"/>
          <w:highlight w:val="none"/>
          <w:u w:val="none" w:color="auto"/>
        </w:rPr>
        <w:t>。其中P</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计算公式如下：</w:t>
      </w:r>
    </w:p>
    <w:p w14:paraId="4C4750F6">
      <w:pPr>
        <w:pageBreakBefore w:val="0"/>
        <w:kinsoku/>
        <w:wordWrap/>
        <w:overflowPunct/>
        <w:topLinePunct w:val="0"/>
        <w:bidi w:val="0"/>
        <w:spacing w:line="360" w:lineRule="auto"/>
        <w:ind w:left="0" w:leftChars="0" w:firstLine="480" w:firstLineChars="20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P</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oi</w:t>
      </w:r>
      <w:r>
        <w:rPr>
          <w:rFonts w:hint="default" w:ascii="Times New Roman" w:hAnsi="Times New Roman" w:eastAsia="宋体" w:cs="Times New Roman"/>
          <w:color w:val="auto"/>
          <w:sz w:val="24"/>
          <w:szCs w:val="24"/>
          <w:highlight w:val="none"/>
          <w:u w:val="none" w:color="auto"/>
        </w:rPr>
        <w:t>×100%</w:t>
      </w:r>
    </w:p>
    <w:p w14:paraId="74700112">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式中：P</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——第i个污染物的最大地面浓度占标率，%；</w:t>
      </w:r>
    </w:p>
    <w:p w14:paraId="220F1CEA">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——采用估算模式计算出的第i个污染物的最大地面浓度，mg/m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w:t>
      </w:r>
    </w:p>
    <w:p w14:paraId="52ED967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oi</w:t>
      </w:r>
      <w:r>
        <w:rPr>
          <w:rFonts w:hint="default" w:ascii="Times New Roman" w:hAnsi="Times New Roman" w:eastAsia="宋体" w:cs="Times New Roman"/>
          <w:color w:val="auto"/>
          <w:sz w:val="24"/>
          <w:szCs w:val="24"/>
          <w:highlight w:val="none"/>
          <w:u w:val="none" w:color="auto"/>
        </w:rPr>
        <w:t>——第i个污染物的环境空气质量标准，mg/m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w:t>
      </w:r>
    </w:p>
    <w:p w14:paraId="4A4684A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none" w:color="auto"/>
        </w:rPr>
      </w:pPr>
      <w:r>
        <w:rPr>
          <w:rFonts w:hint="default" w:ascii="Times New Roman" w:hAnsi="Times New Roman" w:eastAsia="宋体" w:cs="Times New Roman"/>
          <w:bCs/>
          <w:color w:val="auto"/>
          <w:sz w:val="24"/>
          <w:szCs w:val="24"/>
          <w:highlight w:val="none"/>
          <w:u w:val="none" w:color="auto"/>
        </w:rPr>
        <w:t>评价等级按下表的分级判据进行划分：</w:t>
      </w:r>
    </w:p>
    <w:p w14:paraId="69BF6E1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表2.5-1评价等级判别表</w:t>
      </w:r>
    </w:p>
    <w:tbl>
      <w:tblPr>
        <w:tblStyle w:val="2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733"/>
        <w:gridCol w:w="4789"/>
      </w:tblGrid>
      <w:tr w14:paraId="77DBD7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90" w:type="pct"/>
            <w:vAlign w:val="center"/>
          </w:tcPr>
          <w:p w14:paraId="11A518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评价工作等级</w:t>
            </w:r>
          </w:p>
        </w:tc>
        <w:tc>
          <w:tcPr>
            <w:tcW w:w="2810" w:type="pct"/>
            <w:vAlign w:val="center"/>
          </w:tcPr>
          <w:p w14:paraId="5A524B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评价工作分级判据</w:t>
            </w:r>
          </w:p>
        </w:tc>
      </w:tr>
      <w:tr w14:paraId="37B663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90" w:type="pct"/>
            <w:vAlign w:val="center"/>
          </w:tcPr>
          <w:p w14:paraId="041D84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2810" w:type="pct"/>
            <w:vAlign w:val="center"/>
          </w:tcPr>
          <w:p w14:paraId="79E413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Pmax≥10%</w:t>
            </w:r>
          </w:p>
        </w:tc>
      </w:tr>
      <w:tr w14:paraId="5B1ECE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90" w:type="pct"/>
            <w:vAlign w:val="center"/>
          </w:tcPr>
          <w:p w14:paraId="064515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2810" w:type="pct"/>
            <w:vAlign w:val="center"/>
          </w:tcPr>
          <w:p w14:paraId="6B6281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1%≤Pmax&lt;10%</w:t>
            </w:r>
          </w:p>
        </w:tc>
      </w:tr>
      <w:tr w14:paraId="3F6268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190" w:type="pct"/>
            <w:vAlign w:val="center"/>
          </w:tcPr>
          <w:p w14:paraId="0E2712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2810" w:type="pct"/>
            <w:vAlign w:val="center"/>
          </w:tcPr>
          <w:p w14:paraId="563152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Pmax&lt;1%</w:t>
            </w:r>
          </w:p>
        </w:tc>
      </w:tr>
    </w:tbl>
    <w:p w14:paraId="52CEC3A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none" w:color="auto"/>
        </w:rPr>
      </w:pPr>
      <w:r>
        <w:rPr>
          <w:rFonts w:hint="default" w:ascii="Times New Roman" w:hAnsi="Times New Roman" w:eastAsia="宋体" w:cs="Times New Roman"/>
          <w:bCs/>
          <w:color w:val="auto"/>
          <w:sz w:val="24"/>
          <w:szCs w:val="24"/>
          <w:highlight w:val="none"/>
          <w:u w:val="none" w:color="auto"/>
        </w:rPr>
        <w:t>本项目废气污染源参数详见下表：</w:t>
      </w:r>
    </w:p>
    <w:p w14:paraId="440FF5C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bCs/>
          <w:color w:val="auto"/>
          <w:sz w:val="24"/>
          <w:szCs w:val="24"/>
          <w:highlight w:val="none"/>
          <w:u w:val="none" w:color="auto"/>
        </w:rPr>
      </w:pPr>
      <w:r>
        <w:rPr>
          <w:rFonts w:hint="default" w:ascii="Times New Roman" w:hAnsi="Times New Roman" w:eastAsia="宋体" w:cs="Times New Roman"/>
          <w:bCs/>
          <w:color w:val="auto"/>
          <w:sz w:val="24"/>
          <w:szCs w:val="24"/>
          <w:highlight w:val="none"/>
          <w:u w:val="none" w:color="auto"/>
        </w:rPr>
        <w:t>本次评价采用AERSCREEN 估算模型分别计算项目排气筒点源和车间面源的最大环境影响，基本参数如下：</w:t>
      </w:r>
    </w:p>
    <w:p w14:paraId="6A6F9AB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表2.5-</w:t>
      </w:r>
      <w:r>
        <w:rPr>
          <w:rFonts w:hint="default" w:ascii="Times New Roman" w:hAnsi="Times New Roman" w:eastAsia="宋体" w:cs="Times New Roman"/>
          <w:b/>
          <w:color w:val="auto"/>
          <w:sz w:val="21"/>
          <w:szCs w:val="21"/>
          <w:highlight w:val="none"/>
          <w:u w:val="none" w:color="auto"/>
          <w:lang w:val="en-US" w:eastAsia="zh-CN"/>
        </w:rPr>
        <w:t>2</w:t>
      </w:r>
      <w:r>
        <w:rPr>
          <w:rFonts w:hint="default" w:ascii="Times New Roman" w:hAnsi="Times New Roman" w:eastAsia="宋体" w:cs="Times New Roman"/>
          <w:b/>
          <w:color w:val="auto"/>
          <w:sz w:val="21"/>
          <w:szCs w:val="21"/>
          <w:highlight w:val="none"/>
          <w:u w:val="none" w:color="auto"/>
        </w:rPr>
        <w:t xml:space="preserve">  AERSCREE估算模型参数表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0"/>
        <w:gridCol w:w="2841"/>
        <w:gridCol w:w="2841"/>
      </w:tblGrid>
      <w:tr w14:paraId="461B5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333" w:type="pct"/>
            <w:gridSpan w:val="2"/>
            <w:vAlign w:val="center"/>
          </w:tcPr>
          <w:p w14:paraId="655785C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参数</w:t>
            </w:r>
          </w:p>
        </w:tc>
        <w:tc>
          <w:tcPr>
            <w:tcW w:w="1667" w:type="pct"/>
            <w:vAlign w:val="center"/>
          </w:tcPr>
          <w:p w14:paraId="7319E700">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取值</w:t>
            </w:r>
          </w:p>
        </w:tc>
      </w:tr>
      <w:tr w14:paraId="68CE9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666" w:type="pct"/>
            <w:vMerge w:val="restart"/>
            <w:vAlign w:val="center"/>
          </w:tcPr>
          <w:p w14:paraId="36C6ECD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城市/农村选项</w:t>
            </w:r>
          </w:p>
        </w:tc>
        <w:tc>
          <w:tcPr>
            <w:tcW w:w="1667" w:type="pct"/>
            <w:vAlign w:val="center"/>
          </w:tcPr>
          <w:p w14:paraId="0D06C2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城市/农村</w:t>
            </w:r>
          </w:p>
        </w:tc>
        <w:tc>
          <w:tcPr>
            <w:tcW w:w="1667" w:type="pct"/>
            <w:vAlign w:val="center"/>
          </w:tcPr>
          <w:p w14:paraId="49933DD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农村</w:t>
            </w:r>
          </w:p>
        </w:tc>
      </w:tr>
      <w:tr w14:paraId="5B883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0" w:type="auto"/>
            <w:vMerge w:val="continue"/>
            <w:vAlign w:val="center"/>
          </w:tcPr>
          <w:p w14:paraId="1E8711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c>
          <w:tcPr>
            <w:tcW w:w="1667" w:type="pct"/>
            <w:vAlign w:val="center"/>
          </w:tcPr>
          <w:p w14:paraId="4132040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人口数（城市选项时）</w:t>
            </w:r>
          </w:p>
        </w:tc>
        <w:tc>
          <w:tcPr>
            <w:tcW w:w="1667" w:type="pct"/>
            <w:vAlign w:val="center"/>
          </w:tcPr>
          <w:p w14:paraId="658E97B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0165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333" w:type="pct"/>
            <w:gridSpan w:val="2"/>
            <w:vAlign w:val="center"/>
          </w:tcPr>
          <w:p w14:paraId="0D9C71E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最高环境温度/℃</w:t>
            </w:r>
          </w:p>
        </w:tc>
        <w:tc>
          <w:tcPr>
            <w:tcW w:w="1667" w:type="pct"/>
            <w:vAlign w:val="center"/>
          </w:tcPr>
          <w:p w14:paraId="5681EA9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40.8</w:t>
            </w:r>
          </w:p>
        </w:tc>
      </w:tr>
      <w:tr w14:paraId="09798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333" w:type="pct"/>
            <w:gridSpan w:val="2"/>
            <w:vAlign w:val="center"/>
          </w:tcPr>
          <w:p w14:paraId="56F5AB5B">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最低环境温度/℃</w:t>
            </w:r>
          </w:p>
        </w:tc>
        <w:tc>
          <w:tcPr>
            <w:tcW w:w="1667" w:type="pct"/>
            <w:vAlign w:val="center"/>
          </w:tcPr>
          <w:p w14:paraId="3700D28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-8.7</w:t>
            </w:r>
          </w:p>
        </w:tc>
      </w:tr>
      <w:tr w14:paraId="159CE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333" w:type="pct"/>
            <w:gridSpan w:val="2"/>
            <w:vAlign w:val="center"/>
          </w:tcPr>
          <w:p w14:paraId="42D8D3E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土地利用类型</w:t>
            </w:r>
          </w:p>
        </w:tc>
        <w:tc>
          <w:tcPr>
            <w:tcW w:w="1667" w:type="pct"/>
            <w:vAlign w:val="center"/>
          </w:tcPr>
          <w:p w14:paraId="39157534">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工业用地</w:t>
            </w:r>
          </w:p>
        </w:tc>
      </w:tr>
      <w:tr w14:paraId="592EE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333" w:type="pct"/>
            <w:gridSpan w:val="2"/>
            <w:vAlign w:val="center"/>
          </w:tcPr>
          <w:p w14:paraId="0559A4C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区域湿度条件</w:t>
            </w:r>
          </w:p>
        </w:tc>
        <w:tc>
          <w:tcPr>
            <w:tcW w:w="1667" w:type="pct"/>
            <w:vAlign w:val="center"/>
          </w:tcPr>
          <w:p w14:paraId="6F45E81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潮湿</w:t>
            </w:r>
          </w:p>
        </w:tc>
      </w:tr>
      <w:tr w14:paraId="37EC5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666" w:type="pct"/>
            <w:vMerge w:val="restart"/>
            <w:vAlign w:val="center"/>
          </w:tcPr>
          <w:p w14:paraId="70409CE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是否考虑地形</w:t>
            </w:r>
          </w:p>
        </w:tc>
        <w:tc>
          <w:tcPr>
            <w:tcW w:w="1667" w:type="pct"/>
            <w:vAlign w:val="center"/>
          </w:tcPr>
          <w:p w14:paraId="4457C4A6">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考虑地形</w:t>
            </w:r>
          </w:p>
        </w:tc>
        <w:tc>
          <w:tcPr>
            <w:tcW w:w="1667" w:type="pct"/>
            <w:vAlign w:val="center"/>
          </w:tcPr>
          <w:p w14:paraId="344E7DC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考虑</w:t>
            </w:r>
          </w:p>
        </w:tc>
      </w:tr>
      <w:tr w14:paraId="52641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0" w:type="auto"/>
            <w:vMerge w:val="continue"/>
            <w:vAlign w:val="center"/>
          </w:tcPr>
          <w:p w14:paraId="3CA182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c>
          <w:tcPr>
            <w:tcW w:w="1667" w:type="pct"/>
            <w:vAlign w:val="center"/>
          </w:tcPr>
          <w:p w14:paraId="60486A8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地形数据分辨率/m</w:t>
            </w:r>
          </w:p>
        </w:tc>
        <w:tc>
          <w:tcPr>
            <w:tcW w:w="1667" w:type="pct"/>
            <w:vAlign w:val="center"/>
          </w:tcPr>
          <w:p w14:paraId="013AA66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w:t>
            </w:r>
          </w:p>
        </w:tc>
      </w:tr>
      <w:tr w14:paraId="1E650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666" w:type="pct"/>
            <w:vMerge w:val="restart"/>
            <w:vAlign w:val="center"/>
          </w:tcPr>
          <w:p w14:paraId="1E1145F1">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是否考虑岸线熏烟</w:t>
            </w:r>
          </w:p>
        </w:tc>
        <w:tc>
          <w:tcPr>
            <w:tcW w:w="1667" w:type="pct"/>
            <w:vAlign w:val="center"/>
          </w:tcPr>
          <w:p w14:paraId="3F0E241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考虑岸线熏烟</w:t>
            </w:r>
          </w:p>
        </w:tc>
        <w:tc>
          <w:tcPr>
            <w:tcW w:w="1667" w:type="pct"/>
            <w:vAlign w:val="center"/>
          </w:tcPr>
          <w:p w14:paraId="5029CCB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不考虑</w:t>
            </w:r>
          </w:p>
        </w:tc>
      </w:tr>
      <w:tr w14:paraId="17D4F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0" w:type="auto"/>
            <w:vMerge w:val="continue"/>
            <w:vAlign w:val="center"/>
          </w:tcPr>
          <w:p w14:paraId="10AD2F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c>
          <w:tcPr>
            <w:tcW w:w="1667" w:type="pct"/>
            <w:vAlign w:val="center"/>
          </w:tcPr>
          <w:p w14:paraId="765768D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岸线距离/km</w:t>
            </w:r>
          </w:p>
        </w:tc>
        <w:tc>
          <w:tcPr>
            <w:tcW w:w="1667" w:type="pct"/>
            <w:vAlign w:val="center"/>
          </w:tcPr>
          <w:p w14:paraId="5DFB2C9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0FC2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0" w:type="auto"/>
            <w:vMerge w:val="continue"/>
            <w:vAlign w:val="center"/>
          </w:tcPr>
          <w:p w14:paraId="403A5E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c>
          <w:tcPr>
            <w:tcW w:w="1667" w:type="pct"/>
            <w:vAlign w:val="center"/>
          </w:tcPr>
          <w:p w14:paraId="039772E2">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岸线方向/°</w:t>
            </w:r>
          </w:p>
        </w:tc>
        <w:tc>
          <w:tcPr>
            <w:tcW w:w="1667" w:type="pct"/>
            <w:vAlign w:val="center"/>
          </w:tcPr>
          <w:p w14:paraId="6A4AB76A">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bl>
    <w:p w14:paraId="4642C8EC">
      <w:pPr>
        <w:pageBreakBefore w:val="0"/>
        <w:kinsoku/>
        <w:wordWrap/>
        <w:overflowPunct/>
        <w:topLinePunct w:val="0"/>
        <w:bidi w:val="0"/>
        <w:spacing w:line="360" w:lineRule="auto"/>
        <w:ind w:left="0" w:leftChars="0" w:firstLine="482" w:firstLineChars="200"/>
        <w:jc w:val="center"/>
        <w:rPr>
          <w:rFonts w:hint="default" w:ascii="Times New Roman" w:hAnsi="Times New Roman" w:eastAsia="宋体" w:cs="Times New Roman"/>
          <w:b/>
          <w:snapToGrid w:val="0"/>
          <w:color w:val="auto"/>
          <w:kern w:val="0"/>
          <w:sz w:val="24"/>
          <w:szCs w:val="24"/>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80E6FE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表2.5-</w:t>
      </w:r>
      <w:r>
        <w:rPr>
          <w:rFonts w:hint="default" w:ascii="Times New Roman" w:hAnsi="Times New Roman" w:eastAsia="宋体" w:cs="Times New Roman"/>
          <w:b/>
          <w:color w:val="auto"/>
          <w:sz w:val="21"/>
          <w:szCs w:val="21"/>
          <w:highlight w:val="none"/>
          <w:u w:val="none" w:color="auto"/>
          <w:lang w:val="en-US" w:eastAsia="zh-CN"/>
        </w:rPr>
        <w:t>3</w:t>
      </w:r>
      <w:r>
        <w:rPr>
          <w:rFonts w:hint="default" w:ascii="Times New Roman" w:hAnsi="Times New Roman" w:eastAsia="宋体" w:cs="Times New Roman"/>
          <w:b/>
          <w:color w:val="auto"/>
          <w:sz w:val="21"/>
          <w:szCs w:val="21"/>
          <w:highlight w:val="none"/>
          <w:u w:val="none" w:color="auto"/>
        </w:rPr>
        <w:t>有组织点污染源源强一览表</w:t>
      </w:r>
    </w:p>
    <w:tbl>
      <w:tblPr>
        <w:tblStyle w:val="22"/>
        <w:tblW w:w="90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900"/>
        <w:gridCol w:w="875"/>
        <w:gridCol w:w="1117"/>
        <w:gridCol w:w="895"/>
        <w:gridCol w:w="1157"/>
        <w:gridCol w:w="867"/>
        <w:gridCol w:w="966"/>
        <w:gridCol w:w="1017"/>
      </w:tblGrid>
      <w:tr w14:paraId="3A37B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4" w:type="dxa"/>
            <w:gridSpan w:val="3"/>
            <w:vAlign w:val="center"/>
          </w:tcPr>
          <w:p w14:paraId="72E7FAE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来源</w:t>
            </w:r>
          </w:p>
        </w:tc>
        <w:tc>
          <w:tcPr>
            <w:tcW w:w="1117" w:type="dxa"/>
            <w:vMerge w:val="restart"/>
            <w:vAlign w:val="center"/>
          </w:tcPr>
          <w:p w14:paraId="4E143D9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污染物</w:t>
            </w:r>
          </w:p>
        </w:tc>
        <w:tc>
          <w:tcPr>
            <w:tcW w:w="895" w:type="dxa"/>
            <w:vMerge w:val="restart"/>
            <w:vAlign w:val="center"/>
          </w:tcPr>
          <w:p w14:paraId="33C9E2A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废气量（</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r>
              <w:rPr>
                <w:rFonts w:hint="default" w:ascii="Times New Roman" w:hAnsi="Times New Roman" w:eastAsia="宋体" w:cs="Times New Roman"/>
                <w:color w:val="auto"/>
                <w:sz w:val="21"/>
                <w:szCs w:val="21"/>
                <w:highlight w:val="none"/>
                <w:u w:val="none" w:color="auto"/>
                <w:lang w:eastAsia="zh-CN"/>
              </w:rPr>
              <w:t>）</w:t>
            </w:r>
          </w:p>
        </w:tc>
        <w:tc>
          <w:tcPr>
            <w:tcW w:w="1157" w:type="dxa"/>
            <w:vMerge w:val="restart"/>
            <w:vAlign w:val="center"/>
          </w:tcPr>
          <w:p w14:paraId="5D591D7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排放速率</w:t>
            </w:r>
          </w:p>
          <w:p w14:paraId="6AB37E1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（kg/h）</w:t>
            </w:r>
          </w:p>
        </w:tc>
        <w:tc>
          <w:tcPr>
            <w:tcW w:w="867" w:type="dxa"/>
            <w:vMerge w:val="restart"/>
            <w:vAlign w:val="center"/>
          </w:tcPr>
          <w:p w14:paraId="2A8A5243">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strike w:val="0"/>
                <w:dstrike w:val="0"/>
                <w:color w:val="auto"/>
                <w:sz w:val="21"/>
                <w:szCs w:val="21"/>
                <w:highlight w:val="none"/>
                <w:u w:val="none" w:color="auto"/>
              </w:rPr>
              <w:t>排气筒高度（m）</w:t>
            </w:r>
          </w:p>
        </w:tc>
        <w:tc>
          <w:tcPr>
            <w:tcW w:w="966" w:type="dxa"/>
            <w:vMerge w:val="restart"/>
            <w:vAlign w:val="center"/>
          </w:tcPr>
          <w:p w14:paraId="2E90A427">
            <w:pPr>
              <w:snapToGrid w:val="0"/>
              <w:spacing w:line="240" w:lineRule="auto"/>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sz w:val="21"/>
                <w:szCs w:val="21"/>
                <w:highlight w:val="none"/>
                <w:u w:val="none" w:color="auto"/>
              </w:rPr>
              <w:t>排气筒</w:t>
            </w:r>
          </w:p>
          <w:p w14:paraId="0CF5120C">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strike w:val="0"/>
                <w:dstrike w:val="0"/>
                <w:color w:val="auto"/>
                <w:sz w:val="21"/>
                <w:szCs w:val="21"/>
                <w:highlight w:val="none"/>
                <w:u w:val="none" w:color="auto"/>
              </w:rPr>
              <w:t>内径（m）</w:t>
            </w:r>
          </w:p>
        </w:tc>
        <w:tc>
          <w:tcPr>
            <w:tcW w:w="1017" w:type="dxa"/>
            <w:vMerge w:val="restart"/>
            <w:vAlign w:val="center"/>
          </w:tcPr>
          <w:p w14:paraId="1178644A">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strike w:val="0"/>
                <w:dstrike w:val="0"/>
                <w:color w:val="auto"/>
                <w:sz w:val="21"/>
                <w:szCs w:val="21"/>
                <w:highlight w:val="none"/>
                <w:u w:val="none" w:color="auto"/>
              </w:rPr>
              <w:t>烟气出口温度（K）</w:t>
            </w:r>
          </w:p>
        </w:tc>
      </w:tr>
      <w:tr w14:paraId="0F9CE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9" w:type="dxa"/>
            <w:gridSpan w:val="2"/>
            <w:vAlign w:val="center"/>
          </w:tcPr>
          <w:p w14:paraId="76D2372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废气类别</w:t>
            </w:r>
          </w:p>
        </w:tc>
        <w:tc>
          <w:tcPr>
            <w:tcW w:w="875" w:type="dxa"/>
            <w:vAlign w:val="center"/>
          </w:tcPr>
          <w:p w14:paraId="4469A26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排气筒编号</w:t>
            </w:r>
          </w:p>
        </w:tc>
        <w:tc>
          <w:tcPr>
            <w:tcW w:w="1117" w:type="dxa"/>
            <w:vMerge w:val="continue"/>
            <w:vAlign w:val="center"/>
          </w:tcPr>
          <w:p w14:paraId="3532AC66">
            <w:pPr>
              <w:spacing w:line="240" w:lineRule="auto"/>
              <w:jc w:val="center"/>
              <w:rPr>
                <w:rFonts w:hint="default" w:ascii="Times New Roman" w:hAnsi="Times New Roman" w:eastAsia="宋体" w:cs="Times New Roman"/>
                <w:color w:val="auto"/>
                <w:sz w:val="21"/>
                <w:szCs w:val="21"/>
                <w:highlight w:val="none"/>
                <w:u w:val="none" w:color="auto"/>
              </w:rPr>
            </w:pPr>
          </w:p>
        </w:tc>
        <w:tc>
          <w:tcPr>
            <w:tcW w:w="895" w:type="dxa"/>
            <w:vMerge w:val="continue"/>
            <w:vAlign w:val="center"/>
          </w:tcPr>
          <w:p w14:paraId="1D314CFC">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Merge w:val="continue"/>
            <w:vAlign w:val="center"/>
          </w:tcPr>
          <w:p w14:paraId="5B2A7353">
            <w:pPr>
              <w:spacing w:line="240" w:lineRule="auto"/>
              <w:jc w:val="center"/>
              <w:rPr>
                <w:rFonts w:hint="default" w:ascii="Times New Roman" w:hAnsi="Times New Roman" w:eastAsia="宋体" w:cs="Times New Roman"/>
                <w:color w:val="auto"/>
                <w:sz w:val="21"/>
                <w:szCs w:val="21"/>
                <w:highlight w:val="none"/>
                <w:u w:val="none" w:color="auto"/>
              </w:rPr>
            </w:pPr>
          </w:p>
        </w:tc>
        <w:tc>
          <w:tcPr>
            <w:tcW w:w="867" w:type="dxa"/>
            <w:vMerge w:val="continue"/>
            <w:vAlign w:val="center"/>
          </w:tcPr>
          <w:p w14:paraId="0A2885A6">
            <w:pPr>
              <w:spacing w:line="240" w:lineRule="auto"/>
              <w:jc w:val="center"/>
              <w:rPr>
                <w:rFonts w:hint="default" w:ascii="Times New Roman" w:hAnsi="Times New Roman" w:eastAsia="宋体" w:cs="Times New Roman"/>
                <w:color w:val="auto"/>
                <w:sz w:val="21"/>
                <w:szCs w:val="21"/>
                <w:highlight w:val="none"/>
                <w:u w:val="none" w:color="auto"/>
              </w:rPr>
            </w:pPr>
          </w:p>
        </w:tc>
        <w:tc>
          <w:tcPr>
            <w:tcW w:w="966" w:type="dxa"/>
            <w:vMerge w:val="continue"/>
            <w:vAlign w:val="center"/>
          </w:tcPr>
          <w:p w14:paraId="7AF95FF0">
            <w:pPr>
              <w:spacing w:line="240" w:lineRule="auto"/>
              <w:jc w:val="center"/>
              <w:rPr>
                <w:rFonts w:hint="default" w:ascii="Times New Roman" w:hAnsi="Times New Roman" w:eastAsia="宋体" w:cs="Times New Roman"/>
                <w:color w:val="auto"/>
                <w:sz w:val="21"/>
                <w:szCs w:val="21"/>
                <w:highlight w:val="none"/>
                <w:u w:val="none" w:color="auto"/>
              </w:rPr>
            </w:pPr>
          </w:p>
        </w:tc>
        <w:tc>
          <w:tcPr>
            <w:tcW w:w="1017" w:type="dxa"/>
            <w:vMerge w:val="continue"/>
            <w:vAlign w:val="center"/>
          </w:tcPr>
          <w:p w14:paraId="585A8364">
            <w:pPr>
              <w:spacing w:line="240" w:lineRule="auto"/>
              <w:jc w:val="center"/>
              <w:rPr>
                <w:rFonts w:hint="default" w:ascii="Times New Roman" w:hAnsi="Times New Roman" w:eastAsia="宋体" w:cs="Times New Roman"/>
                <w:color w:val="auto"/>
                <w:sz w:val="21"/>
                <w:szCs w:val="21"/>
                <w:highlight w:val="none"/>
                <w:u w:val="none" w:color="auto"/>
              </w:rPr>
            </w:pPr>
          </w:p>
        </w:tc>
      </w:tr>
      <w:tr w14:paraId="05FF7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Align w:val="center"/>
          </w:tcPr>
          <w:p w14:paraId="5235D95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金刚石划片刀生产线</w:t>
            </w:r>
          </w:p>
        </w:tc>
        <w:tc>
          <w:tcPr>
            <w:tcW w:w="900" w:type="dxa"/>
            <w:vAlign w:val="center"/>
          </w:tcPr>
          <w:p w14:paraId="4C63445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出光槽</w:t>
            </w:r>
          </w:p>
        </w:tc>
        <w:tc>
          <w:tcPr>
            <w:tcW w:w="875" w:type="dxa"/>
            <w:vAlign w:val="center"/>
          </w:tcPr>
          <w:p w14:paraId="11DE8DE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DA001</w:t>
            </w:r>
          </w:p>
        </w:tc>
        <w:tc>
          <w:tcPr>
            <w:tcW w:w="1117" w:type="dxa"/>
            <w:vAlign w:val="center"/>
          </w:tcPr>
          <w:p w14:paraId="2FD16C5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氮氧化物</w:t>
            </w:r>
          </w:p>
        </w:tc>
        <w:tc>
          <w:tcPr>
            <w:tcW w:w="895" w:type="dxa"/>
            <w:vAlign w:val="center"/>
          </w:tcPr>
          <w:p w14:paraId="6D813C4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w:t>
            </w:r>
            <w:r>
              <w:rPr>
                <w:rFonts w:hint="default" w:ascii="Times New Roman" w:hAnsi="Times New Roman" w:eastAsia="宋体" w:cs="Times New Roman"/>
                <w:color w:val="auto"/>
                <w:sz w:val="21"/>
                <w:szCs w:val="21"/>
                <w:highlight w:val="none"/>
                <w:u w:val="none" w:color="auto"/>
                <w:lang w:val="en-US" w:eastAsia="zh-CN"/>
              </w:rPr>
              <w:t>0</w:t>
            </w:r>
          </w:p>
        </w:tc>
        <w:tc>
          <w:tcPr>
            <w:tcW w:w="1157" w:type="dxa"/>
            <w:vAlign w:val="center"/>
          </w:tcPr>
          <w:p w14:paraId="281DB4C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867" w:type="dxa"/>
            <w:vAlign w:val="center"/>
          </w:tcPr>
          <w:p w14:paraId="65BFCEA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w:t>
            </w:r>
          </w:p>
        </w:tc>
        <w:tc>
          <w:tcPr>
            <w:tcW w:w="966" w:type="dxa"/>
            <w:vAlign w:val="center"/>
          </w:tcPr>
          <w:p w14:paraId="0F8C8F8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0.6</w:t>
            </w:r>
          </w:p>
        </w:tc>
        <w:tc>
          <w:tcPr>
            <w:tcW w:w="1017" w:type="dxa"/>
            <w:vAlign w:val="center"/>
          </w:tcPr>
          <w:p w14:paraId="3EBE4BF8">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303</w:t>
            </w:r>
          </w:p>
        </w:tc>
      </w:tr>
      <w:tr w14:paraId="50147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2B42A66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超硬材料砂轮镀镀超硬材料</w:t>
            </w:r>
            <w:r>
              <w:rPr>
                <w:rFonts w:hint="eastAsia" w:ascii="Times New Roman" w:hAnsi="Times New Roman" w:eastAsia="宋体" w:cs="Times New Roman"/>
                <w:color w:val="auto"/>
                <w:sz w:val="21"/>
                <w:szCs w:val="21"/>
                <w:highlight w:val="none"/>
                <w:u w:val="none" w:color="auto"/>
                <w:lang w:val="en-US" w:eastAsia="zh-CN"/>
              </w:rPr>
              <w:t>工序</w:t>
            </w:r>
          </w:p>
        </w:tc>
        <w:tc>
          <w:tcPr>
            <w:tcW w:w="900" w:type="dxa"/>
            <w:vMerge w:val="restart"/>
            <w:vAlign w:val="center"/>
          </w:tcPr>
          <w:p w14:paraId="3BFE3C4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875" w:type="dxa"/>
            <w:vMerge w:val="restart"/>
            <w:vAlign w:val="center"/>
          </w:tcPr>
          <w:p w14:paraId="0B6AA55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DA002</w:t>
            </w:r>
          </w:p>
        </w:tc>
        <w:tc>
          <w:tcPr>
            <w:tcW w:w="1117" w:type="dxa"/>
            <w:vAlign w:val="center"/>
          </w:tcPr>
          <w:p w14:paraId="1C87481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895" w:type="dxa"/>
            <w:vMerge w:val="restart"/>
            <w:vAlign w:val="center"/>
          </w:tcPr>
          <w:p w14:paraId="4119A84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18</w:t>
            </w:r>
            <w:r>
              <w:rPr>
                <w:rFonts w:hint="default" w:ascii="Times New Roman" w:hAnsi="Times New Roman" w:eastAsia="宋体" w:cs="Times New Roman"/>
                <w:color w:val="auto"/>
                <w:sz w:val="21"/>
                <w:szCs w:val="21"/>
                <w:highlight w:val="none"/>
                <w:u w:val="none" w:color="auto"/>
              </w:rPr>
              <w:t>00</w:t>
            </w:r>
            <w:r>
              <w:rPr>
                <w:rFonts w:hint="default" w:ascii="Times New Roman" w:hAnsi="Times New Roman" w:eastAsia="宋体" w:cs="Times New Roman"/>
                <w:color w:val="auto"/>
                <w:sz w:val="21"/>
                <w:szCs w:val="21"/>
                <w:highlight w:val="none"/>
                <w:u w:val="none" w:color="auto"/>
                <w:lang w:val="en-US" w:eastAsia="zh-CN"/>
              </w:rPr>
              <w:t>0</w:t>
            </w:r>
          </w:p>
        </w:tc>
        <w:tc>
          <w:tcPr>
            <w:tcW w:w="1157" w:type="dxa"/>
            <w:vAlign w:val="center"/>
          </w:tcPr>
          <w:p w14:paraId="42D578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0.00001</w:t>
            </w:r>
          </w:p>
        </w:tc>
        <w:tc>
          <w:tcPr>
            <w:tcW w:w="867" w:type="dxa"/>
            <w:vMerge w:val="restart"/>
            <w:vAlign w:val="center"/>
          </w:tcPr>
          <w:p w14:paraId="52DF2FC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w:t>
            </w:r>
          </w:p>
        </w:tc>
        <w:tc>
          <w:tcPr>
            <w:tcW w:w="966" w:type="dxa"/>
            <w:vMerge w:val="restart"/>
            <w:vAlign w:val="center"/>
          </w:tcPr>
          <w:p w14:paraId="10FD80C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0.6</w:t>
            </w:r>
          </w:p>
        </w:tc>
        <w:tc>
          <w:tcPr>
            <w:tcW w:w="1017" w:type="dxa"/>
            <w:vMerge w:val="restart"/>
            <w:vAlign w:val="center"/>
          </w:tcPr>
          <w:p w14:paraId="4F92550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303</w:t>
            </w:r>
          </w:p>
        </w:tc>
      </w:tr>
      <w:tr w14:paraId="125DC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56A60AB7">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900" w:type="dxa"/>
            <w:vMerge w:val="continue"/>
            <w:vAlign w:val="center"/>
          </w:tcPr>
          <w:p w14:paraId="68276FEB">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875" w:type="dxa"/>
            <w:vMerge w:val="continue"/>
            <w:vAlign w:val="center"/>
          </w:tcPr>
          <w:p w14:paraId="665C166B">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17" w:type="dxa"/>
            <w:vAlign w:val="center"/>
          </w:tcPr>
          <w:p w14:paraId="41822F2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895" w:type="dxa"/>
            <w:vMerge w:val="continue"/>
            <w:vAlign w:val="center"/>
          </w:tcPr>
          <w:p w14:paraId="608984BB">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Align w:val="center"/>
          </w:tcPr>
          <w:p w14:paraId="06E1B2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867" w:type="dxa"/>
            <w:vMerge w:val="continue"/>
            <w:vAlign w:val="center"/>
          </w:tcPr>
          <w:p w14:paraId="19DE23D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966" w:type="dxa"/>
            <w:vMerge w:val="continue"/>
            <w:vAlign w:val="center"/>
          </w:tcPr>
          <w:p w14:paraId="010C28E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017" w:type="dxa"/>
            <w:vMerge w:val="continue"/>
            <w:vAlign w:val="center"/>
          </w:tcPr>
          <w:p w14:paraId="189ADFF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r>
      <w:tr w14:paraId="7D0D0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5C68729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超硬材料磨头镀镀超硬材料</w:t>
            </w:r>
            <w:r>
              <w:rPr>
                <w:rFonts w:hint="eastAsia" w:ascii="Times New Roman" w:hAnsi="Times New Roman" w:eastAsia="宋体" w:cs="Times New Roman"/>
                <w:color w:val="auto"/>
                <w:sz w:val="21"/>
                <w:szCs w:val="21"/>
                <w:highlight w:val="none"/>
                <w:u w:val="none" w:color="auto"/>
                <w:lang w:val="en-US" w:eastAsia="zh-CN"/>
              </w:rPr>
              <w:t>工序</w:t>
            </w:r>
          </w:p>
        </w:tc>
        <w:tc>
          <w:tcPr>
            <w:tcW w:w="900" w:type="dxa"/>
            <w:vMerge w:val="restart"/>
            <w:vAlign w:val="center"/>
          </w:tcPr>
          <w:p w14:paraId="56E8906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875" w:type="dxa"/>
            <w:vMerge w:val="restart"/>
            <w:vAlign w:val="center"/>
          </w:tcPr>
          <w:p w14:paraId="17CA19A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DA003</w:t>
            </w:r>
          </w:p>
        </w:tc>
        <w:tc>
          <w:tcPr>
            <w:tcW w:w="1117" w:type="dxa"/>
            <w:vAlign w:val="center"/>
          </w:tcPr>
          <w:p w14:paraId="7FA576C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895" w:type="dxa"/>
            <w:vMerge w:val="restart"/>
            <w:vAlign w:val="center"/>
          </w:tcPr>
          <w:p w14:paraId="0600547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w:t>
            </w:r>
          </w:p>
        </w:tc>
        <w:tc>
          <w:tcPr>
            <w:tcW w:w="1157" w:type="dxa"/>
            <w:vAlign w:val="center"/>
          </w:tcPr>
          <w:p w14:paraId="6144760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0.000005</w:t>
            </w:r>
          </w:p>
        </w:tc>
        <w:tc>
          <w:tcPr>
            <w:tcW w:w="867" w:type="dxa"/>
            <w:vMerge w:val="restart"/>
            <w:vAlign w:val="center"/>
          </w:tcPr>
          <w:p w14:paraId="6BDFA76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w:t>
            </w:r>
          </w:p>
        </w:tc>
        <w:tc>
          <w:tcPr>
            <w:tcW w:w="966" w:type="dxa"/>
            <w:vMerge w:val="restart"/>
            <w:vAlign w:val="center"/>
          </w:tcPr>
          <w:p w14:paraId="3716E8E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0.6</w:t>
            </w:r>
          </w:p>
        </w:tc>
        <w:tc>
          <w:tcPr>
            <w:tcW w:w="1017" w:type="dxa"/>
            <w:vMerge w:val="restart"/>
            <w:vAlign w:val="center"/>
          </w:tcPr>
          <w:p w14:paraId="02A4E42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303</w:t>
            </w:r>
          </w:p>
        </w:tc>
      </w:tr>
      <w:tr w14:paraId="30145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0C532BDD">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900" w:type="dxa"/>
            <w:vMerge w:val="continue"/>
            <w:vAlign w:val="center"/>
          </w:tcPr>
          <w:p w14:paraId="4F8A4931">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875" w:type="dxa"/>
            <w:vMerge w:val="continue"/>
            <w:vAlign w:val="center"/>
          </w:tcPr>
          <w:p w14:paraId="7057D571">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17" w:type="dxa"/>
            <w:vAlign w:val="center"/>
          </w:tcPr>
          <w:p w14:paraId="0F27300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895" w:type="dxa"/>
            <w:vMerge w:val="continue"/>
            <w:vAlign w:val="center"/>
          </w:tcPr>
          <w:p w14:paraId="44B5B2A3">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Align w:val="center"/>
          </w:tcPr>
          <w:p w14:paraId="6FB2DB4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867" w:type="dxa"/>
            <w:vMerge w:val="continue"/>
            <w:vAlign w:val="center"/>
          </w:tcPr>
          <w:p w14:paraId="60BFD11A">
            <w:pPr>
              <w:spacing w:line="240" w:lineRule="auto"/>
              <w:jc w:val="center"/>
              <w:rPr>
                <w:rFonts w:hint="default" w:ascii="Times New Roman" w:hAnsi="Times New Roman" w:eastAsia="宋体" w:cs="Times New Roman"/>
                <w:color w:val="auto"/>
                <w:sz w:val="21"/>
                <w:szCs w:val="21"/>
                <w:highlight w:val="none"/>
                <w:u w:val="none" w:color="auto"/>
              </w:rPr>
            </w:pPr>
          </w:p>
        </w:tc>
        <w:tc>
          <w:tcPr>
            <w:tcW w:w="966" w:type="dxa"/>
            <w:vMerge w:val="continue"/>
            <w:vAlign w:val="center"/>
          </w:tcPr>
          <w:p w14:paraId="0B4A839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017" w:type="dxa"/>
            <w:vMerge w:val="continue"/>
            <w:vAlign w:val="center"/>
          </w:tcPr>
          <w:p w14:paraId="2F092918">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r>
      <w:tr w14:paraId="11140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5F3BB2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超硬材料套瓦刀及套孔钻镀镀超硬材料</w:t>
            </w:r>
            <w:r>
              <w:rPr>
                <w:rFonts w:hint="eastAsia" w:ascii="Times New Roman" w:hAnsi="Times New Roman" w:eastAsia="宋体" w:cs="Times New Roman"/>
                <w:color w:val="auto"/>
                <w:sz w:val="21"/>
                <w:szCs w:val="21"/>
                <w:highlight w:val="none"/>
                <w:u w:val="none" w:color="auto"/>
                <w:lang w:val="en-US" w:eastAsia="zh-CN"/>
              </w:rPr>
              <w:t>工序</w:t>
            </w:r>
          </w:p>
        </w:tc>
        <w:tc>
          <w:tcPr>
            <w:tcW w:w="900" w:type="dxa"/>
            <w:vMerge w:val="restart"/>
            <w:vAlign w:val="center"/>
          </w:tcPr>
          <w:p w14:paraId="33EADA3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875" w:type="dxa"/>
            <w:vMerge w:val="restart"/>
            <w:vAlign w:val="center"/>
          </w:tcPr>
          <w:p w14:paraId="3C0CDA9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DA004</w:t>
            </w:r>
          </w:p>
        </w:tc>
        <w:tc>
          <w:tcPr>
            <w:tcW w:w="1117" w:type="dxa"/>
            <w:vAlign w:val="center"/>
          </w:tcPr>
          <w:p w14:paraId="73E3920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895" w:type="dxa"/>
            <w:vMerge w:val="restart"/>
            <w:vAlign w:val="center"/>
          </w:tcPr>
          <w:p w14:paraId="501F744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w:t>
            </w:r>
          </w:p>
        </w:tc>
        <w:tc>
          <w:tcPr>
            <w:tcW w:w="1157" w:type="dxa"/>
            <w:vAlign w:val="center"/>
          </w:tcPr>
          <w:p w14:paraId="2625AFF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0.000003</w:t>
            </w:r>
          </w:p>
        </w:tc>
        <w:tc>
          <w:tcPr>
            <w:tcW w:w="867" w:type="dxa"/>
            <w:vMerge w:val="restart"/>
            <w:vAlign w:val="center"/>
          </w:tcPr>
          <w:p w14:paraId="2AC2B3B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w:t>
            </w:r>
          </w:p>
        </w:tc>
        <w:tc>
          <w:tcPr>
            <w:tcW w:w="966" w:type="dxa"/>
            <w:vMerge w:val="restart"/>
            <w:vAlign w:val="center"/>
          </w:tcPr>
          <w:p w14:paraId="6EE552F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0.6</w:t>
            </w:r>
          </w:p>
        </w:tc>
        <w:tc>
          <w:tcPr>
            <w:tcW w:w="1017" w:type="dxa"/>
            <w:vMerge w:val="restart"/>
            <w:vAlign w:val="center"/>
          </w:tcPr>
          <w:p w14:paraId="57A91BB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303</w:t>
            </w:r>
          </w:p>
        </w:tc>
      </w:tr>
      <w:tr w14:paraId="6AF97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0079341A">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900" w:type="dxa"/>
            <w:vMerge w:val="continue"/>
            <w:vAlign w:val="center"/>
          </w:tcPr>
          <w:p w14:paraId="2E4C10A1">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875" w:type="dxa"/>
            <w:vMerge w:val="continue"/>
            <w:vAlign w:val="center"/>
          </w:tcPr>
          <w:p w14:paraId="6D8CE5AC">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17" w:type="dxa"/>
            <w:vAlign w:val="center"/>
          </w:tcPr>
          <w:p w14:paraId="07F88AC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895" w:type="dxa"/>
            <w:vMerge w:val="continue"/>
            <w:vAlign w:val="center"/>
          </w:tcPr>
          <w:p w14:paraId="798657B6">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Align w:val="center"/>
          </w:tcPr>
          <w:p w14:paraId="3CA148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0.0004</w:t>
            </w:r>
          </w:p>
        </w:tc>
        <w:tc>
          <w:tcPr>
            <w:tcW w:w="867" w:type="dxa"/>
            <w:vMerge w:val="continue"/>
            <w:vAlign w:val="center"/>
          </w:tcPr>
          <w:p w14:paraId="6ECF3C50">
            <w:pPr>
              <w:spacing w:line="240" w:lineRule="auto"/>
              <w:jc w:val="center"/>
              <w:rPr>
                <w:rFonts w:hint="default" w:ascii="Times New Roman" w:hAnsi="Times New Roman" w:eastAsia="宋体" w:cs="Times New Roman"/>
                <w:color w:val="auto"/>
                <w:sz w:val="21"/>
                <w:szCs w:val="21"/>
                <w:highlight w:val="none"/>
                <w:u w:val="none" w:color="auto"/>
              </w:rPr>
            </w:pPr>
          </w:p>
        </w:tc>
        <w:tc>
          <w:tcPr>
            <w:tcW w:w="966" w:type="dxa"/>
            <w:vMerge w:val="continue"/>
            <w:vAlign w:val="center"/>
          </w:tcPr>
          <w:p w14:paraId="5CDA508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017" w:type="dxa"/>
            <w:vMerge w:val="continue"/>
            <w:vAlign w:val="center"/>
          </w:tcPr>
          <w:p w14:paraId="79A2384F">
            <w:pPr>
              <w:spacing w:line="240" w:lineRule="auto"/>
              <w:jc w:val="center"/>
              <w:rPr>
                <w:rFonts w:hint="default" w:ascii="Times New Roman" w:hAnsi="Times New Roman" w:eastAsia="宋体" w:cs="Times New Roman"/>
                <w:color w:val="auto"/>
                <w:sz w:val="21"/>
                <w:szCs w:val="21"/>
                <w:highlight w:val="none"/>
                <w:u w:val="none" w:color="auto"/>
              </w:rPr>
            </w:pPr>
          </w:p>
        </w:tc>
      </w:tr>
      <w:tr w14:paraId="490CF7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4C6B751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超硬材料砂轮、超硬材料磨头、超硬材料套瓦刀及套孔钻装饰镀</w:t>
            </w:r>
            <w:r>
              <w:rPr>
                <w:rFonts w:hint="eastAsia" w:ascii="Times New Roman" w:hAnsi="Times New Roman" w:eastAsia="宋体" w:cs="Times New Roman"/>
                <w:color w:val="auto"/>
                <w:sz w:val="21"/>
                <w:szCs w:val="21"/>
                <w:highlight w:val="none"/>
                <w:u w:val="none" w:color="auto"/>
                <w:lang w:val="en-US" w:eastAsia="zh-CN"/>
              </w:rPr>
              <w:t>工序</w:t>
            </w:r>
          </w:p>
        </w:tc>
        <w:tc>
          <w:tcPr>
            <w:tcW w:w="900" w:type="dxa"/>
            <w:vMerge w:val="restart"/>
            <w:vAlign w:val="center"/>
          </w:tcPr>
          <w:p w14:paraId="296423A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875" w:type="dxa"/>
            <w:vMerge w:val="restart"/>
            <w:vAlign w:val="center"/>
          </w:tcPr>
          <w:p w14:paraId="2E741BE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DA005</w:t>
            </w:r>
          </w:p>
        </w:tc>
        <w:tc>
          <w:tcPr>
            <w:tcW w:w="1117" w:type="dxa"/>
            <w:vAlign w:val="center"/>
          </w:tcPr>
          <w:p w14:paraId="7AB3C96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895" w:type="dxa"/>
            <w:vMerge w:val="restart"/>
            <w:vAlign w:val="center"/>
          </w:tcPr>
          <w:p w14:paraId="0E70475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w:t>
            </w:r>
          </w:p>
        </w:tc>
        <w:tc>
          <w:tcPr>
            <w:tcW w:w="1157" w:type="dxa"/>
            <w:vAlign w:val="center"/>
          </w:tcPr>
          <w:p w14:paraId="5D1E69A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867" w:type="dxa"/>
            <w:vMerge w:val="restart"/>
            <w:vAlign w:val="center"/>
          </w:tcPr>
          <w:p w14:paraId="1ABD905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w:t>
            </w:r>
          </w:p>
        </w:tc>
        <w:tc>
          <w:tcPr>
            <w:tcW w:w="966" w:type="dxa"/>
            <w:vMerge w:val="restart"/>
            <w:vAlign w:val="center"/>
          </w:tcPr>
          <w:p w14:paraId="614C70B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0.6</w:t>
            </w:r>
          </w:p>
        </w:tc>
        <w:tc>
          <w:tcPr>
            <w:tcW w:w="1017" w:type="dxa"/>
            <w:vMerge w:val="restart"/>
            <w:vAlign w:val="center"/>
          </w:tcPr>
          <w:p w14:paraId="07379EA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303</w:t>
            </w:r>
          </w:p>
        </w:tc>
      </w:tr>
      <w:tr w14:paraId="663D5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5DFC074D">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900" w:type="dxa"/>
            <w:vMerge w:val="continue"/>
            <w:vAlign w:val="center"/>
          </w:tcPr>
          <w:p w14:paraId="20F47F23">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875" w:type="dxa"/>
            <w:vMerge w:val="continue"/>
            <w:vAlign w:val="center"/>
          </w:tcPr>
          <w:p w14:paraId="7BB23F93">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17" w:type="dxa"/>
            <w:vAlign w:val="center"/>
          </w:tcPr>
          <w:p w14:paraId="29C060F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895" w:type="dxa"/>
            <w:vMerge w:val="continue"/>
            <w:vAlign w:val="center"/>
          </w:tcPr>
          <w:p w14:paraId="7E677116">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Align w:val="center"/>
          </w:tcPr>
          <w:p w14:paraId="5110A7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0.0001</w:t>
            </w:r>
          </w:p>
        </w:tc>
        <w:tc>
          <w:tcPr>
            <w:tcW w:w="867" w:type="dxa"/>
            <w:vMerge w:val="continue"/>
            <w:vAlign w:val="center"/>
          </w:tcPr>
          <w:p w14:paraId="37BEAF4C">
            <w:pPr>
              <w:spacing w:line="240" w:lineRule="auto"/>
              <w:jc w:val="center"/>
              <w:rPr>
                <w:rFonts w:hint="default" w:ascii="Times New Roman" w:hAnsi="Times New Roman" w:eastAsia="宋体" w:cs="Times New Roman"/>
                <w:color w:val="auto"/>
                <w:sz w:val="21"/>
                <w:szCs w:val="21"/>
                <w:highlight w:val="none"/>
                <w:u w:val="none" w:color="auto"/>
              </w:rPr>
            </w:pPr>
          </w:p>
        </w:tc>
        <w:tc>
          <w:tcPr>
            <w:tcW w:w="966" w:type="dxa"/>
            <w:vMerge w:val="continue"/>
            <w:vAlign w:val="center"/>
          </w:tcPr>
          <w:p w14:paraId="3D460A8F">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017" w:type="dxa"/>
            <w:vMerge w:val="continue"/>
            <w:vAlign w:val="center"/>
          </w:tcPr>
          <w:p w14:paraId="45E8B733">
            <w:pPr>
              <w:spacing w:line="240" w:lineRule="auto"/>
              <w:jc w:val="center"/>
              <w:rPr>
                <w:rFonts w:hint="default" w:ascii="Times New Roman" w:hAnsi="Times New Roman" w:eastAsia="宋体" w:cs="Times New Roman"/>
                <w:color w:val="auto"/>
                <w:sz w:val="21"/>
                <w:szCs w:val="21"/>
                <w:highlight w:val="none"/>
                <w:u w:val="none" w:color="auto"/>
              </w:rPr>
            </w:pPr>
          </w:p>
        </w:tc>
      </w:tr>
      <w:tr w14:paraId="51CE1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67C3EE3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退镀线</w:t>
            </w:r>
            <w:r>
              <w:rPr>
                <w:rFonts w:hint="default" w:ascii="Times New Roman" w:hAnsi="Times New Roman" w:eastAsia="宋体" w:cs="Times New Roman"/>
                <w:color w:val="auto"/>
                <w:sz w:val="21"/>
                <w:szCs w:val="21"/>
                <w:highlight w:val="none"/>
                <w:u w:val="none" w:color="auto"/>
                <w:lang w:val="en-US" w:eastAsia="zh-CN"/>
              </w:rPr>
              <w:t>1</w:t>
            </w:r>
          </w:p>
        </w:tc>
        <w:tc>
          <w:tcPr>
            <w:tcW w:w="900" w:type="dxa"/>
            <w:vMerge w:val="restart"/>
            <w:vAlign w:val="center"/>
          </w:tcPr>
          <w:p w14:paraId="4E49EF6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退镀槽</w:t>
            </w:r>
          </w:p>
        </w:tc>
        <w:tc>
          <w:tcPr>
            <w:tcW w:w="875" w:type="dxa"/>
            <w:vMerge w:val="continue"/>
            <w:vAlign w:val="center"/>
          </w:tcPr>
          <w:p w14:paraId="6AFFB0A9">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17" w:type="dxa"/>
            <w:vAlign w:val="center"/>
          </w:tcPr>
          <w:p w14:paraId="3759F8A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895" w:type="dxa"/>
            <w:vMerge w:val="continue"/>
            <w:vAlign w:val="center"/>
          </w:tcPr>
          <w:p w14:paraId="029C242F">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Align w:val="center"/>
          </w:tcPr>
          <w:p w14:paraId="31B75A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867" w:type="dxa"/>
            <w:vMerge w:val="continue"/>
            <w:vAlign w:val="center"/>
          </w:tcPr>
          <w:p w14:paraId="4172378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966" w:type="dxa"/>
            <w:vMerge w:val="continue"/>
            <w:vAlign w:val="center"/>
          </w:tcPr>
          <w:p w14:paraId="693099F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017" w:type="dxa"/>
            <w:vMerge w:val="continue"/>
            <w:vAlign w:val="center"/>
          </w:tcPr>
          <w:p w14:paraId="62703D70">
            <w:pPr>
              <w:spacing w:line="240" w:lineRule="auto"/>
              <w:jc w:val="center"/>
              <w:rPr>
                <w:rFonts w:hint="default" w:ascii="Times New Roman" w:hAnsi="Times New Roman" w:eastAsia="宋体" w:cs="Times New Roman"/>
                <w:color w:val="auto"/>
                <w:sz w:val="21"/>
                <w:szCs w:val="21"/>
                <w:highlight w:val="none"/>
                <w:u w:val="none" w:color="auto"/>
              </w:rPr>
            </w:pPr>
          </w:p>
        </w:tc>
      </w:tr>
      <w:tr w14:paraId="46FD0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52F58DC0">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900" w:type="dxa"/>
            <w:vMerge w:val="continue"/>
            <w:vAlign w:val="center"/>
          </w:tcPr>
          <w:p w14:paraId="31DB7FB8">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875" w:type="dxa"/>
            <w:vMerge w:val="continue"/>
            <w:vAlign w:val="center"/>
          </w:tcPr>
          <w:p w14:paraId="41C94916">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17" w:type="dxa"/>
            <w:vAlign w:val="center"/>
          </w:tcPr>
          <w:p w14:paraId="6D245D4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氮氧化物</w:t>
            </w:r>
          </w:p>
        </w:tc>
        <w:tc>
          <w:tcPr>
            <w:tcW w:w="895" w:type="dxa"/>
            <w:vMerge w:val="continue"/>
            <w:vAlign w:val="center"/>
          </w:tcPr>
          <w:p w14:paraId="4DC16FC0">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Align w:val="center"/>
          </w:tcPr>
          <w:p w14:paraId="1F4641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0.002</w:t>
            </w:r>
          </w:p>
        </w:tc>
        <w:tc>
          <w:tcPr>
            <w:tcW w:w="867" w:type="dxa"/>
            <w:vMerge w:val="continue"/>
            <w:vAlign w:val="center"/>
          </w:tcPr>
          <w:p w14:paraId="62F33978">
            <w:pPr>
              <w:spacing w:line="240" w:lineRule="auto"/>
              <w:jc w:val="center"/>
              <w:rPr>
                <w:rFonts w:hint="default" w:ascii="Times New Roman" w:hAnsi="Times New Roman" w:eastAsia="宋体" w:cs="Times New Roman"/>
                <w:color w:val="auto"/>
                <w:sz w:val="21"/>
                <w:szCs w:val="21"/>
                <w:highlight w:val="none"/>
                <w:u w:val="none" w:color="auto"/>
                <w:lang w:val="en-US"/>
              </w:rPr>
            </w:pPr>
          </w:p>
        </w:tc>
        <w:tc>
          <w:tcPr>
            <w:tcW w:w="966" w:type="dxa"/>
            <w:vMerge w:val="continue"/>
            <w:vAlign w:val="center"/>
          </w:tcPr>
          <w:p w14:paraId="17FB27A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017" w:type="dxa"/>
            <w:vMerge w:val="continue"/>
            <w:vAlign w:val="center"/>
          </w:tcPr>
          <w:p w14:paraId="439D9768">
            <w:pPr>
              <w:spacing w:line="240" w:lineRule="auto"/>
              <w:jc w:val="center"/>
              <w:rPr>
                <w:rFonts w:hint="default" w:ascii="Times New Roman" w:hAnsi="Times New Roman" w:eastAsia="宋体" w:cs="Times New Roman"/>
                <w:color w:val="auto"/>
                <w:sz w:val="21"/>
                <w:szCs w:val="21"/>
                <w:highlight w:val="none"/>
                <w:u w:val="none" w:color="auto"/>
              </w:rPr>
            </w:pPr>
          </w:p>
        </w:tc>
      </w:tr>
      <w:tr w14:paraId="31494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155E64E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实验室</w:t>
            </w:r>
          </w:p>
        </w:tc>
        <w:tc>
          <w:tcPr>
            <w:tcW w:w="900" w:type="dxa"/>
            <w:vMerge w:val="restart"/>
            <w:vAlign w:val="center"/>
          </w:tcPr>
          <w:p w14:paraId="1D578C3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875" w:type="dxa"/>
            <w:vMerge w:val="restart"/>
            <w:vAlign w:val="center"/>
          </w:tcPr>
          <w:p w14:paraId="27E77A9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DA006</w:t>
            </w:r>
          </w:p>
        </w:tc>
        <w:tc>
          <w:tcPr>
            <w:tcW w:w="1117" w:type="dxa"/>
            <w:vAlign w:val="center"/>
          </w:tcPr>
          <w:p w14:paraId="164D518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895" w:type="dxa"/>
            <w:vMerge w:val="restart"/>
            <w:vAlign w:val="center"/>
          </w:tcPr>
          <w:p w14:paraId="32A9B60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w:t>
            </w:r>
          </w:p>
        </w:tc>
        <w:tc>
          <w:tcPr>
            <w:tcW w:w="1157" w:type="dxa"/>
            <w:vAlign w:val="center"/>
          </w:tcPr>
          <w:p w14:paraId="443DB9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867" w:type="dxa"/>
            <w:vMerge w:val="restart"/>
            <w:vAlign w:val="center"/>
          </w:tcPr>
          <w:p w14:paraId="067011A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w:t>
            </w:r>
          </w:p>
        </w:tc>
        <w:tc>
          <w:tcPr>
            <w:tcW w:w="966" w:type="dxa"/>
            <w:vMerge w:val="restart"/>
            <w:vAlign w:val="center"/>
          </w:tcPr>
          <w:p w14:paraId="572137F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0.6</w:t>
            </w:r>
          </w:p>
        </w:tc>
        <w:tc>
          <w:tcPr>
            <w:tcW w:w="1017" w:type="dxa"/>
            <w:vMerge w:val="restart"/>
            <w:vAlign w:val="center"/>
          </w:tcPr>
          <w:p w14:paraId="10B6660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303</w:t>
            </w:r>
          </w:p>
        </w:tc>
      </w:tr>
      <w:tr w14:paraId="17C47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5517A563">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900" w:type="dxa"/>
            <w:vMerge w:val="continue"/>
            <w:vAlign w:val="center"/>
          </w:tcPr>
          <w:p w14:paraId="74FFF23D">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875" w:type="dxa"/>
            <w:vMerge w:val="continue"/>
            <w:vAlign w:val="center"/>
          </w:tcPr>
          <w:p w14:paraId="2596CEB4">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17" w:type="dxa"/>
            <w:vAlign w:val="center"/>
          </w:tcPr>
          <w:p w14:paraId="4EAEA18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895" w:type="dxa"/>
            <w:vMerge w:val="continue"/>
            <w:vAlign w:val="center"/>
          </w:tcPr>
          <w:p w14:paraId="4C96468C">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Align w:val="center"/>
          </w:tcPr>
          <w:p w14:paraId="547DC49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867" w:type="dxa"/>
            <w:vMerge w:val="continue"/>
            <w:vAlign w:val="center"/>
          </w:tcPr>
          <w:p w14:paraId="52DE5F20">
            <w:pPr>
              <w:spacing w:line="240" w:lineRule="auto"/>
              <w:jc w:val="center"/>
              <w:rPr>
                <w:rFonts w:hint="default" w:ascii="Times New Roman" w:hAnsi="Times New Roman" w:eastAsia="宋体" w:cs="Times New Roman"/>
                <w:color w:val="auto"/>
                <w:sz w:val="21"/>
                <w:szCs w:val="21"/>
                <w:highlight w:val="none"/>
                <w:u w:val="none" w:color="auto"/>
              </w:rPr>
            </w:pPr>
          </w:p>
        </w:tc>
        <w:tc>
          <w:tcPr>
            <w:tcW w:w="966" w:type="dxa"/>
            <w:vMerge w:val="continue"/>
            <w:vAlign w:val="center"/>
          </w:tcPr>
          <w:p w14:paraId="57A67BD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017" w:type="dxa"/>
            <w:vMerge w:val="continue"/>
            <w:vAlign w:val="center"/>
          </w:tcPr>
          <w:p w14:paraId="7B045D4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r>
      <w:tr w14:paraId="50E7C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5B8AD8D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退镀线</w:t>
            </w:r>
            <w:r>
              <w:rPr>
                <w:rFonts w:hint="default" w:ascii="Times New Roman" w:hAnsi="Times New Roman" w:eastAsia="宋体" w:cs="Times New Roman"/>
                <w:color w:val="auto"/>
                <w:sz w:val="21"/>
                <w:szCs w:val="21"/>
                <w:highlight w:val="none"/>
                <w:u w:val="none" w:color="auto"/>
                <w:lang w:val="en-US" w:eastAsia="zh-CN"/>
              </w:rPr>
              <w:t>2</w:t>
            </w:r>
          </w:p>
        </w:tc>
        <w:tc>
          <w:tcPr>
            <w:tcW w:w="900" w:type="dxa"/>
            <w:vMerge w:val="restart"/>
            <w:vAlign w:val="center"/>
          </w:tcPr>
          <w:p w14:paraId="7EFE2D8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退镀槽</w:t>
            </w:r>
          </w:p>
        </w:tc>
        <w:tc>
          <w:tcPr>
            <w:tcW w:w="875" w:type="dxa"/>
            <w:vMerge w:val="continue"/>
            <w:vAlign w:val="center"/>
          </w:tcPr>
          <w:p w14:paraId="35E160AB">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17" w:type="dxa"/>
            <w:vAlign w:val="center"/>
          </w:tcPr>
          <w:p w14:paraId="17EC51B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895" w:type="dxa"/>
            <w:vMerge w:val="continue"/>
            <w:vAlign w:val="center"/>
          </w:tcPr>
          <w:p w14:paraId="6A200333">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Align w:val="center"/>
          </w:tcPr>
          <w:p w14:paraId="17EC80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867" w:type="dxa"/>
            <w:vMerge w:val="continue"/>
            <w:vAlign w:val="center"/>
          </w:tcPr>
          <w:p w14:paraId="519E762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966" w:type="dxa"/>
            <w:vMerge w:val="continue"/>
            <w:vAlign w:val="center"/>
          </w:tcPr>
          <w:p w14:paraId="1FC7FE2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017" w:type="dxa"/>
            <w:vMerge w:val="continue"/>
            <w:vAlign w:val="center"/>
          </w:tcPr>
          <w:p w14:paraId="1FD52EEA">
            <w:pPr>
              <w:spacing w:line="240" w:lineRule="auto"/>
              <w:jc w:val="center"/>
              <w:rPr>
                <w:rFonts w:hint="default" w:ascii="Times New Roman" w:hAnsi="Times New Roman" w:eastAsia="宋体" w:cs="Times New Roman"/>
                <w:color w:val="auto"/>
                <w:sz w:val="21"/>
                <w:szCs w:val="21"/>
                <w:highlight w:val="none"/>
                <w:u w:val="none" w:color="auto"/>
              </w:rPr>
            </w:pPr>
          </w:p>
        </w:tc>
      </w:tr>
      <w:tr w14:paraId="00487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7FC242CF">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900" w:type="dxa"/>
            <w:vMerge w:val="continue"/>
            <w:vAlign w:val="center"/>
          </w:tcPr>
          <w:p w14:paraId="4278BF31">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875" w:type="dxa"/>
            <w:vMerge w:val="continue"/>
            <w:vAlign w:val="center"/>
          </w:tcPr>
          <w:p w14:paraId="5F553EB4">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17" w:type="dxa"/>
            <w:vAlign w:val="center"/>
          </w:tcPr>
          <w:p w14:paraId="43B6B8C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氮氧化物</w:t>
            </w:r>
          </w:p>
        </w:tc>
        <w:tc>
          <w:tcPr>
            <w:tcW w:w="895" w:type="dxa"/>
            <w:vMerge w:val="continue"/>
            <w:vAlign w:val="center"/>
          </w:tcPr>
          <w:p w14:paraId="40DA5CBC">
            <w:pPr>
              <w:spacing w:line="240" w:lineRule="auto"/>
              <w:jc w:val="center"/>
              <w:rPr>
                <w:rFonts w:hint="default" w:ascii="Times New Roman" w:hAnsi="Times New Roman" w:eastAsia="宋体" w:cs="Times New Roman"/>
                <w:color w:val="auto"/>
                <w:sz w:val="21"/>
                <w:szCs w:val="21"/>
                <w:highlight w:val="none"/>
                <w:u w:val="none" w:color="auto"/>
              </w:rPr>
            </w:pPr>
          </w:p>
        </w:tc>
        <w:tc>
          <w:tcPr>
            <w:tcW w:w="1157" w:type="dxa"/>
            <w:vAlign w:val="center"/>
          </w:tcPr>
          <w:p w14:paraId="13047A5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0.002</w:t>
            </w:r>
          </w:p>
        </w:tc>
        <w:tc>
          <w:tcPr>
            <w:tcW w:w="867" w:type="dxa"/>
            <w:vMerge w:val="continue"/>
            <w:vAlign w:val="center"/>
          </w:tcPr>
          <w:p w14:paraId="598E9B3A">
            <w:pPr>
              <w:spacing w:line="240" w:lineRule="auto"/>
              <w:jc w:val="center"/>
              <w:rPr>
                <w:rFonts w:hint="default" w:ascii="Times New Roman" w:hAnsi="Times New Roman" w:eastAsia="宋体" w:cs="Times New Roman"/>
                <w:color w:val="auto"/>
                <w:sz w:val="21"/>
                <w:szCs w:val="21"/>
                <w:highlight w:val="none"/>
                <w:u w:val="none" w:color="auto"/>
                <w:lang w:val="en-US"/>
              </w:rPr>
            </w:pPr>
          </w:p>
        </w:tc>
        <w:tc>
          <w:tcPr>
            <w:tcW w:w="966" w:type="dxa"/>
            <w:vMerge w:val="continue"/>
            <w:vAlign w:val="center"/>
          </w:tcPr>
          <w:p w14:paraId="5B29CFC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017" w:type="dxa"/>
            <w:vMerge w:val="continue"/>
            <w:vAlign w:val="center"/>
          </w:tcPr>
          <w:p w14:paraId="68957BC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r>
      <w:tr w14:paraId="40C53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Align w:val="center"/>
          </w:tcPr>
          <w:p w14:paraId="4DD6686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烧结超硬材料</w:t>
            </w:r>
          </w:p>
        </w:tc>
        <w:tc>
          <w:tcPr>
            <w:tcW w:w="900" w:type="dxa"/>
            <w:vAlign w:val="center"/>
          </w:tcPr>
          <w:p w14:paraId="6836E27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树脂粉压制、烧结</w:t>
            </w:r>
          </w:p>
        </w:tc>
        <w:tc>
          <w:tcPr>
            <w:tcW w:w="875" w:type="dxa"/>
            <w:vAlign w:val="center"/>
          </w:tcPr>
          <w:p w14:paraId="458724E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DA007</w:t>
            </w:r>
          </w:p>
        </w:tc>
        <w:tc>
          <w:tcPr>
            <w:tcW w:w="1117" w:type="dxa"/>
            <w:vAlign w:val="center"/>
          </w:tcPr>
          <w:p w14:paraId="61478A6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非甲烷总烃</w:t>
            </w:r>
          </w:p>
        </w:tc>
        <w:tc>
          <w:tcPr>
            <w:tcW w:w="895" w:type="dxa"/>
            <w:vAlign w:val="center"/>
          </w:tcPr>
          <w:p w14:paraId="2BE1A06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rPr>
              <w:t>000</w:t>
            </w:r>
          </w:p>
        </w:tc>
        <w:tc>
          <w:tcPr>
            <w:tcW w:w="1157" w:type="dxa"/>
            <w:vAlign w:val="center"/>
          </w:tcPr>
          <w:p w14:paraId="1F049A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0.017</w:t>
            </w:r>
          </w:p>
        </w:tc>
        <w:tc>
          <w:tcPr>
            <w:tcW w:w="867" w:type="dxa"/>
            <w:vAlign w:val="center"/>
          </w:tcPr>
          <w:p w14:paraId="76392DD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lang w:val="en-US" w:eastAsia="zh-CN"/>
              </w:rPr>
              <w:t>5</w:t>
            </w:r>
          </w:p>
        </w:tc>
        <w:tc>
          <w:tcPr>
            <w:tcW w:w="966" w:type="dxa"/>
            <w:vAlign w:val="center"/>
          </w:tcPr>
          <w:p w14:paraId="0D2B74F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0.3</w:t>
            </w:r>
          </w:p>
        </w:tc>
        <w:tc>
          <w:tcPr>
            <w:tcW w:w="1017" w:type="dxa"/>
            <w:vAlign w:val="center"/>
          </w:tcPr>
          <w:p w14:paraId="1D9BD9E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333</w:t>
            </w:r>
          </w:p>
        </w:tc>
      </w:tr>
    </w:tbl>
    <w:p w14:paraId="17E0182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p>
    <w:p w14:paraId="5E6742C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p>
    <w:p w14:paraId="7FD01D0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p>
    <w:p w14:paraId="37E6E60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表2.5-</w:t>
      </w:r>
      <w:r>
        <w:rPr>
          <w:rFonts w:hint="default" w:ascii="Times New Roman" w:hAnsi="Times New Roman" w:eastAsia="宋体" w:cs="Times New Roman"/>
          <w:b/>
          <w:color w:val="auto"/>
          <w:sz w:val="21"/>
          <w:szCs w:val="21"/>
          <w:highlight w:val="none"/>
          <w:u w:val="none" w:color="auto"/>
          <w:lang w:val="en-US" w:eastAsia="zh-CN"/>
        </w:rPr>
        <w:t xml:space="preserve">4 </w:t>
      </w:r>
      <w:r>
        <w:rPr>
          <w:rFonts w:hint="default" w:ascii="Times New Roman" w:hAnsi="Times New Roman" w:eastAsia="宋体" w:cs="Times New Roman"/>
          <w:b/>
          <w:color w:val="auto"/>
          <w:sz w:val="21"/>
          <w:szCs w:val="21"/>
          <w:highlight w:val="none"/>
          <w:u w:val="none" w:color="auto"/>
        </w:rPr>
        <w:t>无组织面源源强一览表</w:t>
      </w:r>
    </w:p>
    <w:tbl>
      <w:tblPr>
        <w:tblStyle w:val="22"/>
        <w:tblW w:w="510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8"/>
        <w:gridCol w:w="1258"/>
        <w:gridCol w:w="826"/>
        <w:gridCol w:w="826"/>
        <w:gridCol w:w="859"/>
        <w:gridCol w:w="1482"/>
        <w:gridCol w:w="1168"/>
        <w:gridCol w:w="1219"/>
      </w:tblGrid>
      <w:tr w14:paraId="4442EC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restart"/>
            <w:vAlign w:val="center"/>
          </w:tcPr>
          <w:p w14:paraId="4E9F4174">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车间名称</w:t>
            </w:r>
          </w:p>
        </w:tc>
        <w:tc>
          <w:tcPr>
            <w:tcW w:w="723" w:type="pct"/>
            <w:vMerge w:val="restart"/>
            <w:vAlign w:val="center"/>
          </w:tcPr>
          <w:p w14:paraId="3E093298">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污染因子</w:t>
            </w:r>
          </w:p>
        </w:tc>
        <w:tc>
          <w:tcPr>
            <w:tcW w:w="1444" w:type="pct"/>
            <w:gridSpan w:val="3"/>
            <w:vAlign w:val="center"/>
          </w:tcPr>
          <w:p w14:paraId="1A69F069">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排放参数</w:t>
            </w:r>
          </w:p>
        </w:tc>
        <w:tc>
          <w:tcPr>
            <w:tcW w:w="1523" w:type="pct"/>
            <w:gridSpan w:val="2"/>
            <w:vAlign w:val="center"/>
          </w:tcPr>
          <w:p w14:paraId="591F4CC5">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污染物排放情况</w:t>
            </w:r>
          </w:p>
        </w:tc>
        <w:tc>
          <w:tcPr>
            <w:tcW w:w="700" w:type="pct"/>
            <w:vMerge w:val="restart"/>
            <w:vAlign w:val="center"/>
          </w:tcPr>
          <w:p w14:paraId="756CA887">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none" w:color="auto"/>
              </w:rPr>
            </w:pPr>
            <w:r>
              <w:rPr>
                <w:rFonts w:hint="default" w:ascii="Times New Roman" w:hAnsi="Times New Roman" w:eastAsia="宋体" w:cs="Times New Roman"/>
                <w:b w:val="0"/>
                <w:bCs w:val="0"/>
                <w:strike w:val="0"/>
                <w:dstrike w:val="0"/>
                <w:color w:val="auto"/>
                <w:sz w:val="21"/>
                <w:szCs w:val="21"/>
                <w:highlight w:val="none"/>
                <w:u w:val="none" w:color="auto"/>
              </w:rPr>
              <w:t>排放标准</w:t>
            </w:r>
          </w:p>
          <w:p w14:paraId="103462CD">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b w:val="0"/>
                <w:bCs w:val="0"/>
                <w:strike w:val="0"/>
                <w:dstrike w:val="0"/>
                <w:color w:val="auto"/>
                <w:sz w:val="21"/>
                <w:szCs w:val="21"/>
                <w:highlight w:val="none"/>
                <w:u w:val="none" w:color="auto"/>
              </w:rPr>
              <w:t>（mg/m</w:t>
            </w:r>
            <w:r>
              <w:rPr>
                <w:rFonts w:hint="default" w:ascii="Times New Roman" w:hAnsi="Times New Roman" w:eastAsia="宋体" w:cs="Times New Roman"/>
                <w:b w:val="0"/>
                <w:bCs w:val="0"/>
                <w:strike w:val="0"/>
                <w:dstrike w:val="0"/>
                <w:color w:val="auto"/>
                <w:sz w:val="21"/>
                <w:szCs w:val="21"/>
                <w:highlight w:val="none"/>
                <w:u w:val="none" w:color="auto"/>
                <w:vertAlign w:val="superscript"/>
              </w:rPr>
              <w:t>3</w:t>
            </w:r>
            <w:r>
              <w:rPr>
                <w:rFonts w:hint="default" w:ascii="Times New Roman" w:hAnsi="Times New Roman" w:eastAsia="宋体" w:cs="Times New Roman"/>
                <w:b w:val="0"/>
                <w:bCs w:val="0"/>
                <w:strike w:val="0"/>
                <w:dstrike w:val="0"/>
                <w:color w:val="auto"/>
                <w:sz w:val="21"/>
                <w:szCs w:val="21"/>
                <w:highlight w:val="none"/>
                <w:u w:val="none" w:color="auto"/>
              </w:rPr>
              <w:t>）</w:t>
            </w:r>
          </w:p>
        </w:tc>
      </w:tr>
      <w:tr w14:paraId="69C2C3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continue"/>
            <w:vAlign w:val="center"/>
          </w:tcPr>
          <w:p w14:paraId="084BF277">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23" w:type="pct"/>
            <w:vMerge w:val="continue"/>
            <w:vAlign w:val="center"/>
          </w:tcPr>
          <w:p w14:paraId="77EDEEBD">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75" w:type="pct"/>
            <w:vAlign w:val="center"/>
          </w:tcPr>
          <w:p w14:paraId="4354F791">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长（m）</w:t>
            </w:r>
          </w:p>
        </w:tc>
        <w:tc>
          <w:tcPr>
            <w:tcW w:w="475" w:type="pct"/>
            <w:vAlign w:val="center"/>
          </w:tcPr>
          <w:p w14:paraId="15C029E5">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宽（m）</w:t>
            </w:r>
          </w:p>
        </w:tc>
        <w:tc>
          <w:tcPr>
            <w:tcW w:w="493" w:type="pct"/>
            <w:vAlign w:val="center"/>
          </w:tcPr>
          <w:p w14:paraId="37607D48">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高（m）</w:t>
            </w:r>
          </w:p>
        </w:tc>
        <w:tc>
          <w:tcPr>
            <w:tcW w:w="852" w:type="pct"/>
            <w:vAlign w:val="center"/>
          </w:tcPr>
          <w:p w14:paraId="51A0DB3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排放量</w:t>
            </w:r>
          </w:p>
          <w:p w14:paraId="21E9E3B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（t/a）</w:t>
            </w:r>
          </w:p>
        </w:tc>
        <w:tc>
          <w:tcPr>
            <w:tcW w:w="670" w:type="pct"/>
            <w:vAlign w:val="center"/>
          </w:tcPr>
          <w:p w14:paraId="0AC5E14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排放速率（kg/h）</w:t>
            </w:r>
          </w:p>
        </w:tc>
        <w:tc>
          <w:tcPr>
            <w:tcW w:w="700" w:type="pct"/>
            <w:vMerge w:val="continue"/>
            <w:vAlign w:val="center"/>
          </w:tcPr>
          <w:p w14:paraId="7AF1F123">
            <w:pPr>
              <w:spacing w:line="240" w:lineRule="auto"/>
              <w:jc w:val="center"/>
              <w:rPr>
                <w:rFonts w:hint="default" w:ascii="Times New Roman" w:hAnsi="Times New Roman" w:eastAsia="宋体" w:cs="Times New Roman"/>
                <w:color w:val="auto"/>
                <w:sz w:val="21"/>
                <w:szCs w:val="21"/>
                <w:highlight w:val="none"/>
                <w:u w:val="none" w:color="auto"/>
              </w:rPr>
            </w:pPr>
          </w:p>
        </w:tc>
      </w:tr>
      <w:tr w14:paraId="5C76A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restart"/>
            <w:vAlign w:val="center"/>
          </w:tcPr>
          <w:p w14:paraId="0104C413">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1</w:t>
            </w:r>
            <w:r>
              <w:rPr>
                <w:rFonts w:hint="default" w:ascii="Times New Roman" w:hAnsi="Times New Roman" w:cs="Times New Roman"/>
                <w:color w:val="auto"/>
                <w:sz w:val="21"/>
                <w:szCs w:val="21"/>
                <w:highlight w:val="none"/>
                <w:u w:val="none" w:color="auto"/>
              </w:rPr>
              <w:t>#厂房</w:t>
            </w:r>
          </w:p>
        </w:tc>
        <w:tc>
          <w:tcPr>
            <w:tcW w:w="723" w:type="pct"/>
            <w:vAlign w:val="center"/>
          </w:tcPr>
          <w:p w14:paraId="13F16775">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氯化氢</w:t>
            </w:r>
          </w:p>
        </w:tc>
        <w:tc>
          <w:tcPr>
            <w:tcW w:w="475" w:type="pct"/>
            <w:vMerge w:val="restart"/>
            <w:vAlign w:val="center"/>
          </w:tcPr>
          <w:p w14:paraId="04C3E6E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59</w:t>
            </w:r>
          </w:p>
        </w:tc>
        <w:tc>
          <w:tcPr>
            <w:tcW w:w="475" w:type="pct"/>
            <w:vMerge w:val="restart"/>
            <w:vAlign w:val="center"/>
          </w:tcPr>
          <w:p w14:paraId="4ED68374">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67</w:t>
            </w:r>
          </w:p>
        </w:tc>
        <w:tc>
          <w:tcPr>
            <w:tcW w:w="493" w:type="pct"/>
            <w:vMerge w:val="restart"/>
            <w:vAlign w:val="center"/>
          </w:tcPr>
          <w:p w14:paraId="402335BF">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15</w:t>
            </w:r>
          </w:p>
        </w:tc>
        <w:tc>
          <w:tcPr>
            <w:tcW w:w="852" w:type="pct"/>
            <w:vAlign w:val="center"/>
          </w:tcPr>
          <w:p w14:paraId="5707F34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w:t>
            </w:r>
          </w:p>
        </w:tc>
        <w:tc>
          <w:tcPr>
            <w:tcW w:w="670" w:type="pct"/>
            <w:vAlign w:val="center"/>
          </w:tcPr>
          <w:p w14:paraId="3810D9AF">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700" w:type="pct"/>
            <w:vAlign w:val="center"/>
          </w:tcPr>
          <w:p w14:paraId="1F8E62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0.2</w:t>
            </w:r>
          </w:p>
        </w:tc>
      </w:tr>
      <w:tr w14:paraId="18E4D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continue"/>
            <w:vAlign w:val="center"/>
          </w:tcPr>
          <w:p w14:paraId="54B782E0">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23" w:type="pct"/>
            <w:vAlign w:val="center"/>
          </w:tcPr>
          <w:p w14:paraId="376F1B44">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硫酸雾</w:t>
            </w:r>
          </w:p>
        </w:tc>
        <w:tc>
          <w:tcPr>
            <w:tcW w:w="475" w:type="pct"/>
            <w:vMerge w:val="continue"/>
            <w:vAlign w:val="center"/>
          </w:tcPr>
          <w:p w14:paraId="50AB1C2B">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75" w:type="pct"/>
            <w:vMerge w:val="continue"/>
            <w:vAlign w:val="center"/>
          </w:tcPr>
          <w:p w14:paraId="1721463D">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93" w:type="pct"/>
            <w:vMerge w:val="continue"/>
            <w:vAlign w:val="center"/>
          </w:tcPr>
          <w:p w14:paraId="52FB9D07">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52" w:type="pct"/>
            <w:vAlign w:val="center"/>
          </w:tcPr>
          <w:p w14:paraId="49BA869D">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0.044</w:t>
            </w:r>
          </w:p>
        </w:tc>
        <w:tc>
          <w:tcPr>
            <w:tcW w:w="670" w:type="pct"/>
            <w:vAlign w:val="center"/>
          </w:tcPr>
          <w:p w14:paraId="2FC458B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w:t>
            </w:r>
          </w:p>
        </w:tc>
        <w:tc>
          <w:tcPr>
            <w:tcW w:w="700" w:type="pct"/>
            <w:vAlign w:val="center"/>
          </w:tcPr>
          <w:p w14:paraId="3706CD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1.2</w:t>
            </w:r>
          </w:p>
        </w:tc>
      </w:tr>
      <w:tr w14:paraId="5203B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continue"/>
            <w:vAlign w:val="center"/>
          </w:tcPr>
          <w:p w14:paraId="5C07F0B1">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23" w:type="pct"/>
            <w:vAlign w:val="center"/>
          </w:tcPr>
          <w:p w14:paraId="249D318D">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氮氧化物</w:t>
            </w:r>
          </w:p>
        </w:tc>
        <w:tc>
          <w:tcPr>
            <w:tcW w:w="475" w:type="pct"/>
            <w:vMerge w:val="continue"/>
            <w:vAlign w:val="center"/>
          </w:tcPr>
          <w:p w14:paraId="223CA280">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75" w:type="pct"/>
            <w:vMerge w:val="continue"/>
            <w:vAlign w:val="center"/>
          </w:tcPr>
          <w:p w14:paraId="549AF414">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93" w:type="pct"/>
            <w:vMerge w:val="continue"/>
            <w:vAlign w:val="center"/>
          </w:tcPr>
          <w:p w14:paraId="38A70D8B">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52" w:type="pct"/>
            <w:vAlign w:val="center"/>
          </w:tcPr>
          <w:p w14:paraId="6E98132C">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w:t>
            </w:r>
          </w:p>
        </w:tc>
        <w:tc>
          <w:tcPr>
            <w:tcW w:w="670" w:type="pct"/>
            <w:vAlign w:val="center"/>
          </w:tcPr>
          <w:p w14:paraId="0642B47E">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700" w:type="pct"/>
            <w:vAlign w:val="center"/>
          </w:tcPr>
          <w:p w14:paraId="41BB08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0.12</w:t>
            </w:r>
          </w:p>
        </w:tc>
      </w:tr>
      <w:tr w14:paraId="44436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continue"/>
            <w:vAlign w:val="center"/>
          </w:tcPr>
          <w:p w14:paraId="3E542A35">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23" w:type="pct"/>
            <w:vAlign w:val="center"/>
          </w:tcPr>
          <w:p w14:paraId="2ADCF040">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TSP</w:t>
            </w:r>
          </w:p>
        </w:tc>
        <w:tc>
          <w:tcPr>
            <w:tcW w:w="475" w:type="pct"/>
            <w:vMerge w:val="continue"/>
            <w:vAlign w:val="center"/>
          </w:tcPr>
          <w:p w14:paraId="35797DC1">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75" w:type="pct"/>
            <w:vMerge w:val="continue"/>
            <w:vAlign w:val="center"/>
          </w:tcPr>
          <w:p w14:paraId="55B8CE49">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93" w:type="pct"/>
            <w:vMerge w:val="continue"/>
            <w:vAlign w:val="center"/>
          </w:tcPr>
          <w:p w14:paraId="5910765B">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52" w:type="pct"/>
            <w:vAlign w:val="center"/>
          </w:tcPr>
          <w:p w14:paraId="3FEB74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0.825</w:t>
            </w:r>
          </w:p>
        </w:tc>
        <w:tc>
          <w:tcPr>
            <w:tcW w:w="670" w:type="pct"/>
            <w:vAlign w:val="center"/>
          </w:tcPr>
          <w:p w14:paraId="06FA7D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0.115</w:t>
            </w:r>
          </w:p>
        </w:tc>
        <w:tc>
          <w:tcPr>
            <w:tcW w:w="700" w:type="pct"/>
            <w:vAlign w:val="center"/>
          </w:tcPr>
          <w:p w14:paraId="7BE5A5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w:t>
            </w:r>
          </w:p>
        </w:tc>
      </w:tr>
      <w:tr w14:paraId="5740A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restart"/>
            <w:vAlign w:val="center"/>
          </w:tcPr>
          <w:p w14:paraId="2BB0D470">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2</w:t>
            </w:r>
            <w:r>
              <w:rPr>
                <w:rFonts w:hint="default" w:ascii="Times New Roman" w:hAnsi="Times New Roman" w:cs="Times New Roman"/>
                <w:color w:val="auto"/>
                <w:sz w:val="21"/>
                <w:szCs w:val="21"/>
                <w:highlight w:val="none"/>
                <w:u w:val="none" w:color="auto"/>
              </w:rPr>
              <w:t>#厂房</w:t>
            </w:r>
          </w:p>
        </w:tc>
        <w:tc>
          <w:tcPr>
            <w:tcW w:w="723" w:type="pct"/>
            <w:vAlign w:val="center"/>
          </w:tcPr>
          <w:p w14:paraId="7943CA41">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氯化氢</w:t>
            </w:r>
          </w:p>
        </w:tc>
        <w:tc>
          <w:tcPr>
            <w:tcW w:w="475" w:type="pct"/>
            <w:vMerge w:val="restart"/>
            <w:vAlign w:val="center"/>
          </w:tcPr>
          <w:p w14:paraId="2629F8C4">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59</w:t>
            </w:r>
          </w:p>
        </w:tc>
        <w:tc>
          <w:tcPr>
            <w:tcW w:w="475" w:type="pct"/>
            <w:vMerge w:val="restart"/>
            <w:vAlign w:val="center"/>
          </w:tcPr>
          <w:p w14:paraId="788AB344">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67</w:t>
            </w:r>
          </w:p>
        </w:tc>
        <w:tc>
          <w:tcPr>
            <w:tcW w:w="493" w:type="pct"/>
            <w:vMerge w:val="restart"/>
            <w:vAlign w:val="center"/>
          </w:tcPr>
          <w:p w14:paraId="736AC0F2">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15</w:t>
            </w:r>
          </w:p>
        </w:tc>
        <w:tc>
          <w:tcPr>
            <w:tcW w:w="852" w:type="pct"/>
            <w:vAlign w:val="center"/>
          </w:tcPr>
          <w:p w14:paraId="3EA5608E">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w:t>
            </w:r>
          </w:p>
        </w:tc>
        <w:tc>
          <w:tcPr>
            <w:tcW w:w="670" w:type="pct"/>
            <w:vAlign w:val="center"/>
          </w:tcPr>
          <w:p w14:paraId="07DAAB67">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700" w:type="pct"/>
            <w:vAlign w:val="center"/>
          </w:tcPr>
          <w:p w14:paraId="33EA83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0.2</w:t>
            </w:r>
          </w:p>
        </w:tc>
      </w:tr>
      <w:tr w14:paraId="16196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continue"/>
            <w:vAlign w:val="center"/>
          </w:tcPr>
          <w:p w14:paraId="4D0A03D2">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23" w:type="pct"/>
            <w:vAlign w:val="center"/>
          </w:tcPr>
          <w:p w14:paraId="0A054BFE">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eastAsia="zh-CN"/>
              </w:rPr>
              <w:t>硫酸雾</w:t>
            </w:r>
          </w:p>
        </w:tc>
        <w:tc>
          <w:tcPr>
            <w:tcW w:w="475" w:type="pct"/>
            <w:vMerge w:val="continue"/>
            <w:vAlign w:val="center"/>
          </w:tcPr>
          <w:p w14:paraId="5E83B21C">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75" w:type="pct"/>
            <w:vMerge w:val="continue"/>
            <w:vAlign w:val="center"/>
          </w:tcPr>
          <w:p w14:paraId="10525A37">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93" w:type="pct"/>
            <w:vMerge w:val="continue"/>
            <w:vAlign w:val="center"/>
          </w:tcPr>
          <w:p w14:paraId="019F63BF">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52" w:type="pct"/>
            <w:vAlign w:val="center"/>
          </w:tcPr>
          <w:p w14:paraId="006F212B">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0.026</w:t>
            </w:r>
          </w:p>
        </w:tc>
        <w:tc>
          <w:tcPr>
            <w:tcW w:w="670" w:type="pct"/>
            <w:vAlign w:val="center"/>
          </w:tcPr>
          <w:p w14:paraId="005095D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0.004</w:t>
            </w:r>
          </w:p>
        </w:tc>
        <w:tc>
          <w:tcPr>
            <w:tcW w:w="700" w:type="pct"/>
            <w:vAlign w:val="center"/>
          </w:tcPr>
          <w:p w14:paraId="4312CA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1.2</w:t>
            </w:r>
          </w:p>
        </w:tc>
      </w:tr>
      <w:tr w14:paraId="121207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continue"/>
            <w:vAlign w:val="center"/>
          </w:tcPr>
          <w:p w14:paraId="0770AFC5">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23" w:type="pct"/>
            <w:vAlign w:val="center"/>
          </w:tcPr>
          <w:p w14:paraId="19B0187C">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氮氧化物</w:t>
            </w:r>
          </w:p>
        </w:tc>
        <w:tc>
          <w:tcPr>
            <w:tcW w:w="475" w:type="pct"/>
            <w:vMerge w:val="continue"/>
            <w:vAlign w:val="center"/>
          </w:tcPr>
          <w:p w14:paraId="34CC3FFC">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75" w:type="pct"/>
            <w:vMerge w:val="continue"/>
            <w:vAlign w:val="center"/>
          </w:tcPr>
          <w:p w14:paraId="6D4C22F5">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93" w:type="pct"/>
            <w:vMerge w:val="continue"/>
            <w:vAlign w:val="center"/>
          </w:tcPr>
          <w:p w14:paraId="784F1AEA">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52" w:type="pct"/>
            <w:vAlign w:val="center"/>
          </w:tcPr>
          <w:p w14:paraId="2A7D203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0.016</w:t>
            </w:r>
          </w:p>
        </w:tc>
        <w:tc>
          <w:tcPr>
            <w:tcW w:w="670" w:type="pct"/>
            <w:vAlign w:val="center"/>
          </w:tcPr>
          <w:p w14:paraId="0CBB8420">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0.002</w:t>
            </w:r>
          </w:p>
        </w:tc>
        <w:tc>
          <w:tcPr>
            <w:tcW w:w="700" w:type="pct"/>
            <w:vAlign w:val="center"/>
          </w:tcPr>
          <w:p w14:paraId="737B0A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0.12</w:t>
            </w:r>
          </w:p>
        </w:tc>
      </w:tr>
      <w:tr w14:paraId="542EB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continue"/>
            <w:vAlign w:val="center"/>
          </w:tcPr>
          <w:p w14:paraId="74D15E21">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23" w:type="pct"/>
            <w:vAlign w:val="center"/>
          </w:tcPr>
          <w:p w14:paraId="04E09A72">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非甲烷总烃</w:t>
            </w:r>
          </w:p>
        </w:tc>
        <w:tc>
          <w:tcPr>
            <w:tcW w:w="475" w:type="pct"/>
            <w:vMerge w:val="continue"/>
            <w:vAlign w:val="center"/>
          </w:tcPr>
          <w:p w14:paraId="5A13F7E2">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75" w:type="pct"/>
            <w:vMerge w:val="continue"/>
            <w:vAlign w:val="center"/>
          </w:tcPr>
          <w:p w14:paraId="3A87F637">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93" w:type="pct"/>
            <w:vMerge w:val="continue"/>
            <w:vAlign w:val="center"/>
          </w:tcPr>
          <w:p w14:paraId="3978E883">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52" w:type="pct"/>
            <w:vAlign w:val="center"/>
          </w:tcPr>
          <w:p w14:paraId="2E9CCFE6">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0.011</w:t>
            </w:r>
          </w:p>
        </w:tc>
        <w:tc>
          <w:tcPr>
            <w:tcW w:w="670" w:type="pct"/>
            <w:vAlign w:val="center"/>
          </w:tcPr>
          <w:p w14:paraId="7A8D5298">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0.005</w:t>
            </w:r>
          </w:p>
        </w:tc>
        <w:tc>
          <w:tcPr>
            <w:tcW w:w="700" w:type="pct"/>
            <w:vAlign w:val="center"/>
          </w:tcPr>
          <w:p w14:paraId="29B3012D">
            <w:pPr>
              <w:pStyle w:val="34"/>
              <w:spacing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4.0</w:t>
            </w:r>
          </w:p>
        </w:tc>
      </w:tr>
      <w:tr w14:paraId="1B4C9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08" w:type="pct"/>
            <w:vMerge w:val="continue"/>
            <w:vAlign w:val="center"/>
          </w:tcPr>
          <w:p w14:paraId="2EEBEB3F">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723" w:type="pct"/>
            <w:vAlign w:val="center"/>
          </w:tcPr>
          <w:p w14:paraId="1DDD86C1">
            <w:pPr>
              <w:pStyle w:val="34"/>
              <w:spacing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TSP</w:t>
            </w:r>
          </w:p>
        </w:tc>
        <w:tc>
          <w:tcPr>
            <w:tcW w:w="475" w:type="pct"/>
            <w:vMerge w:val="continue"/>
            <w:vAlign w:val="center"/>
          </w:tcPr>
          <w:p w14:paraId="5EBE62A6">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75" w:type="pct"/>
            <w:vMerge w:val="continue"/>
            <w:vAlign w:val="center"/>
          </w:tcPr>
          <w:p w14:paraId="6D90271A">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93" w:type="pct"/>
            <w:vMerge w:val="continue"/>
            <w:vAlign w:val="center"/>
          </w:tcPr>
          <w:p w14:paraId="60C2C375">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852" w:type="pct"/>
            <w:vAlign w:val="center"/>
          </w:tcPr>
          <w:p w14:paraId="7D9012CC">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0.825</w:t>
            </w:r>
          </w:p>
        </w:tc>
        <w:tc>
          <w:tcPr>
            <w:tcW w:w="670" w:type="pct"/>
            <w:vAlign w:val="center"/>
          </w:tcPr>
          <w:p w14:paraId="007F7EC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0.115</w:t>
            </w:r>
          </w:p>
        </w:tc>
        <w:tc>
          <w:tcPr>
            <w:tcW w:w="700" w:type="pct"/>
            <w:vAlign w:val="center"/>
          </w:tcPr>
          <w:p w14:paraId="44D380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w:t>
            </w:r>
          </w:p>
        </w:tc>
      </w:tr>
    </w:tbl>
    <w:p w14:paraId="344E954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AERSCREE模型估算各污染源最大落地浓度及占标率统计结果详见下表：</w:t>
      </w:r>
    </w:p>
    <w:p w14:paraId="6239AA5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single" w:color="auto"/>
        </w:rPr>
      </w:pPr>
      <w:r>
        <w:rPr>
          <w:rFonts w:hint="default" w:ascii="Times New Roman" w:hAnsi="Times New Roman" w:eastAsia="宋体" w:cs="Times New Roman"/>
          <w:b/>
          <w:color w:val="auto"/>
          <w:sz w:val="21"/>
          <w:szCs w:val="21"/>
          <w:highlight w:val="none"/>
          <w:u w:val="single" w:color="auto"/>
        </w:rPr>
        <w:t>表2.5-5本项目各污染源主要污染物预测结果统计表</w:t>
      </w:r>
    </w:p>
    <w:tbl>
      <w:tblPr>
        <w:tblStyle w:val="22"/>
        <w:tblW w:w="87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699"/>
        <w:gridCol w:w="1773"/>
        <w:gridCol w:w="1773"/>
        <w:gridCol w:w="1773"/>
      </w:tblGrid>
      <w:tr w14:paraId="7BA1C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Align w:val="center"/>
          </w:tcPr>
          <w:p w14:paraId="1BDC1A6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排气筒编号</w:t>
            </w:r>
          </w:p>
        </w:tc>
        <w:tc>
          <w:tcPr>
            <w:tcW w:w="1699" w:type="dxa"/>
            <w:vAlign w:val="center"/>
          </w:tcPr>
          <w:p w14:paraId="538D178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污染物</w:t>
            </w:r>
          </w:p>
        </w:tc>
        <w:tc>
          <w:tcPr>
            <w:tcW w:w="1773" w:type="dxa"/>
            <w:vAlign w:val="center"/>
          </w:tcPr>
          <w:p w14:paraId="23E2E3A4">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kern w:val="0"/>
                <w:sz w:val="21"/>
                <w:szCs w:val="21"/>
                <w:highlight w:val="none"/>
                <w:u w:val="single" w:color="auto"/>
              </w:rPr>
              <w:t>下风向最大预测浓度（</w:t>
            </w:r>
            <w:r>
              <w:rPr>
                <w:rFonts w:hint="default" w:ascii="Times New Roman" w:hAnsi="Times New Roman" w:eastAsia="宋体" w:cs="Times New Roman"/>
                <w:b w:val="0"/>
                <w:bCs w:val="0"/>
                <w:strike w:val="0"/>
                <w:dstrike w:val="0"/>
                <w:color w:val="auto"/>
                <w:kern w:val="0"/>
                <w:sz w:val="21"/>
                <w:szCs w:val="21"/>
                <w:highlight w:val="none"/>
                <w:u w:val="single" w:color="auto"/>
                <w:lang w:eastAsia="zh-CN"/>
              </w:rPr>
              <w:t>μ</w:t>
            </w:r>
            <w:r>
              <w:rPr>
                <w:rFonts w:hint="default" w:ascii="Times New Roman" w:hAnsi="Times New Roman" w:eastAsia="宋体" w:cs="Times New Roman"/>
                <w:b w:val="0"/>
                <w:bCs w:val="0"/>
                <w:strike w:val="0"/>
                <w:dstrike w:val="0"/>
                <w:color w:val="auto"/>
                <w:kern w:val="0"/>
                <w:sz w:val="21"/>
                <w:szCs w:val="21"/>
                <w:highlight w:val="none"/>
                <w:u w:val="single" w:color="auto"/>
              </w:rPr>
              <w:t>g/m</w:t>
            </w:r>
            <w:r>
              <w:rPr>
                <w:rFonts w:hint="default" w:ascii="Times New Roman" w:hAnsi="Times New Roman" w:eastAsia="宋体" w:cs="Times New Roman"/>
                <w:b w:val="0"/>
                <w:bCs w:val="0"/>
                <w:strike w:val="0"/>
                <w:dstrike w:val="0"/>
                <w:color w:val="auto"/>
                <w:kern w:val="0"/>
                <w:sz w:val="21"/>
                <w:szCs w:val="21"/>
                <w:highlight w:val="none"/>
                <w:u w:val="single" w:color="auto"/>
                <w:vertAlign w:val="superscript"/>
              </w:rPr>
              <w:t>3</w:t>
            </w:r>
            <w:r>
              <w:rPr>
                <w:rFonts w:hint="default" w:ascii="Times New Roman" w:hAnsi="Times New Roman" w:eastAsia="宋体" w:cs="Times New Roman"/>
                <w:b w:val="0"/>
                <w:bCs w:val="0"/>
                <w:strike w:val="0"/>
                <w:dstrike w:val="0"/>
                <w:color w:val="auto"/>
                <w:kern w:val="0"/>
                <w:sz w:val="21"/>
                <w:szCs w:val="21"/>
                <w:highlight w:val="none"/>
                <w:u w:val="single" w:color="auto"/>
              </w:rPr>
              <w:t>）</w:t>
            </w:r>
          </w:p>
        </w:tc>
        <w:tc>
          <w:tcPr>
            <w:tcW w:w="1773" w:type="dxa"/>
            <w:vAlign w:val="center"/>
          </w:tcPr>
          <w:p w14:paraId="52F75983">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kern w:val="0"/>
                <w:sz w:val="21"/>
                <w:szCs w:val="21"/>
                <w:highlight w:val="none"/>
                <w:u w:val="single" w:color="auto"/>
              </w:rPr>
              <w:t>最大落地浓度占标率（%）</w:t>
            </w:r>
          </w:p>
        </w:tc>
        <w:tc>
          <w:tcPr>
            <w:tcW w:w="1773" w:type="dxa"/>
            <w:vAlign w:val="center"/>
          </w:tcPr>
          <w:p w14:paraId="0F1CEFC0">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kern w:val="0"/>
                <w:sz w:val="21"/>
                <w:szCs w:val="21"/>
                <w:highlight w:val="none"/>
                <w:u w:val="single" w:color="auto"/>
              </w:rPr>
              <w:t>最大预测浓度距源下风向距离（m）</w:t>
            </w:r>
          </w:p>
        </w:tc>
      </w:tr>
      <w:tr w14:paraId="16DD6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Align w:val="center"/>
          </w:tcPr>
          <w:p w14:paraId="1780C15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DA001</w:t>
            </w:r>
          </w:p>
        </w:tc>
        <w:tc>
          <w:tcPr>
            <w:tcW w:w="1699" w:type="dxa"/>
            <w:vAlign w:val="center"/>
          </w:tcPr>
          <w:p w14:paraId="32153EC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1773" w:type="dxa"/>
            <w:vAlign w:val="center"/>
          </w:tcPr>
          <w:p w14:paraId="0939D31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0.29885</w:t>
            </w:r>
          </w:p>
        </w:tc>
        <w:tc>
          <w:tcPr>
            <w:tcW w:w="1773" w:type="dxa"/>
            <w:vAlign w:val="center"/>
          </w:tcPr>
          <w:p w14:paraId="61DBBD8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0.12</w:t>
            </w:r>
          </w:p>
        </w:tc>
        <w:tc>
          <w:tcPr>
            <w:tcW w:w="1773" w:type="dxa"/>
            <w:vAlign w:val="center"/>
          </w:tcPr>
          <w:p w14:paraId="006468C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665</w:t>
            </w:r>
          </w:p>
        </w:tc>
      </w:tr>
      <w:tr w14:paraId="6EFBC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7144EAE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DA002</w:t>
            </w:r>
          </w:p>
        </w:tc>
        <w:tc>
          <w:tcPr>
            <w:tcW w:w="1699" w:type="dxa"/>
            <w:vAlign w:val="center"/>
          </w:tcPr>
          <w:p w14:paraId="6C5D65A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6109047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0.00294</w:t>
            </w:r>
          </w:p>
        </w:tc>
        <w:tc>
          <w:tcPr>
            <w:tcW w:w="1773" w:type="dxa"/>
            <w:vAlign w:val="center"/>
          </w:tcPr>
          <w:p w14:paraId="3DF3B21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0.01</w:t>
            </w:r>
          </w:p>
        </w:tc>
        <w:tc>
          <w:tcPr>
            <w:tcW w:w="1773" w:type="dxa"/>
            <w:vMerge w:val="restart"/>
            <w:vAlign w:val="center"/>
          </w:tcPr>
          <w:p w14:paraId="6F33483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673</w:t>
            </w:r>
          </w:p>
        </w:tc>
      </w:tr>
      <w:tr w14:paraId="18659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78E26D37">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45E9E23E">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592E845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0.29402</w:t>
            </w:r>
          </w:p>
        </w:tc>
        <w:tc>
          <w:tcPr>
            <w:tcW w:w="1773" w:type="dxa"/>
            <w:vAlign w:val="center"/>
          </w:tcPr>
          <w:p w14:paraId="2CD5F8E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w:t>
            </w:r>
          </w:p>
        </w:tc>
        <w:tc>
          <w:tcPr>
            <w:tcW w:w="1773" w:type="dxa"/>
            <w:vMerge w:val="continue"/>
            <w:vAlign w:val="center"/>
          </w:tcPr>
          <w:p w14:paraId="6A796F97">
            <w:pPr>
              <w:spacing w:line="240" w:lineRule="auto"/>
              <w:jc w:val="center"/>
              <w:rPr>
                <w:rFonts w:hint="default" w:ascii="Times New Roman" w:hAnsi="Times New Roman" w:eastAsia="宋体" w:cs="Times New Roman"/>
                <w:color w:val="auto"/>
                <w:sz w:val="21"/>
                <w:szCs w:val="21"/>
                <w:highlight w:val="none"/>
                <w:u w:val="single" w:color="auto"/>
              </w:rPr>
            </w:pPr>
          </w:p>
        </w:tc>
      </w:tr>
      <w:tr w14:paraId="440F9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4CFDB59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DA003</w:t>
            </w:r>
          </w:p>
        </w:tc>
        <w:tc>
          <w:tcPr>
            <w:tcW w:w="1699" w:type="dxa"/>
            <w:vAlign w:val="center"/>
          </w:tcPr>
          <w:p w14:paraId="6BCE3B1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571224D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0.001298</w:t>
            </w:r>
          </w:p>
        </w:tc>
        <w:tc>
          <w:tcPr>
            <w:tcW w:w="1773" w:type="dxa"/>
            <w:vAlign w:val="center"/>
          </w:tcPr>
          <w:p w14:paraId="58547BB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0.003</w:t>
            </w:r>
          </w:p>
        </w:tc>
        <w:tc>
          <w:tcPr>
            <w:tcW w:w="1773" w:type="dxa"/>
            <w:vMerge w:val="restart"/>
            <w:vAlign w:val="center"/>
          </w:tcPr>
          <w:p w14:paraId="26F6B22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721</w:t>
            </w:r>
          </w:p>
        </w:tc>
      </w:tr>
      <w:tr w14:paraId="2D9F7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19EC29CF">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5DA9173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5D170C9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0.25954</w:t>
            </w:r>
          </w:p>
        </w:tc>
        <w:tc>
          <w:tcPr>
            <w:tcW w:w="1773" w:type="dxa"/>
            <w:vAlign w:val="center"/>
          </w:tcPr>
          <w:p w14:paraId="675008F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0.09</w:t>
            </w:r>
          </w:p>
        </w:tc>
        <w:tc>
          <w:tcPr>
            <w:tcW w:w="1773" w:type="dxa"/>
            <w:vMerge w:val="continue"/>
            <w:vAlign w:val="center"/>
          </w:tcPr>
          <w:p w14:paraId="529FD39B">
            <w:pPr>
              <w:spacing w:line="240" w:lineRule="auto"/>
              <w:jc w:val="center"/>
              <w:rPr>
                <w:rFonts w:hint="default" w:ascii="Times New Roman" w:hAnsi="Times New Roman" w:eastAsia="宋体" w:cs="Times New Roman"/>
                <w:color w:val="auto"/>
                <w:sz w:val="21"/>
                <w:szCs w:val="21"/>
                <w:highlight w:val="none"/>
                <w:u w:val="single" w:color="auto"/>
              </w:rPr>
            </w:pPr>
          </w:p>
        </w:tc>
      </w:tr>
      <w:tr w14:paraId="3AA30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699EADA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DA004</w:t>
            </w:r>
          </w:p>
        </w:tc>
        <w:tc>
          <w:tcPr>
            <w:tcW w:w="1699" w:type="dxa"/>
            <w:vAlign w:val="center"/>
          </w:tcPr>
          <w:p w14:paraId="716BF48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2B09638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0.000801</w:t>
            </w:r>
          </w:p>
        </w:tc>
        <w:tc>
          <w:tcPr>
            <w:tcW w:w="1773" w:type="dxa"/>
            <w:vAlign w:val="center"/>
          </w:tcPr>
          <w:p w14:paraId="002C9AD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0.002</w:t>
            </w:r>
          </w:p>
        </w:tc>
        <w:tc>
          <w:tcPr>
            <w:tcW w:w="1773" w:type="dxa"/>
            <w:vMerge w:val="restart"/>
            <w:vAlign w:val="center"/>
          </w:tcPr>
          <w:p w14:paraId="1F141D1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677</w:t>
            </w:r>
          </w:p>
        </w:tc>
      </w:tr>
      <w:tr w14:paraId="3413B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2429E4F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5D272220">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7E5340E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0.106749</w:t>
            </w:r>
          </w:p>
        </w:tc>
        <w:tc>
          <w:tcPr>
            <w:tcW w:w="1773" w:type="dxa"/>
            <w:vAlign w:val="center"/>
          </w:tcPr>
          <w:p w14:paraId="1820DD1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0.04</w:t>
            </w:r>
          </w:p>
        </w:tc>
        <w:tc>
          <w:tcPr>
            <w:tcW w:w="1773" w:type="dxa"/>
            <w:vMerge w:val="continue"/>
            <w:vAlign w:val="center"/>
          </w:tcPr>
          <w:p w14:paraId="48A43AB4">
            <w:pPr>
              <w:spacing w:line="240" w:lineRule="auto"/>
              <w:jc w:val="center"/>
              <w:rPr>
                <w:rFonts w:hint="default" w:ascii="Times New Roman" w:hAnsi="Times New Roman" w:eastAsia="宋体" w:cs="Times New Roman"/>
                <w:color w:val="auto"/>
                <w:sz w:val="21"/>
                <w:szCs w:val="21"/>
                <w:highlight w:val="none"/>
                <w:u w:val="single" w:color="auto"/>
              </w:rPr>
            </w:pPr>
          </w:p>
        </w:tc>
      </w:tr>
      <w:tr w14:paraId="2585C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4EEC5AA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DA005</w:t>
            </w:r>
          </w:p>
        </w:tc>
        <w:tc>
          <w:tcPr>
            <w:tcW w:w="1699" w:type="dxa"/>
            <w:vAlign w:val="center"/>
          </w:tcPr>
          <w:p w14:paraId="5CE9D0E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2E374BB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0.087716</w:t>
            </w:r>
          </w:p>
        </w:tc>
        <w:tc>
          <w:tcPr>
            <w:tcW w:w="1773" w:type="dxa"/>
            <w:vAlign w:val="center"/>
          </w:tcPr>
          <w:p w14:paraId="1C1E1EB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0.18</w:t>
            </w:r>
          </w:p>
        </w:tc>
        <w:tc>
          <w:tcPr>
            <w:tcW w:w="1773" w:type="dxa"/>
            <w:vMerge w:val="restart"/>
            <w:vAlign w:val="center"/>
          </w:tcPr>
          <w:p w14:paraId="0ECD10A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631</w:t>
            </w:r>
          </w:p>
        </w:tc>
      </w:tr>
      <w:tr w14:paraId="428F0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140A17E6">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1EE50A9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22EA88B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0.029239</w:t>
            </w:r>
          </w:p>
        </w:tc>
        <w:tc>
          <w:tcPr>
            <w:tcW w:w="1773" w:type="dxa"/>
            <w:vAlign w:val="center"/>
          </w:tcPr>
          <w:p w14:paraId="42D86B9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0.01</w:t>
            </w:r>
          </w:p>
        </w:tc>
        <w:tc>
          <w:tcPr>
            <w:tcW w:w="1773" w:type="dxa"/>
            <w:vMerge w:val="continue"/>
            <w:vAlign w:val="center"/>
          </w:tcPr>
          <w:p w14:paraId="67E5AC51">
            <w:pPr>
              <w:spacing w:line="240" w:lineRule="auto"/>
              <w:jc w:val="center"/>
              <w:rPr>
                <w:rFonts w:hint="default" w:ascii="Times New Roman" w:hAnsi="Times New Roman" w:eastAsia="宋体" w:cs="Times New Roman"/>
                <w:color w:val="auto"/>
                <w:sz w:val="21"/>
                <w:szCs w:val="21"/>
                <w:highlight w:val="none"/>
                <w:u w:val="single" w:color="auto"/>
              </w:rPr>
            </w:pPr>
          </w:p>
        </w:tc>
      </w:tr>
      <w:tr w14:paraId="603F1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5E9B07ED">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14AD698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1773" w:type="dxa"/>
            <w:vAlign w:val="center"/>
          </w:tcPr>
          <w:p w14:paraId="6AC13D0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0.58477</w:t>
            </w:r>
          </w:p>
        </w:tc>
        <w:tc>
          <w:tcPr>
            <w:tcW w:w="1773" w:type="dxa"/>
            <w:vAlign w:val="center"/>
          </w:tcPr>
          <w:p w14:paraId="647AD21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0.23</w:t>
            </w:r>
          </w:p>
        </w:tc>
        <w:tc>
          <w:tcPr>
            <w:tcW w:w="1773" w:type="dxa"/>
            <w:vMerge w:val="continue"/>
            <w:vAlign w:val="center"/>
          </w:tcPr>
          <w:p w14:paraId="390A0CFB">
            <w:pPr>
              <w:spacing w:line="240" w:lineRule="auto"/>
              <w:jc w:val="center"/>
              <w:rPr>
                <w:rFonts w:hint="default" w:ascii="Times New Roman" w:hAnsi="Times New Roman" w:eastAsia="宋体" w:cs="Times New Roman"/>
                <w:color w:val="auto"/>
                <w:sz w:val="21"/>
                <w:szCs w:val="21"/>
                <w:highlight w:val="none"/>
                <w:u w:val="single" w:color="auto"/>
              </w:rPr>
            </w:pPr>
          </w:p>
        </w:tc>
      </w:tr>
      <w:tr w14:paraId="64F65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5C14DA1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DA006</w:t>
            </w:r>
          </w:p>
        </w:tc>
        <w:tc>
          <w:tcPr>
            <w:tcW w:w="1699" w:type="dxa"/>
            <w:vAlign w:val="center"/>
          </w:tcPr>
          <w:p w14:paraId="3F930949">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18BC3A2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0.084828</w:t>
            </w:r>
          </w:p>
        </w:tc>
        <w:tc>
          <w:tcPr>
            <w:tcW w:w="1773" w:type="dxa"/>
            <w:vAlign w:val="center"/>
          </w:tcPr>
          <w:p w14:paraId="3131ADF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0.17</w:t>
            </w:r>
          </w:p>
        </w:tc>
        <w:tc>
          <w:tcPr>
            <w:tcW w:w="1773" w:type="dxa"/>
            <w:vMerge w:val="restart"/>
            <w:vAlign w:val="center"/>
          </w:tcPr>
          <w:p w14:paraId="1D4061C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648</w:t>
            </w:r>
          </w:p>
        </w:tc>
      </w:tr>
      <w:tr w14:paraId="65E3C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6083433F">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05ED2B5E">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61DDC2A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0.084828</w:t>
            </w:r>
          </w:p>
        </w:tc>
        <w:tc>
          <w:tcPr>
            <w:tcW w:w="1773" w:type="dxa"/>
            <w:vAlign w:val="center"/>
          </w:tcPr>
          <w:p w14:paraId="7380F8E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0.03</w:t>
            </w:r>
          </w:p>
        </w:tc>
        <w:tc>
          <w:tcPr>
            <w:tcW w:w="1773" w:type="dxa"/>
            <w:vMerge w:val="continue"/>
            <w:vAlign w:val="center"/>
          </w:tcPr>
          <w:p w14:paraId="7DE03367">
            <w:pPr>
              <w:spacing w:line="240" w:lineRule="auto"/>
              <w:jc w:val="center"/>
              <w:rPr>
                <w:rFonts w:hint="default" w:ascii="Times New Roman" w:hAnsi="Times New Roman" w:eastAsia="宋体" w:cs="Times New Roman"/>
                <w:color w:val="auto"/>
                <w:sz w:val="21"/>
                <w:szCs w:val="21"/>
                <w:highlight w:val="none"/>
                <w:u w:val="single" w:color="auto"/>
              </w:rPr>
            </w:pPr>
          </w:p>
        </w:tc>
      </w:tr>
      <w:tr w14:paraId="49EEF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2CB2170A">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7BF822EA">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1773" w:type="dxa"/>
            <w:vAlign w:val="center"/>
          </w:tcPr>
          <w:p w14:paraId="1FCCE814">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0.56552</w:t>
            </w:r>
          </w:p>
        </w:tc>
        <w:tc>
          <w:tcPr>
            <w:tcW w:w="1773" w:type="dxa"/>
            <w:vAlign w:val="center"/>
          </w:tcPr>
          <w:p w14:paraId="3C5E655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0.23</w:t>
            </w:r>
          </w:p>
        </w:tc>
        <w:tc>
          <w:tcPr>
            <w:tcW w:w="1773" w:type="dxa"/>
            <w:vMerge w:val="continue"/>
            <w:vAlign w:val="center"/>
          </w:tcPr>
          <w:p w14:paraId="44BB0148">
            <w:pPr>
              <w:spacing w:line="240" w:lineRule="auto"/>
              <w:jc w:val="center"/>
              <w:rPr>
                <w:rFonts w:hint="default" w:ascii="Times New Roman" w:hAnsi="Times New Roman" w:eastAsia="宋体" w:cs="Times New Roman"/>
                <w:color w:val="auto"/>
                <w:sz w:val="21"/>
                <w:szCs w:val="21"/>
                <w:highlight w:val="none"/>
                <w:u w:val="single" w:color="auto"/>
              </w:rPr>
            </w:pPr>
          </w:p>
        </w:tc>
      </w:tr>
      <w:tr w14:paraId="76422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Align w:val="center"/>
          </w:tcPr>
          <w:p w14:paraId="684C2D0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DA007</w:t>
            </w:r>
          </w:p>
        </w:tc>
        <w:tc>
          <w:tcPr>
            <w:tcW w:w="1699" w:type="dxa"/>
            <w:vAlign w:val="center"/>
          </w:tcPr>
          <w:p w14:paraId="51778C1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非甲烷总烃</w:t>
            </w:r>
          </w:p>
        </w:tc>
        <w:tc>
          <w:tcPr>
            <w:tcW w:w="1773" w:type="dxa"/>
            <w:vAlign w:val="center"/>
          </w:tcPr>
          <w:p w14:paraId="79053E84">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5.2926</w:t>
            </w:r>
          </w:p>
        </w:tc>
        <w:tc>
          <w:tcPr>
            <w:tcW w:w="1773" w:type="dxa"/>
            <w:vAlign w:val="center"/>
          </w:tcPr>
          <w:p w14:paraId="7CE27C9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0.44</w:t>
            </w:r>
          </w:p>
        </w:tc>
        <w:tc>
          <w:tcPr>
            <w:tcW w:w="1773" w:type="dxa"/>
            <w:vAlign w:val="center"/>
          </w:tcPr>
          <w:p w14:paraId="5F8B228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629</w:t>
            </w:r>
          </w:p>
        </w:tc>
      </w:tr>
      <w:tr w14:paraId="68E2B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569AD32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1#厂房</w:t>
            </w:r>
          </w:p>
        </w:tc>
        <w:tc>
          <w:tcPr>
            <w:tcW w:w="1699" w:type="dxa"/>
            <w:vAlign w:val="center"/>
          </w:tcPr>
          <w:p w14:paraId="211E8296">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rPr>
              <w:t>氯化氢</w:t>
            </w:r>
          </w:p>
        </w:tc>
        <w:tc>
          <w:tcPr>
            <w:tcW w:w="1773" w:type="dxa"/>
            <w:vAlign w:val="center"/>
          </w:tcPr>
          <w:p w14:paraId="437C369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0.313887</w:t>
            </w:r>
          </w:p>
        </w:tc>
        <w:tc>
          <w:tcPr>
            <w:tcW w:w="1773" w:type="dxa"/>
            <w:vAlign w:val="center"/>
          </w:tcPr>
          <w:p w14:paraId="065E52A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0.63</w:t>
            </w:r>
          </w:p>
        </w:tc>
        <w:tc>
          <w:tcPr>
            <w:tcW w:w="1773" w:type="dxa"/>
            <w:vMerge w:val="restart"/>
            <w:vAlign w:val="center"/>
          </w:tcPr>
          <w:p w14:paraId="7226BA4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47</w:t>
            </w:r>
          </w:p>
        </w:tc>
      </w:tr>
      <w:tr w14:paraId="1CACD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4B63E82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0836C5DD">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eastAsia="zh-CN"/>
              </w:rPr>
              <w:t>硫酸雾</w:t>
            </w:r>
          </w:p>
        </w:tc>
        <w:tc>
          <w:tcPr>
            <w:tcW w:w="1773" w:type="dxa"/>
            <w:vAlign w:val="center"/>
          </w:tcPr>
          <w:p w14:paraId="44FCC83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1.883322</w:t>
            </w:r>
          </w:p>
        </w:tc>
        <w:tc>
          <w:tcPr>
            <w:tcW w:w="1773" w:type="dxa"/>
            <w:vAlign w:val="center"/>
          </w:tcPr>
          <w:p w14:paraId="35755DD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0.63</w:t>
            </w:r>
          </w:p>
        </w:tc>
        <w:tc>
          <w:tcPr>
            <w:tcW w:w="1773" w:type="dxa"/>
            <w:vMerge w:val="continue"/>
            <w:vAlign w:val="center"/>
          </w:tcPr>
          <w:p w14:paraId="63D7815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16A16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54C6694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3DC8EF64">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rPr>
              <w:t>氮氧化物</w:t>
            </w:r>
          </w:p>
        </w:tc>
        <w:tc>
          <w:tcPr>
            <w:tcW w:w="1773" w:type="dxa"/>
            <w:vAlign w:val="center"/>
          </w:tcPr>
          <w:p w14:paraId="271FAD1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0.313887</w:t>
            </w:r>
          </w:p>
        </w:tc>
        <w:tc>
          <w:tcPr>
            <w:tcW w:w="1773" w:type="dxa"/>
            <w:vAlign w:val="center"/>
          </w:tcPr>
          <w:p w14:paraId="00A3E094">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0.13</w:t>
            </w:r>
          </w:p>
        </w:tc>
        <w:tc>
          <w:tcPr>
            <w:tcW w:w="1773" w:type="dxa"/>
            <w:vMerge w:val="continue"/>
            <w:vAlign w:val="center"/>
          </w:tcPr>
          <w:p w14:paraId="6F190CE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76D3C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1ED90E0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0E92AE2A">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TSP</w:t>
            </w:r>
          </w:p>
        </w:tc>
        <w:tc>
          <w:tcPr>
            <w:tcW w:w="1773" w:type="dxa"/>
            <w:vAlign w:val="center"/>
          </w:tcPr>
          <w:p w14:paraId="52D8D51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36.097</w:t>
            </w:r>
          </w:p>
        </w:tc>
        <w:tc>
          <w:tcPr>
            <w:tcW w:w="1773" w:type="dxa"/>
            <w:vAlign w:val="center"/>
          </w:tcPr>
          <w:p w14:paraId="66CC8BB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4.01</w:t>
            </w:r>
          </w:p>
        </w:tc>
        <w:tc>
          <w:tcPr>
            <w:tcW w:w="1773" w:type="dxa"/>
            <w:vMerge w:val="continue"/>
            <w:vAlign w:val="center"/>
          </w:tcPr>
          <w:p w14:paraId="1616AD6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5FC15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77F803A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2#厂房</w:t>
            </w:r>
          </w:p>
        </w:tc>
        <w:tc>
          <w:tcPr>
            <w:tcW w:w="1699" w:type="dxa"/>
            <w:vAlign w:val="center"/>
          </w:tcPr>
          <w:p w14:paraId="0F5197FF">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rPr>
              <w:t>氯化氢</w:t>
            </w:r>
          </w:p>
        </w:tc>
        <w:tc>
          <w:tcPr>
            <w:tcW w:w="1773" w:type="dxa"/>
            <w:vAlign w:val="center"/>
          </w:tcPr>
          <w:p w14:paraId="0A12CB1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0.318877</w:t>
            </w:r>
          </w:p>
        </w:tc>
        <w:tc>
          <w:tcPr>
            <w:tcW w:w="1773" w:type="dxa"/>
            <w:vAlign w:val="center"/>
          </w:tcPr>
          <w:p w14:paraId="5FEBEA8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0.63</w:t>
            </w:r>
          </w:p>
        </w:tc>
        <w:tc>
          <w:tcPr>
            <w:tcW w:w="1773" w:type="dxa"/>
            <w:vMerge w:val="restart"/>
            <w:vAlign w:val="center"/>
          </w:tcPr>
          <w:p w14:paraId="4AD7B99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47</w:t>
            </w:r>
          </w:p>
        </w:tc>
      </w:tr>
      <w:tr w14:paraId="66D04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2C9CCA5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1E9E4BF1">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eastAsia="zh-CN"/>
              </w:rPr>
              <w:t>硫酸雾</w:t>
            </w:r>
          </w:p>
        </w:tc>
        <w:tc>
          <w:tcPr>
            <w:tcW w:w="1773" w:type="dxa"/>
            <w:vAlign w:val="center"/>
          </w:tcPr>
          <w:p w14:paraId="1C432A0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1.255548</w:t>
            </w:r>
          </w:p>
        </w:tc>
        <w:tc>
          <w:tcPr>
            <w:tcW w:w="1773" w:type="dxa"/>
            <w:vAlign w:val="center"/>
          </w:tcPr>
          <w:p w14:paraId="693466D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0.42</w:t>
            </w:r>
          </w:p>
        </w:tc>
        <w:tc>
          <w:tcPr>
            <w:tcW w:w="1773" w:type="dxa"/>
            <w:vMerge w:val="continue"/>
            <w:vAlign w:val="center"/>
          </w:tcPr>
          <w:p w14:paraId="55AC9E6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5B36D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7385D75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396AA817">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rPr>
              <w:t>氮氧化物</w:t>
            </w:r>
          </w:p>
        </w:tc>
        <w:tc>
          <w:tcPr>
            <w:tcW w:w="1773" w:type="dxa"/>
            <w:vAlign w:val="center"/>
          </w:tcPr>
          <w:p w14:paraId="53393FF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0.627774</w:t>
            </w:r>
          </w:p>
        </w:tc>
        <w:tc>
          <w:tcPr>
            <w:tcW w:w="1773" w:type="dxa"/>
            <w:vAlign w:val="center"/>
          </w:tcPr>
          <w:p w14:paraId="57F1508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0.25</w:t>
            </w:r>
          </w:p>
        </w:tc>
        <w:tc>
          <w:tcPr>
            <w:tcW w:w="1773" w:type="dxa"/>
            <w:vMerge w:val="continue"/>
            <w:vAlign w:val="center"/>
          </w:tcPr>
          <w:p w14:paraId="1881BDE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2DFEB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6C63B21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1CF0529F">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非甲烷总烃</w:t>
            </w:r>
          </w:p>
        </w:tc>
        <w:tc>
          <w:tcPr>
            <w:tcW w:w="1773" w:type="dxa"/>
            <w:vAlign w:val="center"/>
          </w:tcPr>
          <w:p w14:paraId="7E355C5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1.569435</w:t>
            </w:r>
          </w:p>
        </w:tc>
        <w:tc>
          <w:tcPr>
            <w:tcW w:w="1773" w:type="dxa"/>
            <w:vAlign w:val="center"/>
          </w:tcPr>
          <w:p w14:paraId="380ABB9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0.13</w:t>
            </w:r>
          </w:p>
        </w:tc>
        <w:tc>
          <w:tcPr>
            <w:tcW w:w="1773" w:type="dxa"/>
            <w:vMerge w:val="continue"/>
            <w:vAlign w:val="center"/>
          </w:tcPr>
          <w:p w14:paraId="6F0C0E5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73500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3C19865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027DAAB8">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TSP</w:t>
            </w:r>
          </w:p>
        </w:tc>
        <w:tc>
          <w:tcPr>
            <w:tcW w:w="1773" w:type="dxa"/>
            <w:vAlign w:val="center"/>
          </w:tcPr>
          <w:p w14:paraId="6E6404A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39.097</w:t>
            </w:r>
          </w:p>
        </w:tc>
        <w:tc>
          <w:tcPr>
            <w:tcW w:w="1773" w:type="dxa"/>
            <w:vAlign w:val="center"/>
          </w:tcPr>
          <w:p w14:paraId="289DC55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4.01</w:t>
            </w:r>
          </w:p>
        </w:tc>
        <w:tc>
          <w:tcPr>
            <w:tcW w:w="1773" w:type="dxa"/>
            <w:vMerge w:val="continue"/>
            <w:vAlign w:val="center"/>
          </w:tcPr>
          <w:p w14:paraId="28B4530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bl>
    <w:p w14:paraId="0012BF1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本项目P</w:t>
      </w:r>
      <w:r>
        <w:rPr>
          <w:rFonts w:hint="default" w:ascii="Times New Roman" w:hAnsi="Times New Roman" w:eastAsia="宋体" w:cs="Times New Roman"/>
          <w:color w:val="auto"/>
          <w:sz w:val="24"/>
          <w:szCs w:val="24"/>
          <w:highlight w:val="none"/>
          <w:u w:val="single" w:color="auto"/>
          <w:vertAlign w:val="subscript"/>
        </w:rPr>
        <w:t>max</w:t>
      </w:r>
      <w:r>
        <w:rPr>
          <w:rFonts w:hint="default" w:ascii="Times New Roman" w:hAnsi="Times New Roman" w:eastAsia="宋体" w:cs="Times New Roman"/>
          <w:color w:val="auto"/>
          <w:sz w:val="24"/>
          <w:szCs w:val="24"/>
          <w:highlight w:val="none"/>
          <w:u w:val="single" w:color="auto"/>
        </w:rPr>
        <w:t>最大值出现为</w:t>
      </w:r>
      <w:r>
        <w:rPr>
          <w:rFonts w:hint="default" w:ascii="Times New Roman" w:hAnsi="Times New Roman" w:eastAsia="宋体" w:cs="Times New Roman"/>
          <w:color w:val="auto"/>
          <w:sz w:val="24"/>
          <w:szCs w:val="24"/>
          <w:highlight w:val="none"/>
          <w:u w:val="single" w:color="auto"/>
          <w:lang w:val="en-US" w:eastAsia="zh-CN"/>
        </w:rPr>
        <w:t>TSP</w:t>
      </w:r>
      <w:r>
        <w:rPr>
          <w:rFonts w:hint="default" w:ascii="Times New Roman" w:hAnsi="Times New Roman" w:eastAsia="宋体" w:cs="Times New Roman"/>
          <w:color w:val="auto"/>
          <w:sz w:val="24"/>
          <w:szCs w:val="24"/>
          <w:highlight w:val="none"/>
          <w:u w:val="single" w:color="auto"/>
        </w:rPr>
        <w:t>，P</w:t>
      </w:r>
      <w:r>
        <w:rPr>
          <w:rFonts w:hint="default" w:ascii="Times New Roman" w:hAnsi="Times New Roman" w:eastAsia="宋体" w:cs="Times New Roman"/>
          <w:color w:val="auto"/>
          <w:sz w:val="24"/>
          <w:szCs w:val="24"/>
          <w:highlight w:val="none"/>
          <w:u w:val="single" w:color="auto"/>
          <w:vertAlign w:val="subscript"/>
        </w:rPr>
        <w:t>max</w:t>
      </w:r>
      <w:r>
        <w:rPr>
          <w:rFonts w:hint="default" w:ascii="Times New Roman" w:hAnsi="Times New Roman" w:eastAsia="宋体" w:cs="Times New Roman"/>
          <w:color w:val="auto"/>
          <w:sz w:val="24"/>
          <w:szCs w:val="24"/>
          <w:highlight w:val="none"/>
          <w:u w:val="single" w:color="auto"/>
        </w:rPr>
        <w:t>值为</w:t>
      </w:r>
      <w:r>
        <w:rPr>
          <w:rFonts w:hint="default" w:ascii="Times New Roman" w:hAnsi="Times New Roman" w:eastAsia="宋体" w:cs="Times New Roman"/>
          <w:color w:val="auto"/>
          <w:sz w:val="24"/>
          <w:szCs w:val="24"/>
          <w:highlight w:val="none"/>
          <w:u w:val="single" w:color="auto"/>
          <w:lang w:val="en-US" w:eastAsia="zh-CN"/>
        </w:rPr>
        <w:t>4.01</w:t>
      </w:r>
      <w:r>
        <w:rPr>
          <w:rFonts w:hint="default" w:ascii="Times New Roman" w:hAnsi="Times New Roman" w:eastAsia="宋体" w:cs="Times New Roman"/>
          <w:color w:val="auto"/>
          <w:sz w:val="24"/>
          <w:szCs w:val="24"/>
          <w:highlight w:val="none"/>
          <w:u w:val="single" w:color="auto"/>
        </w:rPr>
        <w:t>%，根据《环境影响评价技术导则大气环境》(HJ2.2-2018)分级判据，确定本项目大气环境影响评价工作等级为</w:t>
      </w:r>
      <w:r>
        <w:rPr>
          <w:rFonts w:hint="default" w:ascii="Times New Roman" w:hAnsi="Times New Roman" w:eastAsia="宋体" w:cs="Times New Roman"/>
          <w:color w:val="auto"/>
          <w:sz w:val="24"/>
          <w:szCs w:val="24"/>
          <w:highlight w:val="none"/>
          <w:u w:val="single" w:color="auto"/>
          <w:lang w:eastAsia="zh-CN"/>
        </w:rPr>
        <w:t>二</w:t>
      </w:r>
      <w:r>
        <w:rPr>
          <w:rFonts w:hint="default" w:ascii="Times New Roman" w:hAnsi="Times New Roman" w:eastAsia="宋体" w:cs="Times New Roman"/>
          <w:color w:val="auto"/>
          <w:sz w:val="24"/>
          <w:szCs w:val="24"/>
          <w:highlight w:val="none"/>
          <w:u w:val="single" w:color="auto"/>
        </w:rPr>
        <w:t>级。</w:t>
      </w:r>
    </w:p>
    <w:p w14:paraId="2D240A0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（2）评价范围</w:t>
      </w:r>
    </w:p>
    <w:p w14:paraId="19F05914">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color w:val="auto"/>
          <w:kern w:val="0"/>
          <w:sz w:val="24"/>
          <w:szCs w:val="24"/>
          <w:highlight w:val="none"/>
          <w:u w:val="none" w:color="auto"/>
          <w:lang w:bidi="en-US"/>
        </w:rPr>
        <w:t>根据《环境影响评价技术导则大气环境》（HJ2.2-2018），本项目评价范围为以厂址为中心区域、边长为5km的矩形。</w:t>
      </w:r>
    </w:p>
    <w:p w14:paraId="6E7BEACF">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2.5.2地表水环境</w:t>
      </w:r>
    </w:p>
    <w:p w14:paraId="6FA405F0">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color w:val="auto"/>
          <w:kern w:val="0"/>
          <w:sz w:val="24"/>
          <w:szCs w:val="24"/>
          <w:highlight w:val="none"/>
          <w:u w:val="none" w:color="auto"/>
          <w:lang w:bidi="en-US"/>
        </w:rPr>
        <w:t>（1）评价等级</w:t>
      </w:r>
    </w:p>
    <w:p w14:paraId="2C8B3EB0">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环境影响评价技术导则地表水环境》（HJ2.3-2018），地表水环境影响评价等级按照影响类型、排放方式、排放量或影响情况、受纳水体环境质量状况、水环境保护目标等综合确定，水污染影响型建设项目根据排放方式和废水排放量划分评价等级，判定依据见下表。</w:t>
      </w:r>
    </w:p>
    <w:p w14:paraId="00B63B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表2.5-6水污染影响型建设项目评价等级判定</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39"/>
        <w:gridCol w:w="2840"/>
        <w:gridCol w:w="2843"/>
      </w:tblGrid>
      <w:tr w14:paraId="6A71B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6" w:type="pct"/>
            <w:vMerge w:val="restart"/>
            <w:vAlign w:val="center"/>
          </w:tcPr>
          <w:p w14:paraId="286D0F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评价等级</w:t>
            </w:r>
          </w:p>
        </w:tc>
        <w:tc>
          <w:tcPr>
            <w:tcW w:w="3334" w:type="pct"/>
            <w:gridSpan w:val="2"/>
            <w:vAlign w:val="center"/>
          </w:tcPr>
          <w:p w14:paraId="76E976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判定依据</w:t>
            </w:r>
          </w:p>
        </w:tc>
      </w:tr>
      <w:tr w14:paraId="69829C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6" w:type="pct"/>
            <w:vMerge w:val="continue"/>
            <w:vAlign w:val="center"/>
          </w:tcPr>
          <w:p w14:paraId="34630E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666" w:type="pct"/>
            <w:vAlign w:val="center"/>
          </w:tcPr>
          <w:p w14:paraId="3E628A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排放方式</w:t>
            </w:r>
          </w:p>
        </w:tc>
        <w:tc>
          <w:tcPr>
            <w:tcW w:w="1668" w:type="pct"/>
            <w:vAlign w:val="center"/>
          </w:tcPr>
          <w:p w14:paraId="22270B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废水排放量Q(m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/d)</w:t>
            </w:r>
          </w:p>
          <w:p w14:paraId="255FB3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水污染物当量数W(无量纲)</w:t>
            </w:r>
          </w:p>
        </w:tc>
      </w:tr>
      <w:tr w14:paraId="7F8CCC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6" w:type="pct"/>
            <w:vAlign w:val="center"/>
          </w:tcPr>
          <w:p w14:paraId="2D02ED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1666" w:type="pct"/>
            <w:vAlign w:val="center"/>
          </w:tcPr>
          <w:p w14:paraId="3963D8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直接排放</w:t>
            </w:r>
          </w:p>
        </w:tc>
        <w:tc>
          <w:tcPr>
            <w:tcW w:w="1668" w:type="pct"/>
            <w:vAlign w:val="center"/>
          </w:tcPr>
          <w:p w14:paraId="7F4E4C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Q≥20000或W≥600000</w:t>
            </w:r>
          </w:p>
        </w:tc>
      </w:tr>
      <w:tr w14:paraId="2153E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6" w:type="pct"/>
            <w:vAlign w:val="center"/>
          </w:tcPr>
          <w:p w14:paraId="5A9D56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1666" w:type="pct"/>
            <w:vAlign w:val="center"/>
          </w:tcPr>
          <w:p w14:paraId="026A9C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直接排放</w:t>
            </w:r>
          </w:p>
        </w:tc>
        <w:tc>
          <w:tcPr>
            <w:tcW w:w="1668" w:type="pct"/>
            <w:vAlign w:val="center"/>
          </w:tcPr>
          <w:p w14:paraId="3BAD76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其他</w:t>
            </w:r>
          </w:p>
        </w:tc>
      </w:tr>
      <w:tr w14:paraId="27B75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6" w:type="pct"/>
            <w:vAlign w:val="center"/>
          </w:tcPr>
          <w:p w14:paraId="19A05C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三级A</w:t>
            </w:r>
          </w:p>
        </w:tc>
        <w:tc>
          <w:tcPr>
            <w:tcW w:w="1666" w:type="pct"/>
            <w:vAlign w:val="center"/>
          </w:tcPr>
          <w:p w14:paraId="5F0C7C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直接排放</w:t>
            </w:r>
          </w:p>
        </w:tc>
        <w:tc>
          <w:tcPr>
            <w:tcW w:w="1668" w:type="pct"/>
            <w:vAlign w:val="center"/>
          </w:tcPr>
          <w:p w14:paraId="286D01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Q&lt;200且W&lt;6000</w:t>
            </w:r>
          </w:p>
        </w:tc>
      </w:tr>
      <w:tr w14:paraId="55A94B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6" w:type="pct"/>
            <w:vAlign w:val="center"/>
          </w:tcPr>
          <w:p w14:paraId="477722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三级B</w:t>
            </w:r>
          </w:p>
        </w:tc>
        <w:tc>
          <w:tcPr>
            <w:tcW w:w="1666" w:type="pct"/>
            <w:vAlign w:val="center"/>
          </w:tcPr>
          <w:p w14:paraId="16C6F5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间接排放</w:t>
            </w:r>
          </w:p>
        </w:tc>
        <w:tc>
          <w:tcPr>
            <w:tcW w:w="1668" w:type="pct"/>
            <w:vAlign w:val="center"/>
          </w:tcPr>
          <w:p w14:paraId="5B9C89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B07DA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3"/>
            <w:vAlign w:val="center"/>
          </w:tcPr>
          <w:p w14:paraId="236A67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68D159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2：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14:paraId="09119C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注3：厂区存在堆积物（露天堆放的原料、燃料、废渣等以及垃圾堆放场）、降尘污染的，应将初期雨污水纳入废水排放量，相应的主要污染物纳入水污染当量计算。</w:t>
            </w:r>
          </w:p>
          <w:p w14:paraId="727BFD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注4：建设项目直接排放第一类污染物的，其评价等级为一级；建设项目直接排放的污染物为受纳水体超标因子的，评价等级不低于二级。</w:t>
            </w:r>
          </w:p>
          <w:p w14:paraId="6CA0FB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注5：直接排放受纳水体影响范围涉及饮用水水源保护区、饮用水取水口、重点保护与珍稀水生生物的栖息地、重要水生生物的自然产卵场等保护目标时，评价等级不低于二级。</w:t>
            </w:r>
          </w:p>
          <w:p w14:paraId="42915D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注6：建设项目向河流、湖库排放温排水引起受纳水体水温变化超过水环境质量标准要求，且评价范围有水温敏感目标时，评价等级为一级。</w:t>
            </w:r>
          </w:p>
          <w:p w14:paraId="04DE6D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注7：建设项目利用海水作为调节温度介质，排水量≥500万m3/d，评价等级为一级；排水量＜500万m3/d，评价等级为二级。</w:t>
            </w:r>
          </w:p>
          <w:p w14:paraId="3B4FA3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注8：仅涉及清净下水排放的，如其排放水质满足受纳水体水环境质量标准要求的，评价等级为三级A。</w:t>
            </w:r>
          </w:p>
          <w:p w14:paraId="1FBE7E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注9：依托现有排放口，且对外环境未新增排放污染物的直接排放建设项目，评价等级参照间接排放，定为三级B。</w:t>
            </w:r>
          </w:p>
          <w:p w14:paraId="7EA02E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注10：建设项目生产工艺中有废水产生，但作为回水利用，不排放到外环境的，按三级B评价。</w:t>
            </w:r>
          </w:p>
        </w:tc>
      </w:tr>
    </w:tbl>
    <w:p w14:paraId="0E8C48A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w:t>
      </w:r>
      <w:r>
        <w:rPr>
          <w:rFonts w:hint="eastAsia" w:ascii="Times New Roman" w:hAnsi="Times New Roman" w:eastAsia="宋体" w:cs="Times New Roman"/>
          <w:color w:val="auto"/>
          <w:sz w:val="24"/>
          <w:szCs w:val="24"/>
          <w:highlight w:val="none"/>
          <w:u w:val="none" w:color="auto"/>
          <w:lang w:val="en-US" w:eastAsia="zh-CN"/>
        </w:rPr>
        <w:t>电镀工序</w:t>
      </w:r>
      <w:r>
        <w:rPr>
          <w:rFonts w:hint="default" w:ascii="Times New Roman" w:hAnsi="Times New Roman" w:eastAsia="宋体" w:cs="Times New Roman"/>
          <w:color w:val="auto"/>
          <w:sz w:val="24"/>
          <w:szCs w:val="24"/>
          <w:highlight w:val="none"/>
          <w:u w:val="none" w:color="auto"/>
          <w:lang w:eastAsia="zh-CN"/>
        </w:rPr>
        <w:t>生产废水</w:t>
      </w:r>
      <w:r>
        <w:rPr>
          <w:rFonts w:hint="eastAsia" w:ascii="Times New Roman" w:hAnsi="Times New Roman" w:eastAsia="宋体" w:cs="Times New Roman"/>
          <w:color w:val="auto"/>
          <w:sz w:val="24"/>
          <w:szCs w:val="24"/>
          <w:highlight w:val="none"/>
          <w:u w:val="none" w:color="auto"/>
          <w:lang w:val="en-US" w:eastAsia="zh-CN"/>
        </w:rPr>
        <w:t>及其辅助生产废水</w:t>
      </w:r>
      <w:r>
        <w:rPr>
          <w:rFonts w:hint="default" w:ascii="Times New Roman" w:hAnsi="Times New Roman" w:eastAsia="宋体" w:cs="Times New Roman"/>
          <w:color w:val="auto"/>
          <w:sz w:val="24"/>
          <w:szCs w:val="24"/>
          <w:highlight w:val="none"/>
          <w:u w:val="none" w:color="auto"/>
          <w:lang w:eastAsia="zh-CN"/>
        </w:rPr>
        <w:t>经处理后</w:t>
      </w:r>
      <w:r>
        <w:rPr>
          <w:rFonts w:hint="eastAsia" w:ascii="Times New Roman" w:hAnsi="Times New Roman" w:eastAsia="宋体" w:cs="Times New Roman"/>
          <w:color w:val="auto"/>
          <w:sz w:val="24"/>
          <w:szCs w:val="24"/>
          <w:highlight w:val="none"/>
          <w:u w:val="none" w:color="auto"/>
          <w:lang w:val="en-US" w:eastAsia="zh-CN"/>
        </w:rPr>
        <w:t>均</w:t>
      </w:r>
      <w:r>
        <w:rPr>
          <w:rFonts w:hint="default" w:ascii="Times New Roman" w:hAnsi="Times New Roman" w:eastAsia="宋体" w:cs="Times New Roman"/>
          <w:color w:val="auto"/>
          <w:sz w:val="24"/>
          <w:szCs w:val="24"/>
          <w:highlight w:val="none"/>
          <w:u w:val="none" w:color="auto"/>
          <w:lang w:eastAsia="zh-CN"/>
        </w:rPr>
        <w:t>回用，</w:t>
      </w:r>
      <w:r>
        <w:rPr>
          <w:rFonts w:hint="default" w:ascii="Times New Roman" w:hAnsi="Times New Roman" w:eastAsia="宋体" w:cs="Times New Roman"/>
          <w:color w:val="auto"/>
          <w:sz w:val="24"/>
          <w:szCs w:val="24"/>
          <w:highlight w:val="none"/>
          <w:u w:val="none" w:color="auto"/>
          <w:lang w:val="en-US" w:eastAsia="zh-CN"/>
        </w:rPr>
        <w:t>不外排；</w:t>
      </w:r>
      <w:r>
        <w:rPr>
          <w:rFonts w:hint="eastAsia" w:ascii="Times New Roman" w:hAnsi="Times New Roman" w:eastAsia="宋体" w:cs="Times New Roman"/>
          <w:color w:val="auto"/>
          <w:sz w:val="24"/>
          <w:szCs w:val="24"/>
          <w:highlight w:val="none"/>
          <w:u w:val="none" w:color="auto"/>
          <w:lang w:val="en-US" w:eastAsia="zh-CN"/>
        </w:rPr>
        <w:t>机加工车间卫生废水、容器清洗废水、直接冷却废水经沉淀池处理</w:t>
      </w:r>
      <w:r>
        <w:rPr>
          <w:rFonts w:hint="default" w:ascii="Times New Roman" w:hAnsi="Times New Roman" w:eastAsia="宋体" w:cs="Times New Roman"/>
          <w:color w:val="auto"/>
          <w:sz w:val="24"/>
          <w:szCs w:val="24"/>
          <w:highlight w:val="none"/>
          <w:u w:val="none" w:color="auto"/>
        </w:rPr>
        <w:t>达标后排至</w:t>
      </w:r>
      <w:r>
        <w:rPr>
          <w:rFonts w:hint="default" w:ascii="Times New Roman" w:hAnsi="Times New Roman" w:eastAsia="宋体" w:cs="Times New Roman"/>
          <w:color w:val="auto"/>
          <w:sz w:val="24"/>
          <w:szCs w:val="24"/>
          <w:highlight w:val="none"/>
          <w:u w:val="none" w:color="auto"/>
          <w:lang w:eastAsia="zh-CN"/>
        </w:rPr>
        <w:t>松木污水处理厂</w:t>
      </w:r>
      <w:r>
        <w:rPr>
          <w:rFonts w:hint="eastAsia"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eastAsia="zh-CN"/>
        </w:rPr>
        <w:t>生活污水</w:t>
      </w:r>
      <w:r>
        <w:rPr>
          <w:rFonts w:hint="default" w:ascii="Times New Roman" w:hAnsi="Times New Roman" w:eastAsia="宋体" w:cs="Times New Roman"/>
          <w:color w:val="auto"/>
          <w:sz w:val="24"/>
          <w:szCs w:val="24"/>
          <w:highlight w:val="none"/>
          <w:u w:val="none" w:color="auto"/>
        </w:rPr>
        <w:t>经</w:t>
      </w:r>
      <w:r>
        <w:rPr>
          <w:rFonts w:hint="default" w:ascii="Times New Roman" w:hAnsi="Times New Roman" w:eastAsia="宋体" w:cs="Times New Roman"/>
          <w:color w:val="auto"/>
          <w:sz w:val="24"/>
          <w:szCs w:val="24"/>
          <w:highlight w:val="none"/>
          <w:u w:val="none" w:color="auto"/>
          <w:lang w:eastAsia="zh-CN"/>
        </w:rPr>
        <w:t>化粪池</w:t>
      </w:r>
      <w:r>
        <w:rPr>
          <w:rFonts w:hint="default" w:ascii="Times New Roman" w:hAnsi="Times New Roman" w:eastAsia="宋体" w:cs="Times New Roman"/>
          <w:color w:val="auto"/>
          <w:sz w:val="24"/>
          <w:szCs w:val="24"/>
          <w:highlight w:val="none"/>
          <w:u w:val="none" w:color="auto"/>
        </w:rPr>
        <w:t>处理达标后排至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，外排废水属间接排放。</w:t>
      </w:r>
    </w:p>
    <w:p w14:paraId="51074B39">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color w:val="auto"/>
          <w:sz w:val="24"/>
          <w:szCs w:val="24"/>
          <w:highlight w:val="none"/>
          <w:u w:val="none" w:color="auto"/>
        </w:rPr>
        <w:t>根据《环境影响评价技术导则地表水环境》（HJ2.3-2018）中分级评定依据，本项目属于间接排放建设项目，因此地表水评价等级为三级B。</w:t>
      </w:r>
    </w:p>
    <w:p w14:paraId="088CAF8F">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single" w:color="auto"/>
          <w:lang w:bidi="en-US"/>
        </w:rPr>
      </w:pPr>
      <w:r>
        <w:rPr>
          <w:rFonts w:hint="default" w:ascii="Times New Roman" w:hAnsi="Times New Roman" w:eastAsia="宋体" w:cs="Times New Roman"/>
          <w:color w:val="auto"/>
          <w:kern w:val="0"/>
          <w:sz w:val="24"/>
          <w:szCs w:val="24"/>
          <w:highlight w:val="none"/>
          <w:u w:val="single" w:color="auto"/>
          <w:lang w:bidi="en-US"/>
        </w:rPr>
        <w:t>（2）评价范围</w:t>
      </w:r>
    </w:p>
    <w:p w14:paraId="382E910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single" w:color="auto"/>
          <w:lang w:bidi="en-US"/>
        </w:rPr>
      </w:pPr>
      <w:r>
        <w:rPr>
          <w:rFonts w:hint="default" w:ascii="Times New Roman" w:hAnsi="Times New Roman" w:eastAsia="宋体" w:cs="Times New Roman"/>
          <w:color w:val="auto"/>
          <w:sz w:val="24"/>
          <w:szCs w:val="24"/>
          <w:highlight w:val="none"/>
          <w:u w:val="single" w:color="auto"/>
          <w:lang w:eastAsia="zh-CN"/>
        </w:rPr>
        <w:t>湘江</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eastAsia="zh-CN"/>
        </w:rPr>
        <w:t>松木污水处理厂</w:t>
      </w:r>
      <w:r>
        <w:rPr>
          <w:rFonts w:hint="default" w:ascii="Times New Roman" w:hAnsi="Times New Roman" w:eastAsia="宋体" w:cs="Times New Roman"/>
          <w:color w:val="auto"/>
          <w:sz w:val="24"/>
          <w:szCs w:val="24"/>
          <w:highlight w:val="none"/>
          <w:u w:val="single" w:color="auto"/>
        </w:rPr>
        <w:t>排水口上游500m至下游4500m之间约5km河段。</w:t>
      </w:r>
    </w:p>
    <w:p w14:paraId="60DCFD0B">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2.5.3地下水环境</w:t>
      </w:r>
    </w:p>
    <w:p w14:paraId="74C5A235">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（1）评价等级</w:t>
      </w:r>
    </w:p>
    <w:p w14:paraId="1F01F74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根据《环境影响评价技术导则地下水环境》（HJ610-2016），本项目为“</w:t>
      </w:r>
      <w:r>
        <w:rPr>
          <w:rFonts w:hint="default" w:ascii="Times New Roman" w:hAnsi="Times New Roman" w:eastAsia="宋体" w:cs="Times New Roman"/>
          <w:color w:val="auto"/>
          <w:kern w:val="0"/>
          <w:sz w:val="24"/>
          <w:szCs w:val="24"/>
          <w:highlight w:val="none"/>
          <w:u w:val="none" w:color="auto"/>
          <w:lang w:val="en-US" w:eastAsia="zh-CN"/>
        </w:rPr>
        <w:t>J</w:t>
      </w:r>
      <w:r>
        <w:rPr>
          <w:rFonts w:hint="default" w:ascii="Times New Roman" w:hAnsi="Times New Roman" w:eastAsia="宋体" w:cs="Times New Roman"/>
          <w:color w:val="auto"/>
          <w:kern w:val="0"/>
          <w:sz w:val="24"/>
          <w:szCs w:val="24"/>
          <w:highlight w:val="none"/>
          <w:u w:val="none" w:color="auto"/>
          <w:lang w:eastAsia="zh-CN"/>
        </w:rPr>
        <w:t>非</w:t>
      </w:r>
      <w:r>
        <w:rPr>
          <w:rFonts w:hint="default" w:ascii="Times New Roman" w:hAnsi="Times New Roman" w:eastAsia="宋体" w:cs="Times New Roman"/>
          <w:color w:val="auto"/>
          <w:kern w:val="0"/>
          <w:sz w:val="24"/>
          <w:szCs w:val="24"/>
          <w:highlight w:val="none"/>
          <w:u w:val="none" w:color="auto"/>
        </w:rPr>
        <w:t>金属</w:t>
      </w:r>
      <w:r>
        <w:rPr>
          <w:rFonts w:hint="default" w:ascii="Times New Roman" w:hAnsi="Times New Roman" w:eastAsia="宋体" w:cs="Times New Roman"/>
          <w:color w:val="auto"/>
          <w:kern w:val="0"/>
          <w:sz w:val="24"/>
          <w:szCs w:val="24"/>
          <w:highlight w:val="none"/>
          <w:u w:val="none" w:color="auto"/>
          <w:lang w:eastAsia="zh-CN"/>
        </w:rPr>
        <w:t>矿采选及制品制造</w:t>
      </w:r>
      <w:r>
        <w:rPr>
          <w:rFonts w:hint="default" w:ascii="Times New Roman" w:hAnsi="Times New Roman" w:eastAsia="宋体" w:cs="Times New Roman"/>
          <w:color w:val="auto"/>
          <w:kern w:val="0"/>
          <w:sz w:val="24"/>
          <w:szCs w:val="24"/>
          <w:highlight w:val="none"/>
          <w:u w:val="none" w:color="auto"/>
        </w:rPr>
        <w:t>——</w:t>
      </w:r>
      <w:r>
        <w:rPr>
          <w:rFonts w:hint="default" w:ascii="Times New Roman" w:hAnsi="Times New Roman" w:eastAsia="宋体" w:cs="Times New Roman"/>
          <w:color w:val="auto"/>
          <w:kern w:val="0"/>
          <w:sz w:val="24"/>
          <w:szCs w:val="24"/>
          <w:highlight w:val="none"/>
          <w:u w:val="none" w:color="auto"/>
          <w:lang w:val="en-US" w:eastAsia="zh-CN"/>
        </w:rPr>
        <w:t>69、石墨及其他非金属矿物制品</w:t>
      </w:r>
      <w:r>
        <w:rPr>
          <w:rFonts w:hint="default" w:ascii="Times New Roman" w:hAnsi="Times New Roman" w:eastAsia="宋体" w:cs="Times New Roman"/>
          <w:color w:val="auto"/>
          <w:kern w:val="0"/>
          <w:sz w:val="24"/>
          <w:szCs w:val="24"/>
          <w:highlight w:val="none"/>
          <w:u w:val="none" w:color="auto"/>
        </w:rPr>
        <w:t>”</w:t>
      </w:r>
      <w:r>
        <w:rPr>
          <w:rFonts w:hint="default" w:ascii="Times New Roman" w:hAnsi="Times New Roman" w:eastAsia="宋体" w:cs="Times New Roman"/>
          <w:color w:val="auto"/>
          <w:kern w:val="0"/>
          <w:sz w:val="24"/>
          <w:szCs w:val="24"/>
          <w:highlight w:val="none"/>
          <w:u w:val="none" w:color="auto"/>
          <w:lang w:eastAsia="zh-CN"/>
        </w:rPr>
        <w:t>中的其它</w:t>
      </w:r>
      <w:r>
        <w:rPr>
          <w:rFonts w:hint="default" w:ascii="Times New Roman" w:hAnsi="Times New Roman" w:eastAsia="宋体" w:cs="Times New Roman"/>
          <w:color w:val="auto"/>
          <w:kern w:val="0"/>
          <w:sz w:val="24"/>
          <w:szCs w:val="24"/>
          <w:highlight w:val="none"/>
          <w:u w:val="none" w:color="auto"/>
        </w:rPr>
        <w:t>，</w:t>
      </w:r>
      <w:r>
        <w:rPr>
          <w:rFonts w:hint="default" w:ascii="Times New Roman" w:hAnsi="Times New Roman" w:eastAsia="宋体" w:cs="Times New Roman"/>
          <w:color w:val="auto"/>
          <w:kern w:val="0"/>
          <w:sz w:val="24"/>
          <w:szCs w:val="24"/>
          <w:highlight w:val="none"/>
          <w:u w:val="none" w:color="auto"/>
          <w:lang w:eastAsia="zh-CN"/>
        </w:rPr>
        <w:t>由于本项目含有电镀工艺，故本</w:t>
      </w:r>
      <w:r>
        <w:rPr>
          <w:rFonts w:hint="default" w:ascii="Times New Roman" w:hAnsi="Times New Roman" w:eastAsia="宋体" w:cs="Times New Roman"/>
          <w:color w:val="auto"/>
          <w:sz w:val="24"/>
          <w:szCs w:val="24"/>
          <w:highlight w:val="none"/>
          <w:u w:val="none" w:color="auto"/>
        </w:rPr>
        <w:t>属于Ⅲ类地下水环境影响评价项目类别。</w:t>
      </w:r>
    </w:p>
    <w:p w14:paraId="6204461C">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项目位于</w:t>
      </w:r>
      <w:r>
        <w:rPr>
          <w:rFonts w:hint="default" w:ascii="Times New Roman" w:hAnsi="Times New Roman" w:eastAsia="宋体" w:cs="Times New Roman"/>
          <w:color w:val="auto"/>
          <w:kern w:val="0"/>
          <w:sz w:val="24"/>
          <w:szCs w:val="24"/>
          <w:highlight w:val="none"/>
          <w:u w:val="none" w:color="auto"/>
          <w:lang w:eastAsia="zh-CN"/>
        </w:rPr>
        <w:t>衡阳松木经济开发区</w:t>
      </w:r>
      <w:r>
        <w:rPr>
          <w:rFonts w:hint="default" w:ascii="Times New Roman" w:hAnsi="Times New Roman" w:eastAsia="宋体" w:cs="Times New Roman"/>
          <w:color w:val="auto"/>
          <w:kern w:val="0"/>
          <w:sz w:val="24"/>
          <w:szCs w:val="24"/>
          <w:highlight w:val="none"/>
          <w:u w:val="none" w:color="auto"/>
        </w:rPr>
        <w:t>，</w:t>
      </w:r>
      <w:r>
        <w:rPr>
          <w:rFonts w:hint="default" w:ascii="Times New Roman" w:hAnsi="Times New Roman" w:eastAsia="宋体" w:cs="Times New Roman"/>
          <w:color w:val="auto"/>
          <w:sz w:val="24"/>
          <w:szCs w:val="24"/>
          <w:highlight w:val="none"/>
          <w:u w:val="none" w:color="auto"/>
        </w:rPr>
        <w:t>项目所在地不属于集中式饮用水水源准保护区、补给径流区，也不属于分散式饮用水水源地，也无特殊地下水资源（如矿泉水、温泉等），项目所在地的地下水环境不敏感。</w:t>
      </w:r>
    </w:p>
    <w:p w14:paraId="09F9AB2A">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地下水环境评价工作等级分级详见下表。</w:t>
      </w:r>
    </w:p>
    <w:p w14:paraId="71E2C028">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表2.5-7 地下水评价工作等级分级表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76"/>
        <w:gridCol w:w="1986"/>
        <w:gridCol w:w="2125"/>
        <w:gridCol w:w="2035"/>
      </w:tblGrid>
      <w:tr w14:paraId="62DD7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028B3B39">
            <w:pPr>
              <w:keepNext w:val="0"/>
              <w:keepLines w:val="0"/>
              <w:pageBreakBefore w:val="0"/>
              <w:widowControl w:val="0"/>
              <w:kinsoku/>
              <w:wordWrap/>
              <w:overflowPunct/>
              <w:topLinePunct w:val="0"/>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-9525</wp:posOffset>
                      </wp:positionV>
                      <wp:extent cx="1504950" cy="409575"/>
                      <wp:effectExtent l="1270" t="4445" r="17780" b="5080"/>
                      <wp:wrapNone/>
                      <wp:docPr id="15" name="直接箭头连接符 15"/>
                      <wp:cNvGraphicFramePr/>
                      <a:graphic xmlns:a="http://schemas.openxmlformats.org/drawingml/2006/main">
                        <a:graphicData uri="http://schemas.microsoft.com/office/word/2010/wordprocessingShape">
                          <wps:wsp>
                            <wps:cNvCnPr/>
                            <wps:spPr>
                              <a:xfrm>
                                <a:off x="0" y="0"/>
                                <a:ext cx="1504950" cy="4095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pt;margin-top:-0.75pt;height:32.25pt;width:118.5pt;z-index:251659264;mso-width-relative:page;mso-height-relative:page;" filled="f" stroked="t" coordsize="21600,21600" o:gfxdata="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duhDXAAAACQEAAA8AAAAAAAAAAQAgAAAAIgAA&#10;AGRycy9kb3ducmV2LnhtbFBLAQIUABQAAAAIAIdO4kBe3dYdCQIAAAE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eastAsia="宋体" w:cs="Times New Roman"/>
                <w:color w:val="auto"/>
                <w:sz w:val="21"/>
                <w:szCs w:val="21"/>
                <w:highlight w:val="none"/>
                <w:u w:val="none" w:color="auto"/>
              </w:rPr>
              <w:t>项目类别</w:t>
            </w:r>
          </w:p>
          <w:p w14:paraId="29FF5CAB">
            <w:pPr>
              <w:keepNext w:val="0"/>
              <w:keepLines w:val="0"/>
              <w:pageBreakBefore w:val="0"/>
              <w:widowControl w:val="0"/>
              <w:kinsoku/>
              <w:wordWrap/>
              <w:overflowPunct/>
              <w:topLinePunct w:val="0"/>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环境敏感程度</w:t>
            </w:r>
          </w:p>
        </w:tc>
        <w:tc>
          <w:tcPr>
            <w:tcW w:w="1165" w:type="pct"/>
            <w:vAlign w:val="center"/>
          </w:tcPr>
          <w:p w14:paraId="0167B8F6">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Ⅰ类项目</w:t>
            </w:r>
          </w:p>
        </w:tc>
        <w:tc>
          <w:tcPr>
            <w:tcW w:w="1247" w:type="pct"/>
            <w:vAlign w:val="center"/>
          </w:tcPr>
          <w:p w14:paraId="53DEC71C">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Ⅱ类项目</w:t>
            </w:r>
          </w:p>
        </w:tc>
        <w:tc>
          <w:tcPr>
            <w:tcW w:w="1194" w:type="pct"/>
            <w:vAlign w:val="center"/>
          </w:tcPr>
          <w:p w14:paraId="6BDE30DC">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Ⅲ类项目</w:t>
            </w:r>
          </w:p>
        </w:tc>
      </w:tr>
      <w:tr w14:paraId="75864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534DC367">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敏感</w:t>
            </w:r>
          </w:p>
        </w:tc>
        <w:tc>
          <w:tcPr>
            <w:tcW w:w="1165" w:type="pct"/>
            <w:vAlign w:val="center"/>
          </w:tcPr>
          <w:p w14:paraId="6E2E67CA">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w:t>
            </w:r>
          </w:p>
        </w:tc>
        <w:tc>
          <w:tcPr>
            <w:tcW w:w="1247" w:type="pct"/>
            <w:vAlign w:val="center"/>
          </w:tcPr>
          <w:p w14:paraId="54FD2E44">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w:t>
            </w:r>
          </w:p>
        </w:tc>
        <w:tc>
          <w:tcPr>
            <w:tcW w:w="1194" w:type="pct"/>
            <w:vAlign w:val="center"/>
          </w:tcPr>
          <w:p w14:paraId="2A4F6E40">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w:t>
            </w:r>
          </w:p>
        </w:tc>
      </w:tr>
      <w:tr w14:paraId="374B2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107E5B47">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较敏感</w:t>
            </w:r>
          </w:p>
        </w:tc>
        <w:tc>
          <w:tcPr>
            <w:tcW w:w="1165" w:type="pct"/>
            <w:vAlign w:val="center"/>
          </w:tcPr>
          <w:p w14:paraId="04B0E0D2">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w:t>
            </w:r>
          </w:p>
        </w:tc>
        <w:tc>
          <w:tcPr>
            <w:tcW w:w="1247" w:type="pct"/>
            <w:vAlign w:val="center"/>
          </w:tcPr>
          <w:p w14:paraId="5FD2FEAA">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w:t>
            </w:r>
          </w:p>
        </w:tc>
        <w:tc>
          <w:tcPr>
            <w:tcW w:w="1194" w:type="pct"/>
            <w:vAlign w:val="center"/>
          </w:tcPr>
          <w:p w14:paraId="1B561EB5">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w:t>
            </w:r>
          </w:p>
        </w:tc>
      </w:tr>
      <w:tr w14:paraId="15576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496D011E">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不敏感</w:t>
            </w:r>
          </w:p>
        </w:tc>
        <w:tc>
          <w:tcPr>
            <w:tcW w:w="1165" w:type="pct"/>
            <w:vAlign w:val="center"/>
          </w:tcPr>
          <w:p w14:paraId="71FDF874">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w:t>
            </w:r>
          </w:p>
        </w:tc>
        <w:tc>
          <w:tcPr>
            <w:tcW w:w="1247" w:type="pct"/>
            <w:vAlign w:val="center"/>
          </w:tcPr>
          <w:p w14:paraId="785321EE">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w:t>
            </w:r>
          </w:p>
        </w:tc>
        <w:tc>
          <w:tcPr>
            <w:tcW w:w="1194" w:type="pct"/>
            <w:vAlign w:val="center"/>
          </w:tcPr>
          <w:p w14:paraId="05976F2E">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w:t>
            </w:r>
          </w:p>
        </w:tc>
      </w:tr>
    </w:tbl>
    <w:p w14:paraId="3D0B7DD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根据上表，确定项目地下水环境评价等级定为三级。</w:t>
      </w:r>
    </w:p>
    <w:p w14:paraId="560D7129">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（2）评价范围</w:t>
      </w:r>
    </w:p>
    <w:p w14:paraId="624DDC1D">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根据《环境影响评价技术导则地下水环境》（HJ610-2016）中对Ⅲ类建设项目三级评价要求，</w:t>
      </w:r>
      <w:r>
        <w:rPr>
          <w:rFonts w:hint="default" w:ascii="Times New Roman" w:hAnsi="Times New Roman" w:eastAsia="宋体" w:cs="Times New Roman"/>
          <w:color w:val="auto"/>
          <w:sz w:val="24"/>
          <w:szCs w:val="24"/>
          <w:highlight w:val="none"/>
          <w:u w:val="single" w:color="auto"/>
        </w:rPr>
        <w:t>地下水环境现状评价范围</w:t>
      </w:r>
      <w:r>
        <w:rPr>
          <w:rFonts w:hint="default" w:ascii="Times New Roman" w:hAnsi="Times New Roman" w:eastAsia="宋体" w:cs="Times New Roman"/>
          <w:color w:val="auto"/>
          <w:sz w:val="24"/>
          <w:szCs w:val="24"/>
          <w:highlight w:val="none"/>
          <w:u w:val="single" w:color="auto"/>
          <w:lang w:eastAsia="zh-CN"/>
        </w:rPr>
        <w:t>为</w:t>
      </w:r>
      <w:r>
        <w:rPr>
          <w:rFonts w:hint="default" w:ascii="Times New Roman" w:hAnsi="Times New Roman" w:eastAsia="宋体" w:cs="Times New Roman"/>
          <w:color w:val="auto"/>
          <w:sz w:val="24"/>
          <w:szCs w:val="24"/>
          <w:highlight w:val="none"/>
          <w:u w:val="single" w:color="auto"/>
        </w:rPr>
        <w:t>本项目</w:t>
      </w:r>
      <w:r>
        <w:rPr>
          <w:rFonts w:hint="default" w:ascii="Times New Roman" w:hAnsi="Times New Roman" w:eastAsia="宋体" w:cs="Times New Roman"/>
          <w:color w:val="auto"/>
          <w:sz w:val="24"/>
          <w:szCs w:val="24"/>
          <w:highlight w:val="none"/>
          <w:u w:val="single" w:color="auto"/>
          <w:lang w:val="en-US" w:eastAsia="zh-CN"/>
        </w:rPr>
        <w:t>周边1000米范围</w:t>
      </w:r>
      <w:r>
        <w:rPr>
          <w:rFonts w:hint="default" w:ascii="Times New Roman" w:hAnsi="Times New Roman" w:eastAsia="宋体" w:cs="Times New Roman"/>
          <w:color w:val="auto"/>
          <w:sz w:val="24"/>
          <w:szCs w:val="24"/>
          <w:highlight w:val="none"/>
          <w:u w:val="single" w:color="auto"/>
        </w:rPr>
        <w:t>。</w:t>
      </w:r>
    </w:p>
    <w:p w14:paraId="676F06BA">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2.5.4声环境</w:t>
      </w:r>
    </w:p>
    <w:p w14:paraId="7AB115F2">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color w:val="auto"/>
          <w:kern w:val="0"/>
          <w:sz w:val="24"/>
          <w:szCs w:val="24"/>
          <w:highlight w:val="none"/>
          <w:u w:val="none" w:color="auto"/>
          <w:lang w:bidi="en-US"/>
        </w:rPr>
        <w:t>（1）评价等级</w:t>
      </w:r>
    </w:p>
    <w:p w14:paraId="72C13A2B">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strike w:val="0"/>
          <w:dstrike w:val="0"/>
          <w:color w:val="auto"/>
          <w:kern w:val="0"/>
          <w:sz w:val="24"/>
          <w:szCs w:val="24"/>
          <w:highlight w:val="none"/>
          <w:u w:val="none" w:color="auto"/>
          <w:lang w:bidi="en-US"/>
        </w:rPr>
        <w:t>根据工程分析，对照</w:t>
      </w:r>
      <w:r>
        <w:rPr>
          <w:rFonts w:hint="default" w:ascii="Times New Roman" w:hAnsi="Times New Roman" w:eastAsia="宋体" w:cs="Times New Roman"/>
          <w:strike w:val="0"/>
          <w:dstrike w:val="0"/>
          <w:color w:val="auto"/>
          <w:sz w:val="24"/>
          <w:szCs w:val="24"/>
          <w:highlight w:val="none"/>
          <w:u w:val="none" w:color="auto"/>
        </w:rPr>
        <w:t>《环境影响评价技术导则声环境》（</w:t>
      </w:r>
      <w:r>
        <w:rPr>
          <w:rFonts w:hint="default" w:ascii="Times New Roman" w:hAnsi="Times New Roman" w:eastAsia="宋体" w:cs="Times New Roman"/>
          <w:strike w:val="0"/>
          <w:dstrike w:val="0"/>
          <w:color w:val="auto"/>
          <w:sz w:val="24"/>
          <w:szCs w:val="24"/>
          <w:highlight w:val="none"/>
          <w:u w:val="none" w:color="auto"/>
          <w:lang w:eastAsia="zh-CN"/>
        </w:rPr>
        <w:t>HJ2.4-2021</w:t>
      </w:r>
      <w:r>
        <w:rPr>
          <w:rFonts w:hint="default" w:ascii="Times New Roman" w:hAnsi="Times New Roman" w:eastAsia="宋体" w:cs="Times New Roman"/>
          <w:strike w:val="0"/>
          <w:dstrike w:val="0"/>
          <w:color w:val="auto"/>
          <w:sz w:val="24"/>
          <w:szCs w:val="24"/>
          <w:highlight w:val="none"/>
          <w:u w:val="none" w:color="auto"/>
        </w:rPr>
        <w:t>）</w:t>
      </w:r>
      <w:r>
        <w:rPr>
          <w:rFonts w:hint="default" w:ascii="Times New Roman" w:hAnsi="Times New Roman" w:eastAsia="宋体" w:cs="Times New Roman"/>
          <w:strike w:val="0"/>
          <w:dstrike w:val="0"/>
          <w:color w:val="auto"/>
          <w:kern w:val="0"/>
          <w:sz w:val="24"/>
          <w:szCs w:val="24"/>
          <w:highlight w:val="none"/>
          <w:u w:val="none" w:color="auto"/>
          <w:lang w:bidi="en-US"/>
        </w:rPr>
        <w:t>中评价等级的划分规定，</w:t>
      </w:r>
      <w:r>
        <w:rPr>
          <w:rFonts w:hint="default" w:ascii="Times New Roman" w:hAnsi="Times New Roman" w:eastAsia="宋体" w:cs="Times New Roman"/>
          <w:color w:val="auto"/>
          <w:kern w:val="0"/>
          <w:sz w:val="24"/>
          <w:szCs w:val="24"/>
          <w:highlight w:val="none"/>
          <w:u w:val="none" w:color="auto"/>
          <w:lang w:bidi="en-US"/>
        </w:rPr>
        <w:t>结合区域环境敏感区的分布情况等进行综合考虑，确定本项目声环境评价工作等级为三级。具体评定过程详见下表：</w:t>
      </w:r>
    </w:p>
    <w:p w14:paraId="30D11975">
      <w:pPr>
        <w:keepNext w:val="0"/>
        <w:keepLines w:val="0"/>
        <w:pageBreakBefore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color w:val="auto"/>
          <w:kern w:val="0"/>
          <w:sz w:val="21"/>
          <w:szCs w:val="21"/>
          <w:highlight w:val="none"/>
          <w:u w:val="none" w:color="auto"/>
          <w:lang w:bidi="en-US"/>
        </w:rPr>
      </w:pPr>
      <w:r>
        <w:rPr>
          <w:rFonts w:hint="default" w:ascii="Times New Roman" w:hAnsi="Times New Roman" w:eastAsia="宋体" w:cs="Times New Roman"/>
          <w:b/>
          <w:color w:val="auto"/>
          <w:kern w:val="0"/>
          <w:sz w:val="21"/>
          <w:szCs w:val="21"/>
          <w:highlight w:val="none"/>
          <w:u w:val="none" w:color="auto"/>
          <w:lang w:bidi="en-US"/>
        </w:rPr>
        <w:t>表2.5-8本项目声环境评价等级划分表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652"/>
        <w:gridCol w:w="4870"/>
      </w:tblGrid>
      <w:tr w14:paraId="280F9E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52" w:type="dxa"/>
            <w:vAlign w:val="center"/>
          </w:tcPr>
          <w:p w14:paraId="58CE6064">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项目</w:t>
            </w:r>
          </w:p>
        </w:tc>
        <w:tc>
          <w:tcPr>
            <w:tcW w:w="4870" w:type="dxa"/>
            <w:vAlign w:val="center"/>
          </w:tcPr>
          <w:p w14:paraId="030B6A83">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评定结果</w:t>
            </w:r>
          </w:p>
        </w:tc>
      </w:tr>
      <w:tr w14:paraId="0236E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52" w:type="dxa"/>
            <w:vAlign w:val="center"/>
          </w:tcPr>
          <w:p w14:paraId="7D8E79CE">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bidi="en-US"/>
              </w:rPr>
            </w:pPr>
            <w:r>
              <w:rPr>
                <w:rFonts w:hint="default" w:ascii="Times New Roman" w:hAnsi="Times New Roman" w:eastAsia="宋体" w:cs="Times New Roman"/>
                <w:color w:val="auto"/>
                <w:kern w:val="0"/>
                <w:sz w:val="21"/>
                <w:szCs w:val="21"/>
                <w:highlight w:val="none"/>
                <w:u w:val="none" w:color="auto"/>
                <w:lang w:bidi="en-US"/>
              </w:rPr>
              <w:t>项目所在区域声环境功能区域</w:t>
            </w:r>
          </w:p>
        </w:tc>
        <w:tc>
          <w:tcPr>
            <w:tcW w:w="4870" w:type="dxa"/>
            <w:vAlign w:val="center"/>
          </w:tcPr>
          <w:p w14:paraId="40A8B7C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bidi="en-US"/>
              </w:rPr>
            </w:pPr>
            <w:r>
              <w:rPr>
                <w:rFonts w:hint="default" w:ascii="Times New Roman" w:hAnsi="Times New Roman" w:eastAsia="宋体" w:cs="Times New Roman"/>
                <w:color w:val="auto"/>
                <w:kern w:val="0"/>
                <w:sz w:val="21"/>
                <w:szCs w:val="21"/>
                <w:highlight w:val="none"/>
                <w:u w:val="none" w:color="auto"/>
                <w:lang w:bidi="en-US"/>
              </w:rPr>
              <w:t>《声环境质量标准》规定的3类地区</w:t>
            </w:r>
          </w:p>
        </w:tc>
      </w:tr>
      <w:tr w14:paraId="28EA4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52" w:type="dxa"/>
            <w:vAlign w:val="center"/>
          </w:tcPr>
          <w:p w14:paraId="1A06A5C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受影响人口</w:t>
            </w:r>
          </w:p>
        </w:tc>
        <w:tc>
          <w:tcPr>
            <w:tcW w:w="4870" w:type="dxa"/>
            <w:vAlign w:val="center"/>
          </w:tcPr>
          <w:p w14:paraId="534A7268">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bidi="en-US"/>
              </w:rPr>
            </w:pPr>
            <w:r>
              <w:rPr>
                <w:rFonts w:hint="default" w:ascii="Times New Roman" w:hAnsi="Times New Roman" w:eastAsia="宋体" w:cs="Times New Roman"/>
                <w:color w:val="auto"/>
                <w:kern w:val="0"/>
                <w:sz w:val="21"/>
                <w:szCs w:val="21"/>
                <w:highlight w:val="none"/>
                <w:u w:val="none" w:color="auto"/>
                <w:lang w:bidi="en-US"/>
              </w:rPr>
              <w:t>项目所在区域声环境不敏感，</w:t>
            </w:r>
          </w:p>
          <w:p w14:paraId="29A710F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bidi="en-US"/>
              </w:rPr>
            </w:pPr>
            <w:r>
              <w:rPr>
                <w:rFonts w:hint="default" w:ascii="Times New Roman" w:hAnsi="Times New Roman" w:eastAsia="宋体" w:cs="Times New Roman"/>
                <w:color w:val="auto"/>
                <w:kern w:val="0"/>
                <w:sz w:val="21"/>
                <w:szCs w:val="21"/>
                <w:highlight w:val="none"/>
                <w:u w:val="none" w:color="auto"/>
                <w:lang w:bidi="en-US"/>
              </w:rPr>
              <w:t>受噪声影响的人口变化不大</w:t>
            </w:r>
          </w:p>
        </w:tc>
      </w:tr>
      <w:tr w14:paraId="1C1E2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52" w:type="dxa"/>
            <w:vAlign w:val="center"/>
          </w:tcPr>
          <w:p w14:paraId="1CE2E331">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bidi="en-US"/>
              </w:rPr>
            </w:pPr>
            <w:r>
              <w:rPr>
                <w:rFonts w:hint="default" w:ascii="Times New Roman" w:hAnsi="Times New Roman" w:eastAsia="宋体" w:cs="Times New Roman"/>
                <w:color w:val="auto"/>
                <w:kern w:val="0"/>
                <w:sz w:val="21"/>
                <w:szCs w:val="21"/>
                <w:highlight w:val="none"/>
                <w:u w:val="none" w:color="auto"/>
                <w:lang w:bidi="en-US"/>
              </w:rPr>
              <w:t>项目建设前后噪声级增量</w:t>
            </w:r>
          </w:p>
        </w:tc>
        <w:tc>
          <w:tcPr>
            <w:tcW w:w="4870" w:type="dxa"/>
            <w:vAlign w:val="center"/>
          </w:tcPr>
          <w:p w14:paraId="0B8D35DC">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&lt;3dB（A）</w:t>
            </w:r>
          </w:p>
        </w:tc>
      </w:tr>
      <w:tr w14:paraId="57C4AB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52" w:type="dxa"/>
            <w:vAlign w:val="center"/>
          </w:tcPr>
          <w:p w14:paraId="56CD9E42">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评价等级</w:t>
            </w:r>
          </w:p>
        </w:tc>
        <w:tc>
          <w:tcPr>
            <w:tcW w:w="4870" w:type="dxa"/>
            <w:vAlign w:val="center"/>
          </w:tcPr>
          <w:p w14:paraId="3B2F3270">
            <w:pPr>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eastAsia="en-US" w:bidi="en-US"/>
              </w:rPr>
            </w:pPr>
            <w:r>
              <w:rPr>
                <w:rFonts w:hint="default" w:ascii="Times New Roman" w:hAnsi="Times New Roman" w:eastAsia="宋体" w:cs="Times New Roman"/>
                <w:color w:val="auto"/>
                <w:kern w:val="0"/>
                <w:sz w:val="21"/>
                <w:szCs w:val="21"/>
                <w:highlight w:val="none"/>
                <w:u w:val="none" w:color="auto"/>
                <w:lang w:eastAsia="en-US" w:bidi="en-US"/>
              </w:rPr>
              <w:t>三级</w:t>
            </w:r>
          </w:p>
        </w:tc>
      </w:tr>
    </w:tbl>
    <w:p w14:paraId="5C1D8018">
      <w:pPr>
        <w:pageBreakBefore w:val="0"/>
        <w:widowControl/>
        <w:kinsoku/>
        <w:wordWrap/>
        <w:overflowPunct/>
        <w:topLinePunct w:val="0"/>
        <w:bidi w:val="0"/>
        <w:spacing w:line="360" w:lineRule="auto"/>
        <w:ind w:left="0" w:leftChars="0" w:firstLine="480" w:firstLineChars="200"/>
        <w:rPr>
          <w:rFonts w:hint="default" w:ascii="Times New Roman" w:hAnsi="Times New Roman" w:eastAsia="宋体" w:cs="Times New Roman"/>
          <w:color w:val="auto"/>
          <w:kern w:val="0"/>
          <w:sz w:val="24"/>
          <w:szCs w:val="24"/>
          <w:highlight w:val="none"/>
          <w:u w:val="none" w:color="auto"/>
          <w:lang w:bidi="en-US"/>
        </w:rPr>
      </w:pPr>
      <w:r>
        <w:rPr>
          <w:rFonts w:hint="default" w:ascii="Times New Roman" w:hAnsi="Times New Roman" w:eastAsia="宋体" w:cs="Times New Roman"/>
          <w:color w:val="auto"/>
          <w:kern w:val="0"/>
          <w:sz w:val="24"/>
          <w:szCs w:val="24"/>
          <w:highlight w:val="none"/>
          <w:u w:val="none" w:color="auto"/>
          <w:lang w:bidi="en-US"/>
        </w:rPr>
        <w:t>（2）评价范围</w:t>
      </w:r>
    </w:p>
    <w:p w14:paraId="36907A87">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lang w:bidi="en-US"/>
        </w:rPr>
        <w:t>项目所在地厂界外200m范围。</w:t>
      </w:r>
    </w:p>
    <w:p w14:paraId="0564067D">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2.5.5生态环境</w:t>
      </w:r>
    </w:p>
    <w:p w14:paraId="2DADB47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eastAsia="zh-CN"/>
        </w:rPr>
      </w:pP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lang w:val="en-US" w:eastAsia="zh-CN"/>
        </w:rPr>
        <w:t>1</w:t>
      </w:r>
      <w:r>
        <w:rPr>
          <w:rFonts w:hint="default" w:ascii="Times New Roman" w:hAnsi="Times New Roman" w:eastAsia="宋体" w:cs="Times New Roman"/>
          <w:strike w:val="0"/>
          <w:dstrike w:val="0"/>
          <w:color w:val="auto"/>
          <w:sz w:val="24"/>
          <w:szCs w:val="24"/>
          <w:highlight w:val="none"/>
          <w:u w:val="none" w:color="auto"/>
          <w:lang w:eastAsia="zh-CN"/>
        </w:rPr>
        <w:t>）评价等级</w:t>
      </w:r>
    </w:p>
    <w:p w14:paraId="27A0536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val="en-US" w:eastAsia="zh-CN"/>
        </w:rPr>
      </w:pPr>
      <w:r>
        <w:rPr>
          <w:rFonts w:hint="default" w:ascii="Times New Roman" w:hAnsi="Times New Roman" w:eastAsia="宋体" w:cs="Times New Roman"/>
          <w:strike w:val="0"/>
          <w:dstrike w:val="0"/>
          <w:color w:val="auto"/>
          <w:sz w:val="24"/>
          <w:szCs w:val="24"/>
          <w:highlight w:val="none"/>
          <w:u w:val="none" w:color="auto"/>
          <w:lang w:eastAsia="zh-CN"/>
        </w:rPr>
        <w:t>根据</w:t>
      </w:r>
      <w:r>
        <w:rPr>
          <w:rFonts w:hint="default" w:ascii="Times New Roman" w:hAnsi="Times New Roman" w:eastAsia="宋体" w:cs="Times New Roman"/>
          <w:strike w:val="0"/>
          <w:dstrike w:val="0"/>
          <w:color w:val="auto"/>
          <w:sz w:val="24"/>
          <w:szCs w:val="24"/>
          <w:highlight w:val="none"/>
          <w:u w:val="none" w:color="auto"/>
        </w:rPr>
        <w:t>《环境影响评价技术导则生态影响》（</w:t>
      </w:r>
      <w:r>
        <w:rPr>
          <w:rFonts w:hint="default" w:ascii="Times New Roman" w:hAnsi="Times New Roman" w:eastAsia="宋体" w:cs="Times New Roman"/>
          <w:strike w:val="0"/>
          <w:dstrike w:val="0"/>
          <w:color w:val="auto"/>
          <w:sz w:val="24"/>
          <w:szCs w:val="24"/>
          <w:highlight w:val="none"/>
          <w:u w:val="none" w:color="auto"/>
          <w:lang w:eastAsia="zh-CN"/>
        </w:rPr>
        <w:t>HJ19-2022）</w:t>
      </w:r>
      <w:r>
        <w:rPr>
          <w:rFonts w:hint="default" w:ascii="Times New Roman" w:hAnsi="Times New Roman" w:eastAsia="宋体" w:cs="Times New Roman"/>
          <w:strike w:val="0"/>
          <w:dstrike w:val="0"/>
          <w:color w:val="auto"/>
          <w:sz w:val="24"/>
          <w:szCs w:val="24"/>
          <w:highlight w:val="none"/>
          <w:u w:val="none" w:color="auto"/>
          <w:lang w:val="en-US" w:eastAsia="zh-CN"/>
        </w:rPr>
        <w:t>6.1.2节可知，等级评价原则如下：</w:t>
      </w:r>
    </w:p>
    <w:p w14:paraId="57006C5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eastAsia="zh-CN"/>
        </w:rPr>
      </w:pPr>
      <w:r>
        <w:rPr>
          <w:rFonts w:hint="default" w:ascii="Times New Roman" w:hAnsi="Times New Roman" w:eastAsia="宋体" w:cs="Times New Roman"/>
          <w:strike w:val="0"/>
          <w:dstrike w:val="0"/>
          <w:color w:val="auto"/>
          <w:sz w:val="24"/>
          <w:szCs w:val="24"/>
          <w:highlight w:val="none"/>
          <w:u w:val="none" w:color="auto"/>
          <w:lang w:val="en-US" w:eastAsia="zh-CN"/>
        </w:rPr>
        <w:t>a）</w:t>
      </w:r>
      <w:r>
        <w:rPr>
          <w:rFonts w:hint="default" w:ascii="Times New Roman" w:hAnsi="Times New Roman" w:eastAsia="宋体" w:cs="Times New Roman"/>
          <w:strike w:val="0"/>
          <w:dstrike w:val="0"/>
          <w:color w:val="auto"/>
          <w:sz w:val="24"/>
          <w:szCs w:val="24"/>
          <w:highlight w:val="none"/>
          <w:u w:val="none" w:color="auto"/>
        </w:rPr>
        <w:t>涉及国家公园、自然保护区、世界自然遗产、重要</w:t>
      </w:r>
      <w:r>
        <w:rPr>
          <w:rFonts w:hint="eastAsia" w:ascii="Times New Roman" w:hAnsi="Times New Roman" w:eastAsia="宋体" w:cs="Times New Roman"/>
          <w:strike w:val="0"/>
          <w:dstrike w:val="0"/>
          <w:color w:val="auto"/>
          <w:sz w:val="24"/>
          <w:szCs w:val="24"/>
          <w:highlight w:val="none"/>
          <w:u w:val="none" w:color="auto"/>
          <w:lang w:eastAsia="zh-CN"/>
        </w:rPr>
        <w:t>环境</w:t>
      </w:r>
      <w:r>
        <w:rPr>
          <w:rFonts w:hint="default" w:ascii="Times New Roman" w:hAnsi="Times New Roman" w:eastAsia="宋体" w:cs="Times New Roman"/>
          <w:strike w:val="0"/>
          <w:dstrike w:val="0"/>
          <w:color w:val="auto"/>
          <w:sz w:val="24"/>
          <w:szCs w:val="24"/>
          <w:highlight w:val="none"/>
          <w:u w:val="none" w:color="auto"/>
        </w:rPr>
        <w:t>时，评价等级为一级</w:t>
      </w:r>
      <w:r>
        <w:rPr>
          <w:rFonts w:hint="default" w:ascii="Times New Roman" w:hAnsi="Times New Roman" w:eastAsia="宋体" w:cs="Times New Roman"/>
          <w:strike w:val="0"/>
          <w:dstrike w:val="0"/>
          <w:color w:val="auto"/>
          <w:sz w:val="24"/>
          <w:szCs w:val="24"/>
          <w:highlight w:val="none"/>
          <w:u w:val="none" w:color="auto"/>
          <w:lang w:eastAsia="zh-CN"/>
        </w:rPr>
        <w:t>；</w:t>
      </w:r>
    </w:p>
    <w:p w14:paraId="3994154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eastAsia="zh-CN"/>
        </w:rPr>
      </w:pPr>
      <w:r>
        <w:rPr>
          <w:rFonts w:hint="default" w:ascii="Times New Roman" w:hAnsi="Times New Roman" w:eastAsia="宋体" w:cs="Times New Roman"/>
          <w:strike w:val="0"/>
          <w:dstrike w:val="0"/>
          <w:color w:val="auto"/>
          <w:sz w:val="24"/>
          <w:szCs w:val="24"/>
          <w:highlight w:val="none"/>
          <w:u w:val="none" w:color="auto"/>
        </w:rPr>
        <w:t>b</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涉及自然公园时，评价等级为二级</w:t>
      </w:r>
      <w:r>
        <w:rPr>
          <w:rFonts w:hint="default" w:ascii="Times New Roman" w:hAnsi="Times New Roman" w:eastAsia="宋体" w:cs="Times New Roman"/>
          <w:strike w:val="0"/>
          <w:dstrike w:val="0"/>
          <w:color w:val="auto"/>
          <w:sz w:val="24"/>
          <w:szCs w:val="24"/>
          <w:highlight w:val="none"/>
          <w:u w:val="none" w:color="auto"/>
          <w:lang w:eastAsia="zh-CN"/>
        </w:rPr>
        <w:t>；</w:t>
      </w:r>
    </w:p>
    <w:p w14:paraId="1CE67AB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eastAsia="zh-CN"/>
        </w:rPr>
      </w:pPr>
      <w:r>
        <w:rPr>
          <w:rFonts w:hint="default" w:ascii="Times New Roman" w:hAnsi="Times New Roman" w:eastAsia="宋体" w:cs="Times New Roman"/>
          <w:strike w:val="0"/>
          <w:dstrike w:val="0"/>
          <w:color w:val="auto"/>
          <w:sz w:val="24"/>
          <w:szCs w:val="24"/>
          <w:highlight w:val="none"/>
          <w:u w:val="none" w:color="auto"/>
        </w:rPr>
        <w:t>c</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涉及生态保护红线时，评价等级不低于二级</w:t>
      </w:r>
      <w:r>
        <w:rPr>
          <w:rFonts w:hint="default" w:ascii="Times New Roman" w:hAnsi="Times New Roman" w:eastAsia="宋体" w:cs="Times New Roman"/>
          <w:strike w:val="0"/>
          <w:dstrike w:val="0"/>
          <w:color w:val="auto"/>
          <w:sz w:val="24"/>
          <w:szCs w:val="24"/>
          <w:highlight w:val="none"/>
          <w:u w:val="none" w:color="auto"/>
          <w:lang w:eastAsia="zh-CN"/>
        </w:rPr>
        <w:t>；</w:t>
      </w:r>
    </w:p>
    <w:p w14:paraId="6D11CAE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eastAsia="zh-CN"/>
        </w:rPr>
      </w:pPr>
      <w:r>
        <w:rPr>
          <w:rFonts w:hint="default" w:ascii="Times New Roman" w:hAnsi="Times New Roman" w:eastAsia="宋体" w:cs="Times New Roman"/>
          <w:strike w:val="0"/>
          <w:dstrike w:val="0"/>
          <w:color w:val="auto"/>
          <w:sz w:val="24"/>
          <w:szCs w:val="24"/>
          <w:highlight w:val="none"/>
          <w:u w:val="none" w:color="auto"/>
        </w:rPr>
        <w:t>d</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根据HJ2.3判断属于水文要素影响型且地表水评价等级不低于二级的建设项目，生态影响评价等级不低于二级</w:t>
      </w:r>
      <w:r>
        <w:rPr>
          <w:rFonts w:hint="default" w:ascii="Times New Roman" w:hAnsi="Times New Roman" w:eastAsia="宋体" w:cs="Times New Roman"/>
          <w:strike w:val="0"/>
          <w:dstrike w:val="0"/>
          <w:color w:val="auto"/>
          <w:sz w:val="24"/>
          <w:szCs w:val="24"/>
          <w:highlight w:val="none"/>
          <w:u w:val="none" w:color="auto"/>
          <w:lang w:eastAsia="zh-CN"/>
        </w:rPr>
        <w:t>；</w:t>
      </w:r>
    </w:p>
    <w:p w14:paraId="2831AB4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eastAsia="zh-CN"/>
        </w:rPr>
      </w:pPr>
      <w:r>
        <w:rPr>
          <w:rFonts w:hint="default" w:ascii="Times New Roman" w:hAnsi="Times New Roman" w:eastAsia="宋体" w:cs="Times New Roman"/>
          <w:strike w:val="0"/>
          <w:dstrike w:val="0"/>
          <w:color w:val="auto"/>
          <w:sz w:val="24"/>
          <w:szCs w:val="24"/>
          <w:highlight w:val="none"/>
          <w:u w:val="none" w:color="auto"/>
        </w:rPr>
        <w:t>e</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根据HJ610、HJ964 判断地下水水位或土壤影响范围内分布有天然林、公益林、湿地等生态保护目标的建设项目，生态影响评价等级不低于二级</w:t>
      </w:r>
      <w:r>
        <w:rPr>
          <w:rFonts w:hint="default" w:ascii="Times New Roman" w:hAnsi="Times New Roman" w:eastAsia="宋体" w:cs="Times New Roman"/>
          <w:strike w:val="0"/>
          <w:dstrike w:val="0"/>
          <w:color w:val="auto"/>
          <w:sz w:val="24"/>
          <w:szCs w:val="24"/>
          <w:highlight w:val="none"/>
          <w:u w:val="none" w:color="auto"/>
          <w:lang w:eastAsia="zh-CN"/>
        </w:rPr>
        <w:t>；</w:t>
      </w:r>
    </w:p>
    <w:p w14:paraId="6B569D8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eastAsia="zh-CN"/>
        </w:rPr>
      </w:pPr>
      <w:r>
        <w:rPr>
          <w:rFonts w:hint="default" w:ascii="Times New Roman" w:hAnsi="Times New Roman" w:eastAsia="宋体" w:cs="Times New Roman"/>
          <w:strike w:val="0"/>
          <w:dstrike w:val="0"/>
          <w:color w:val="auto"/>
          <w:sz w:val="24"/>
          <w:szCs w:val="24"/>
          <w:highlight w:val="none"/>
          <w:u w:val="none" w:color="auto"/>
        </w:rPr>
        <w:t>f</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当工程占地规模大于20km时(包括永久和临时占用陆域和水域</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，评价等级不低于二级</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改扩建项目的占地范围以新增占地(包括陆域和水域</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确定</w:t>
      </w:r>
      <w:r>
        <w:rPr>
          <w:rFonts w:hint="default" w:ascii="Times New Roman" w:hAnsi="Times New Roman" w:eastAsia="宋体" w:cs="Times New Roman"/>
          <w:strike w:val="0"/>
          <w:dstrike w:val="0"/>
          <w:color w:val="auto"/>
          <w:sz w:val="24"/>
          <w:szCs w:val="24"/>
          <w:highlight w:val="none"/>
          <w:u w:val="none" w:color="auto"/>
          <w:lang w:eastAsia="zh-CN"/>
        </w:rPr>
        <w:t>；</w:t>
      </w:r>
    </w:p>
    <w:p w14:paraId="5A3E333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eastAsia="zh-CN"/>
        </w:rPr>
      </w:pPr>
      <w:r>
        <w:rPr>
          <w:rFonts w:hint="default" w:ascii="Times New Roman" w:hAnsi="Times New Roman" w:eastAsia="宋体" w:cs="Times New Roman"/>
          <w:strike w:val="0"/>
          <w:dstrike w:val="0"/>
          <w:color w:val="auto"/>
          <w:sz w:val="24"/>
          <w:szCs w:val="24"/>
          <w:highlight w:val="none"/>
          <w:u w:val="none" w:color="auto"/>
        </w:rPr>
        <w:t>g</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除本条a</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、b</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、c</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、d</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、e</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、f</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以外的情况，评价等级为三级</w:t>
      </w:r>
      <w:r>
        <w:rPr>
          <w:rFonts w:hint="default" w:ascii="Times New Roman" w:hAnsi="Times New Roman" w:eastAsia="宋体" w:cs="Times New Roman"/>
          <w:strike w:val="0"/>
          <w:dstrike w:val="0"/>
          <w:color w:val="auto"/>
          <w:sz w:val="24"/>
          <w:szCs w:val="24"/>
          <w:highlight w:val="none"/>
          <w:u w:val="none" w:color="auto"/>
          <w:lang w:eastAsia="zh-CN"/>
        </w:rPr>
        <w:t>；</w:t>
      </w:r>
    </w:p>
    <w:p w14:paraId="544FD6C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lang w:eastAsia="zh-CN"/>
        </w:rPr>
      </w:pPr>
      <w:r>
        <w:rPr>
          <w:rFonts w:hint="default" w:ascii="Times New Roman" w:hAnsi="Times New Roman" w:eastAsia="宋体" w:cs="Times New Roman"/>
          <w:strike w:val="0"/>
          <w:dstrike w:val="0"/>
          <w:color w:val="auto"/>
          <w:sz w:val="24"/>
          <w:szCs w:val="24"/>
          <w:highlight w:val="none"/>
          <w:u w:val="none" w:color="auto"/>
        </w:rPr>
        <w:t>h</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当评价等级判定同时符合上述多种情况时，应采用其中最高的评价等级</w:t>
      </w:r>
      <w:r>
        <w:rPr>
          <w:rFonts w:hint="default" w:ascii="Times New Roman" w:hAnsi="Times New Roman" w:eastAsia="宋体" w:cs="Times New Roman"/>
          <w:strike w:val="0"/>
          <w:dstrike w:val="0"/>
          <w:color w:val="auto"/>
          <w:sz w:val="24"/>
          <w:szCs w:val="24"/>
          <w:highlight w:val="none"/>
          <w:u w:val="none" w:color="auto"/>
          <w:lang w:eastAsia="zh-CN"/>
        </w:rPr>
        <w:t>。</w:t>
      </w:r>
    </w:p>
    <w:p w14:paraId="3EE5AD5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sz w:val="24"/>
          <w:szCs w:val="24"/>
          <w:highlight w:val="none"/>
          <w:u w:val="none" w:color="auto"/>
        </w:rPr>
        <w:t>本项目位于</w:t>
      </w:r>
      <w:r>
        <w:rPr>
          <w:rFonts w:hint="default" w:ascii="Times New Roman" w:hAnsi="Times New Roman" w:eastAsia="宋体" w:cs="Times New Roman"/>
          <w:color w:val="auto"/>
          <w:kern w:val="0"/>
          <w:sz w:val="24"/>
          <w:szCs w:val="24"/>
          <w:highlight w:val="none"/>
          <w:u w:val="none" w:color="auto"/>
          <w:lang w:eastAsia="zh-CN"/>
        </w:rPr>
        <w:t>衡阳松木经济开发区</w:t>
      </w:r>
      <w:r>
        <w:rPr>
          <w:rFonts w:hint="default" w:ascii="Times New Roman" w:hAnsi="Times New Roman" w:eastAsia="宋体" w:cs="Times New Roman"/>
          <w:strike w:val="0"/>
          <w:dstrike w:val="0"/>
          <w:color w:val="auto"/>
          <w:sz w:val="24"/>
          <w:szCs w:val="24"/>
          <w:highlight w:val="none"/>
          <w:u w:val="none" w:color="auto"/>
        </w:rPr>
        <w:t>范围内，</w:t>
      </w:r>
      <w:r>
        <w:rPr>
          <w:rFonts w:hint="default" w:ascii="Times New Roman" w:hAnsi="Times New Roman" w:eastAsia="宋体" w:cs="Times New Roman"/>
          <w:strike w:val="0"/>
          <w:dstrike w:val="0"/>
          <w:color w:val="auto"/>
          <w:sz w:val="24"/>
          <w:szCs w:val="24"/>
          <w:highlight w:val="none"/>
          <w:u w:val="none" w:color="auto"/>
          <w:lang w:eastAsia="zh-CN"/>
        </w:rPr>
        <w:t>不涉及</w:t>
      </w:r>
      <w:r>
        <w:rPr>
          <w:rFonts w:hint="default" w:ascii="Times New Roman" w:hAnsi="Times New Roman" w:eastAsia="宋体" w:cs="Times New Roman"/>
          <w:strike w:val="0"/>
          <w:dstrike w:val="0"/>
          <w:color w:val="auto"/>
          <w:sz w:val="24"/>
          <w:szCs w:val="24"/>
          <w:highlight w:val="none"/>
          <w:u w:val="none" w:color="auto"/>
        </w:rPr>
        <w:t>国家公园、自然保护区、世界自然遗产、重要</w:t>
      </w:r>
      <w:r>
        <w:rPr>
          <w:rFonts w:hint="eastAsia" w:ascii="Times New Roman" w:hAnsi="Times New Roman" w:eastAsia="宋体" w:cs="Times New Roman"/>
          <w:strike w:val="0"/>
          <w:dstrike w:val="0"/>
          <w:color w:val="auto"/>
          <w:sz w:val="24"/>
          <w:szCs w:val="24"/>
          <w:highlight w:val="none"/>
          <w:u w:val="none" w:color="auto"/>
          <w:lang w:eastAsia="zh-CN"/>
        </w:rPr>
        <w:t>环境</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自然公园</w:t>
      </w:r>
      <w:r>
        <w:rPr>
          <w:rFonts w:hint="default" w:ascii="Times New Roman" w:hAnsi="Times New Roman" w:eastAsia="宋体" w:cs="Times New Roman"/>
          <w:strike w:val="0"/>
          <w:dstrike w:val="0"/>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4"/>
          <w:highlight w:val="none"/>
          <w:u w:val="none" w:color="auto"/>
        </w:rPr>
        <w:t>生态保护红线</w:t>
      </w:r>
      <w:r>
        <w:rPr>
          <w:rFonts w:hint="default" w:ascii="Times New Roman" w:hAnsi="Times New Roman" w:eastAsia="宋体" w:cs="Times New Roman"/>
          <w:strike w:val="0"/>
          <w:dstrike w:val="0"/>
          <w:color w:val="auto"/>
          <w:sz w:val="24"/>
          <w:szCs w:val="24"/>
          <w:highlight w:val="none"/>
          <w:u w:val="none" w:color="auto"/>
          <w:lang w:eastAsia="zh-CN"/>
        </w:rPr>
        <w:t>，新增</w:t>
      </w:r>
      <w:r>
        <w:rPr>
          <w:rFonts w:hint="default" w:ascii="Times New Roman" w:hAnsi="Times New Roman" w:eastAsia="宋体" w:cs="Times New Roman"/>
          <w:strike w:val="0"/>
          <w:dstrike w:val="0"/>
          <w:color w:val="auto"/>
          <w:sz w:val="24"/>
          <w:szCs w:val="24"/>
          <w:highlight w:val="none"/>
          <w:u w:val="none" w:color="auto"/>
        </w:rPr>
        <w:t>占地面积＜2km</w:t>
      </w:r>
      <w:r>
        <w:rPr>
          <w:rFonts w:hint="default" w:ascii="Times New Roman" w:hAnsi="Times New Roman" w:eastAsia="宋体" w:cs="Times New Roman"/>
          <w:strike w:val="0"/>
          <w:dstrike w:val="0"/>
          <w:color w:val="auto"/>
          <w:sz w:val="24"/>
          <w:szCs w:val="24"/>
          <w:highlight w:val="none"/>
          <w:u w:val="none" w:color="auto"/>
          <w:vertAlign w:val="superscript"/>
        </w:rPr>
        <w:t>2</w:t>
      </w:r>
      <w:r>
        <w:rPr>
          <w:rFonts w:hint="default" w:ascii="Times New Roman" w:hAnsi="Times New Roman" w:eastAsia="宋体" w:cs="Times New Roman"/>
          <w:strike w:val="0"/>
          <w:dstrike w:val="0"/>
          <w:color w:val="auto"/>
          <w:sz w:val="24"/>
          <w:szCs w:val="24"/>
          <w:highlight w:val="none"/>
          <w:u w:val="none" w:color="auto"/>
        </w:rPr>
        <w:t>，</w:t>
      </w:r>
      <w:r>
        <w:rPr>
          <w:rFonts w:hint="default" w:ascii="Times New Roman" w:hAnsi="Times New Roman" w:eastAsia="宋体" w:cs="Times New Roman"/>
          <w:strike w:val="0"/>
          <w:dstrike w:val="0"/>
          <w:color w:val="auto"/>
          <w:sz w:val="24"/>
          <w:szCs w:val="24"/>
          <w:highlight w:val="none"/>
          <w:u w:val="none" w:color="auto"/>
          <w:lang w:eastAsia="zh-CN"/>
        </w:rPr>
        <w:t>不属于水温要素影响型项目</w:t>
      </w:r>
      <w:r>
        <w:rPr>
          <w:rFonts w:hint="default" w:ascii="Times New Roman" w:hAnsi="Times New Roman" w:eastAsia="宋体" w:cs="Times New Roman"/>
          <w:strike w:val="0"/>
          <w:dstrike w:val="0"/>
          <w:color w:val="auto"/>
          <w:sz w:val="24"/>
          <w:szCs w:val="24"/>
          <w:highlight w:val="none"/>
          <w:u w:val="none" w:color="auto"/>
        </w:rPr>
        <w:t>。</w:t>
      </w:r>
      <w:r>
        <w:rPr>
          <w:rFonts w:hint="default" w:ascii="Times New Roman" w:hAnsi="Times New Roman" w:eastAsia="宋体" w:cs="Times New Roman"/>
          <w:strike w:val="0"/>
          <w:dstrike w:val="0"/>
          <w:color w:val="auto"/>
          <w:sz w:val="24"/>
          <w:szCs w:val="24"/>
          <w:highlight w:val="none"/>
          <w:u w:val="none" w:color="auto"/>
          <w:lang w:eastAsia="zh-CN"/>
        </w:rPr>
        <w:t>故</w:t>
      </w:r>
      <w:r>
        <w:rPr>
          <w:rFonts w:hint="default" w:ascii="Times New Roman" w:hAnsi="Times New Roman" w:eastAsia="宋体" w:cs="Times New Roman"/>
          <w:strike w:val="0"/>
          <w:dstrike w:val="0"/>
          <w:color w:val="auto"/>
          <w:sz w:val="24"/>
          <w:szCs w:val="24"/>
          <w:highlight w:val="none"/>
          <w:u w:val="none" w:color="auto"/>
        </w:rPr>
        <w:t>确定本项目生态环境评价工作等级为三级。</w:t>
      </w:r>
    </w:p>
    <w:p w14:paraId="216EA54C">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sz w:val="24"/>
          <w:szCs w:val="24"/>
          <w:highlight w:val="none"/>
          <w:u w:val="none" w:color="auto"/>
        </w:rPr>
        <w:t>（2）评价范围</w:t>
      </w:r>
    </w:p>
    <w:p w14:paraId="66D44F2A">
      <w:pPr>
        <w:ind w:firstLine="560"/>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sz w:val="24"/>
          <w:szCs w:val="24"/>
          <w:highlight w:val="none"/>
          <w:u w:val="none" w:color="auto"/>
        </w:rPr>
        <w:t>生态影响评价范围：项目厂区及周边200m的范围。</w:t>
      </w:r>
    </w:p>
    <w:p w14:paraId="211348D3">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2.5.6环境风险</w:t>
      </w:r>
    </w:p>
    <w:p w14:paraId="6033CAA8">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（1）评价等级</w:t>
      </w:r>
    </w:p>
    <w:p w14:paraId="72061D33">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建设项目环境风险评价技术导则》（HJ/T169-2018）规定，风险评价级别划分根据项目涉及的物质及工艺系统危险性和所在地的环境敏感性确定环境风险潜势，再根据等级划分表确定评价工作等级。环境风险评价工作等级划分确认表详见下表：</w:t>
      </w:r>
    </w:p>
    <w:p w14:paraId="266BE794">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表2.5-9 本项目各环境要素风险潜势判定表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4"/>
        <w:gridCol w:w="2114"/>
        <w:gridCol w:w="2114"/>
        <w:gridCol w:w="2180"/>
      </w:tblGrid>
      <w:tr w14:paraId="2EFF1A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0" w:type="pct"/>
            <w:vAlign w:val="center"/>
          </w:tcPr>
          <w:p w14:paraId="2BD84884">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环境要素</w:t>
            </w:r>
          </w:p>
        </w:tc>
        <w:tc>
          <w:tcPr>
            <w:tcW w:w="1240" w:type="pct"/>
            <w:vAlign w:val="center"/>
          </w:tcPr>
          <w:p w14:paraId="1DB06CF3">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敏感程度分级（E）</w:t>
            </w:r>
          </w:p>
        </w:tc>
        <w:tc>
          <w:tcPr>
            <w:tcW w:w="1240" w:type="pct"/>
            <w:vAlign w:val="center"/>
          </w:tcPr>
          <w:p w14:paraId="1648D14F">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危险物质及工艺系统危险性（P）</w:t>
            </w:r>
          </w:p>
        </w:tc>
        <w:tc>
          <w:tcPr>
            <w:tcW w:w="1279" w:type="pct"/>
            <w:vAlign w:val="center"/>
          </w:tcPr>
          <w:p w14:paraId="7D9ED368">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环境风险潜势判断</w:t>
            </w:r>
          </w:p>
        </w:tc>
      </w:tr>
      <w:tr w14:paraId="32228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0" w:type="pct"/>
            <w:vAlign w:val="center"/>
          </w:tcPr>
          <w:p w14:paraId="1D9CB820">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w:t>
            </w:r>
          </w:p>
        </w:tc>
        <w:tc>
          <w:tcPr>
            <w:tcW w:w="1240" w:type="pct"/>
            <w:vAlign w:val="center"/>
          </w:tcPr>
          <w:p w14:paraId="27114361">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E2</w:t>
            </w:r>
          </w:p>
        </w:tc>
        <w:tc>
          <w:tcPr>
            <w:tcW w:w="1240" w:type="pct"/>
            <w:vAlign w:val="center"/>
          </w:tcPr>
          <w:p w14:paraId="5230B949">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P4</w:t>
            </w:r>
          </w:p>
        </w:tc>
        <w:tc>
          <w:tcPr>
            <w:tcW w:w="1279" w:type="pct"/>
            <w:vAlign w:val="center"/>
          </w:tcPr>
          <w:p w14:paraId="3A5FAD60">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Ⅱ</w:t>
            </w:r>
          </w:p>
        </w:tc>
      </w:tr>
      <w:tr w14:paraId="11AF2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0" w:type="pct"/>
            <w:vAlign w:val="center"/>
          </w:tcPr>
          <w:p w14:paraId="3C6A8BAF">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地表水</w:t>
            </w:r>
          </w:p>
        </w:tc>
        <w:tc>
          <w:tcPr>
            <w:tcW w:w="1240" w:type="pct"/>
            <w:vAlign w:val="center"/>
          </w:tcPr>
          <w:p w14:paraId="015B83B5">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E2</w:t>
            </w:r>
          </w:p>
        </w:tc>
        <w:tc>
          <w:tcPr>
            <w:tcW w:w="1240" w:type="pct"/>
            <w:vAlign w:val="center"/>
          </w:tcPr>
          <w:p w14:paraId="6D436240">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P4</w:t>
            </w:r>
          </w:p>
        </w:tc>
        <w:tc>
          <w:tcPr>
            <w:tcW w:w="1279" w:type="pct"/>
            <w:vAlign w:val="center"/>
          </w:tcPr>
          <w:p w14:paraId="0CC43BC8">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single" w:color="auto"/>
              </w:rPr>
              <w:t>Ⅲ</w:t>
            </w:r>
          </w:p>
        </w:tc>
      </w:tr>
      <w:tr w14:paraId="7453A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40" w:type="pct"/>
            <w:vAlign w:val="center"/>
          </w:tcPr>
          <w:p w14:paraId="7B30ACBD">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w:t>
            </w:r>
          </w:p>
        </w:tc>
        <w:tc>
          <w:tcPr>
            <w:tcW w:w="1240" w:type="pct"/>
            <w:vAlign w:val="center"/>
          </w:tcPr>
          <w:p w14:paraId="0015AE80">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E2</w:t>
            </w:r>
          </w:p>
        </w:tc>
        <w:tc>
          <w:tcPr>
            <w:tcW w:w="1240" w:type="pct"/>
            <w:vAlign w:val="center"/>
          </w:tcPr>
          <w:p w14:paraId="46C5A68F">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P4</w:t>
            </w:r>
          </w:p>
        </w:tc>
        <w:tc>
          <w:tcPr>
            <w:tcW w:w="1279" w:type="pct"/>
            <w:vAlign w:val="center"/>
          </w:tcPr>
          <w:p w14:paraId="713C0948">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Ⅱ</w:t>
            </w:r>
          </w:p>
        </w:tc>
      </w:tr>
    </w:tbl>
    <w:p w14:paraId="3FC8D4FB">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p>
    <w:p w14:paraId="542B5E5C">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表2.5-10本项目环境风险评价工作等级划分确定表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33"/>
        <w:gridCol w:w="1648"/>
        <w:gridCol w:w="1648"/>
        <w:gridCol w:w="1648"/>
        <w:gridCol w:w="1645"/>
      </w:tblGrid>
      <w:tr w14:paraId="54F8A5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4" w:type="pct"/>
            <w:vAlign w:val="center"/>
          </w:tcPr>
          <w:p w14:paraId="2B20F1A0">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环境风险潜势</w:t>
            </w:r>
          </w:p>
        </w:tc>
        <w:tc>
          <w:tcPr>
            <w:tcW w:w="967" w:type="pct"/>
            <w:vAlign w:val="center"/>
          </w:tcPr>
          <w:p w14:paraId="2EF14265">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IV、IV+</w:t>
            </w:r>
          </w:p>
        </w:tc>
        <w:tc>
          <w:tcPr>
            <w:tcW w:w="967" w:type="pct"/>
            <w:vAlign w:val="center"/>
          </w:tcPr>
          <w:p w14:paraId="14E052FE">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III</w:t>
            </w:r>
          </w:p>
        </w:tc>
        <w:tc>
          <w:tcPr>
            <w:tcW w:w="967" w:type="pct"/>
            <w:vAlign w:val="center"/>
          </w:tcPr>
          <w:p w14:paraId="249F8CFF">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II</w:t>
            </w:r>
          </w:p>
        </w:tc>
        <w:tc>
          <w:tcPr>
            <w:tcW w:w="967" w:type="pct"/>
            <w:vAlign w:val="center"/>
          </w:tcPr>
          <w:p w14:paraId="7557B08E">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I</w:t>
            </w:r>
          </w:p>
        </w:tc>
      </w:tr>
      <w:tr w14:paraId="2A449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34" w:type="pct"/>
            <w:vAlign w:val="center"/>
          </w:tcPr>
          <w:p w14:paraId="62098240">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评价工作等级</w:t>
            </w:r>
          </w:p>
        </w:tc>
        <w:tc>
          <w:tcPr>
            <w:tcW w:w="967" w:type="pct"/>
            <w:vAlign w:val="center"/>
          </w:tcPr>
          <w:p w14:paraId="38446498">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w:t>
            </w:r>
          </w:p>
        </w:tc>
        <w:tc>
          <w:tcPr>
            <w:tcW w:w="967" w:type="pct"/>
            <w:vAlign w:val="center"/>
          </w:tcPr>
          <w:p w14:paraId="26A42E1D">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w:t>
            </w:r>
          </w:p>
        </w:tc>
        <w:tc>
          <w:tcPr>
            <w:tcW w:w="967" w:type="pct"/>
            <w:vAlign w:val="center"/>
          </w:tcPr>
          <w:p w14:paraId="2EB55A63">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w:t>
            </w:r>
          </w:p>
        </w:tc>
        <w:tc>
          <w:tcPr>
            <w:tcW w:w="967" w:type="pct"/>
            <w:vAlign w:val="center"/>
          </w:tcPr>
          <w:p w14:paraId="37E05214">
            <w:pPr>
              <w:pStyle w:val="3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简单分析</w:t>
            </w:r>
          </w:p>
        </w:tc>
      </w:tr>
    </w:tbl>
    <w:p w14:paraId="012DCA5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根据《建设项目环境风险评价技术导则》（HJ169-2018），本项目环境风险潜势分级为Ⅲ级，确定本项目环境风险评价等级为</w:t>
      </w:r>
      <w:r>
        <w:rPr>
          <w:rFonts w:hint="default" w:ascii="Times New Roman" w:hAnsi="Times New Roman" w:eastAsia="宋体" w:cs="Times New Roman"/>
          <w:color w:val="auto"/>
          <w:sz w:val="24"/>
          <w:szCs w:val="24"/>
          <w:highlight w:val="none"/>
          <w:u w:val="single" w:color="auto"/>
          <w:lang w:eastAsia="zh-CN"/>
        </w:rPr>
        <w:t>二</w:t>
      </w:r>
      <w:r>
        <w:rPr>
          <w:rFonts w:hint="default" w:ascii="Times New Roman" w:hAnsi="Times New Roman" w:eastAsia="宋体" w:cs="Times New Roman"/>
          <w:color w:val="auto"/>
          <w:sz w:val="24"/>
          <w:szCs w:val="24"/>
          <w:highlight w:val="none"/>
          <w:u w:val="single" w:color="auto"/>
        </w:rPr>
        <w:t>级评价。</w:t>
      </w:r>
    </w:p>
    <w:p w14:paraId="7EF77841">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评价范围：本项目大气环境风险评价范围为距离建设项目边界</w:t>
      </w:r>
      <w:r>
        <w:rPr>
          <w:rFonts w:hint="default" w:ascii="Times New Roman" w:hAnsi="Times New Roman" w:eastAsia="宋体" w:cs="Times New Roman"/>
          <w:color w:val="auto"/>
          <w:sz w:val="24"/>
          <w:szCs w:val="24"/>
          <w:highlight w:val="none"/>
          <w:u w:val="single" w:color="auto"/>
          <w:lang w:val="en-US" w:eastAsia="zh-CN"/>
        </w:rPr>
        <w:t>3</w:t>
      </w:r>
      <w:r>
        <w:rPr>
          <w:rFonts w:hint="default" w:ascii="Times New Roman" w:hAnsi="Times New Roman" w:eastAsia="宋体" w:cs="Times New Roman"/>
          <w:color w:val="auto"/>
          <w:sz w:val="24"/>
          <w:szCs w:val="24"/>
          <w:highlight w:val="none"/>
          <w:u w:val="single" w:color="auto"/>
        </w:rPr>
        <w:t>km的范围；地表水环境风险评价范围</w:t>
      </w:r>
      <w:r>
        <w:rPr>
          <w:rFonts w:hint="default" w:ascii="Times New Roman" w:hAnsi="Times New Roman" w:eastAsia="宋体" w:cs="Times New Roman"/>
          <w:color w:val="auto"/>
          <w:sz w:val="24"/>
          <w:szCs w:val="24"/>
          <w:highlight w:val="none"/>
          <w:u w:val="single" w:color="auto"/>
          <w:lang w:eastAsia="zh-CN"/>
        </w:rPr>
        <w:t>松木污水处理厂</w:t>
      </w:r>
      <w:r>
        <w:rPr>
          <w:rFonts w:hint="default" w:ascii="Times New Roman" w:hAnsi="Times New Roman" w:eastAsia="宋体" w:cs="Times New Roman"/>
          <w:color w:val="auto"/>
          <w:sz w:val="24"/>
          <w:szCs w:val="24"/>
          <w:highlight w:val="none"/>
          <w:u w:val="single" w:color="auto"/>
        </w:rPr>
        <w:t>排污口汇入</w:t>
      </w:r>
      <w:r>
        <w:rPr>
          <w:rFonts w:hint="default" w:ascii="Times New Roman" w:hAnsi="Times New Roman" w:eastAsia="宋体" w:cs="Times New Roman"/>
          <w:color w:val="auto"/>
          <w:sz w:val="24"/>
          <w:szCs w:val="24"/>
          <w:highlight w:val="none"/>
          <w:u w:val="single" w:color="auto"/>
          <w:lang w:eastAsia="zh-CN"/>
        </w:rPr>
        <w:t>湘江</w:t>
      </w:r>
      <w:r>
        <w:rPr>
          <w:rFonts w:hint="default" w:ascii="Times New Roman" w:hAnsi="Times New Roman" w:eastAsia="宋体" w:cs="Times New Roman"/>
          <w:color w:val="auto"/>
          <w:sz w:val="24"/>
          <w:szCs w:val="24"/>
          <w:highlight w:val="none"/>
          <w:u w:val="single" w:color="auto"/>
        </w:rPr>
        <w:t>上游500m至下游4500m之间约5km河段；地下水环境风险评价范围为项目所在区域</w:t>
      </w:r>
      <w:r>
        <w:rPr>
          <w:rFonts w:hint="default" w:ascii="Times New Roman" w:hAnsi="Times New Roman" w:eastAsia="宋体" w:cs="Times New Roman"/>
          <w:color w:val="auto"/>
          <w:sz w:val="24"/>
          <w:szCs w:val="24"/>
          <w:highlight w:val="none"/>
          <w:u w:val="single" w:color="auto"/>
          <w:lang w:eastAsia="zh-CN"/>
        </w:rPr>
        <w:t>周边</w:t>
      </w:r>
      <w:r>
        <w:rPr>
          <w:rFonts w:hint="default" w:ascii="Times New Roman" w:hAnsi="Times New Roman" w:eastAsia="宋体" w:cs="Times New Roman"/>
          <w:color w:val="auto"/>
          <w:sz w:val="24"/>
          <w:szCs w:val="24"/>
          <w:highlight w:val="none"/>
          <w:u w:val="single" w:color="auto"/>
          <w:lang w:val="en-US" w:eastAsia="zh-CN"/>
        </w:rPr>
        <w:t>1000m</w:t>
      </w:r>
      <w:r>
        <w:rPr>
          <w:rFonts w:hint="default" w:ascii="Times New Roman" w:hAnsi="Times New Roman" w:eastAsia="宋体" w:cs="Times New Roman"/>
          <w:color w:val="auto"/>
          <w:sz w:val="24"/>
          <w:szCs w:val="24"/>
          <w:highlight w:val="none"/>
          <w:u w:val="single" w:color="auto"/>
        </w:rPr>
        <w:t>范围的区域。</w:t>
      </w:r>
    </w:p>
    <w:p w14:paraId="72147D66">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2.5.7土壤环境</w:t>
      </w:r>
    </w:p>
    <w:p w14:paraId="58B34CF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项目土壤评价等级及评价范围根据《环境影响评价技术导则—土壤环境》（HJ964-2018）确定，本项目属于污染影响型建设项目，土壤环境评价工作等级分级详见下表：</w:t>
      </w:r>
    </w:p>
    <w:p w14:paraId="2468BAC1">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表2.5-11土壤评价工作等级分级表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76"/>
        <w:gridCol w:w="661"/>
        <w:gridCol w:w="661"/>
        <w:gridCol w:w="663"/>
        <w:gridCol w:w="707"/>
        <w:gridCol w:w="707"/>
        <w:gridCol w:w="711"/>
        <w:gridCol w:w="678"/>
        <w:gridCol w:w="679"/>
        <w:gridCol w:w="679"/>
      </w:tblGrid>
      <w:tr w14:paraId="3857E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Merge w:val="restart"/>
            <w:vAlign w:val="center"/>
          </w:tcPr>
          <w:p w14:paraId="63128A0A">
            <w:pPr>
              <w:keepNext w:val="0"/>
              <w:keepLines w:val="0"/>
              <w:pageBreakBefore w:val="0"/>
              <w:widowControl w:val="0"/>
              <w:kinsoku/>
              <w:wordWrap/>
              <w:overflowPunct/>
              <w:topLinePunct w:val="0"/>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-9525</wp:posOffset>
                      </wp:positionV>
                      <wp:extent cx="1504950" cy="409575"/>
                      <wp:effectExtent l="1270" t="4445" r="17780" b="5080"/>
                      <wp:wrapNone/>
                      <wp:docPr id="1" name="直接箭头连接符 1"/>
                      <wp:cNvGraphicFramePr/>
                      <a:graphic xmlns:a="http://schemas.openxmlformats.org/drawingml/2006/main">
                        <a:graphicData uri="http://schemas.microsoft.com/office/word/2010/wordprocessingShape">
                          <wps:wsp>
                            <wps:cNvCnPr/>
                            <wps:spPr>
                              <a:xfrm>
                                <a:off x="0" y="0"/>
                                <a:ext cx="1504950" cy="4095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pt;margin-top:-0.75pt;height:32.25pt;width:118.5pt;z-index:251660288;mso-width-relative:page;mso-height-relative:page;" filled="f" stroked="t" coordsize="21600,21600" o:gfxdata="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NduhDXAAAACQEAAA8AAAAAAAAAAQAgAAAAIgAAAGRy&#10;cy9kb3ducmV2LnhtbFBLAQIUABQAAAAIAIdO4kBcU92cBgIAAP8DAAAOAAAAAAAAAAEAIAAAACYB&#10;AABkcnMvZTJvRG9jLnhtbFBLBQYAAAAABgAGAFkBAACeBQAAAAA=&#10;">
                      <v:fill on="f" focussize="0,0"/>
                      <v:stroke color="#000000" joinstyle="round"/>
                      <v:imagedata o:title=""/>
                      <o:lock v:ext="edit" aspectratio="f"/>
                    </v:shape>
                  </w:pict>
                </mc:Fallback>
              </mc:AlternateContent>
            </w:r>
            <w:r>
              <w:rPr>
                <w:rFonts w:hint="default" w:ascii="Times New Roman" w:hAnsi="Times New Roman" w:eastAsia="宋体" w:cs="Times New Roman"/>
                <w:color w:val="auto"/>
                <w:sz w:val="21"/>
                <w:szCs w:val="21"/>
                <w:highlight w:val="none"/>
                <w:u w:val="none" w:color="auto"/>
              </w:rPr>
              <w:t>占地规模</w:t>
            </w:r>
          </w:p>
          <w:p w14:paraId="45078C75">
            <w:pPr>
              <w:keepNext w:val="0"/>
              <w:keepLines w:val="0"/>
              <w:pageBreakBefore w:val="0"/>
              <w:widowControl w:val="0"/>
              <w:kinsoku/>
              <w:wordWrap/>
              <w:overflowPunct/>
              <w:topLinePunct w:val="0"/>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敏感程度</w:t>
            </w:r>
          </w:p>
        </w:tc>
        <w:tc>
          <w:tcPr>
            <w:tcW w:w="1165" w:type="pct"/>
            <w:gridSpan w:val="3"/>
            <w:vAlign w:val="center"/>
          </w:tcPr>
          <w:p w14:paraId="768108DA">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Ⅰ类项目</w:t>
            </w:r>
          </w:p>
        </w:tc>
        <w:tc>
          <w:tcPr>
            <w:tcW w:w="1247" w:type="pct"/>
            <w:gridSpan w:val="3"/>
            <w:shd w:val="clear" w:color="auto" w:fill="auto"/>
            <w:vAlign w:val="center"/>
          </w:tcPr>
          <w:p w14:paraId="51D58E25">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Ⅱ类项目</w:t>
            </w:r>
          </w:p>
        </w:tc>
        <w:tc>
          <w:tcPr>
            <w:tcW w:w="1194" w:type="pct"/>
            <w:gridSpan w:val="3"/>
            <w:shd w:val="clear" w:color="auto" w:fill="auto"/>
            <w:vAlign w:val="center"/>
          </w:tcPr>
          <w:p w14:paraId="6F34F13A">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Ⅲ类项目</w:t>
            </w:r>
          </w:p>
        </w:tc>
      </w:tr>
      <w:tr w14:paraId="7E921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Merge w:val="continue"/>
            <w:vAlign w:val="center"/>
          </w:tcPr>
          <w:p w14:paraId="76E97DD0">
            <w:pPr>
              <w:keepNext w:val="0"/>
              <w:keepLines w:val="0"/>
              <w:pageBreakBefore w:val="0"/>
              <w:widowControl w:val="0"/>
              <w:kinsoku/>
              <w:wordWrap/>
              <w:overflowPunct/>
              <w:topLinePunct w:val="0"/>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p>
        </w:tc>
        <w:tc>
          <w:tcPr>
            <w:tcW w:w="388" w:type="pct"/>
            <w:vAlign w:val="center"/>
          </w:tcPr>
          <w:p w14:paraId="3BC70FF2">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w:t>
            </w:r>
          </w:p>
        </w:tc>
        <w:tc>
          <w:tcPr>
            <w:tcW w:w="388" w:type="pct"/>
            <w:vAlign w:val="center"/>
          </w:tcPr>
          <w:p w14:paraId="07B7BA50">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中</w:t>
            </w:r>
          </w:p>
        </w:tc>
        <w:tc>
          <w:tcPr>
            <w:tcW w:w="389" w:type="pct"/>
            <w:vAlign w:val="center"/>
          </w:tcPr>
          <w:p w14:paraId="494C1D9C">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小</w:t>
            </w:r>
          </w:p>
        </w:tc>
        <w:tc>
          <w:tcPr>
            <w:tcW w:w="415" w:type="pct"/>
            <w:shd w:val="clear" w:color="auto" w:fill="auto"/>
            <w:vAlign w:val="center"/>
          </w:tcPr>
          <w:p w14:paraId="14A29834">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w:t>
            </w:r>
          </w:p>
        </w:tc>
        <w:tc>
          <w:tcPr>
            <w:tcW w:w="415" w:type="pct"/>
            <w:shd w:val="clear" w:color="auto" w:fill="auto"/>
            <w:vAlign w:val="center"/>
          </w:tcPr>
          <w:p w14:paraId="54622E6A">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中</w:t>
            </w:r>
          </w:p>
        </w:tc>
        <w:tc>
          <w:tcPr>
            <w:tcW w:w="417" w:type="pct"/>
            <w:shd w:val="clear" w:color="auto" w:fill="auto"/>
            <w:vAlign w:val="center"/>
          </w:tcPr>
          <w:p w14:paraId="2A2CF044">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小</w:t>
            </w:r>
          </w:p>
        </w:tc>
        <w:tc>
          <w:tcPr>
            <w:tcW w:w="398" w:type="pct"/>
            <w:shd w:val="clear" w:color="auto" w:fill="auto"/>
            <w:vAlign w:val="center"/>
          </w:tcPr>
          <w:p w14:paraId="684CC9C4">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w:t>
            </w:r>
          </w:p>
        </w:tc>
        <w:tc>
          <w:tcPr>
            <w:tcW w:w="398" w:type="pct"/>
            <w:shd w:val="clear" w:color="auto" w:fill="auto"/>
            <w:vAlign w:val="center"/>
          </w:tcPr>
          <w:p w14:paraId="0B236237">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中</w:t>
            </w:r>
          </w:p>
        </w:tc>
        <w:tc>
          <w:tcPr>
            <w:tcW w:w="398" w:type="pct"/>
            <w:shd w:val="clear" w:color="auto" w:fill="auto"/>
            <w:vAlign w:val="center"/>
          </w:tcPr>
          <w:p w14:paraId="01F8043B">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小</w:t>
            </w:r>
          </w:p>
        </w:tc>
      </w:tr>
      <w:tr w14:paraId="15BBC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58CFC77A">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敏感</w:t>
            </w:r>
          </w:p>
        </w:tc>
        <w:tc>
          <w:tcPr>
            <w:tcW w:w="388" w:type="pct"/>
            <w:vAlign w:val="center"/>
          </w:tcPr>
          <w:p w14:paraId="52F8C923">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388" w:type="pct"/>
            <w:vAlign w:val="center"/>
          </w:tcPr>
          <w:p w14:paraId="63AD69FC">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389" w:type="pct"/>
            <w:vAlign w:val="center"/>
          </w:tcPr>
          <w:p w14:paraId="37971D82">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415" w:type="pct"/>
            <w:vAlign w:val="center"/>
          </w:tcPr>
          <w:p w14:paraId="3DC2BCB2">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415" w:type="pct"/>
            <w:vAlign w:val="center"/>
          </w:tcPr>
          <w:p w14:paraId="69F5274C">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417" w:type="pct"/>
            <w:vAlign w:val="center"/>
          </w:tcPr>
          <w:p w14:paraId="5F5F0AC9">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398" w:type="pct"/>
            <w:vAlign w:val="center"/>
          </w:tcPr>
          <w:p w14:paraId="0D79E223">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398" w:type="pct"/>
            <w:vAlign w:val="center"/>
          </w:tcPr>
          <w:p w14:paraId="2521F4FD">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398" w:type="pct"/>
            <w:vAlign w:val="center"/>
          </w:tcPr>
          <w:p w14:paraId="51B41170">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r>
      <w:tr w14:paraId="72597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0BFA6B45">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较敏感</w:t>
            </w:r>
          </w:p>
        </w:tc>
        <w:tc>
          <w:tcPr>
            <w:tcW w:w="388" w:type="pct"/>
            <w:vAlign w:val="center"/>
          </w:tcPr>
          <w:p w14:paraId="28845A86">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388" w:type="pct"/>
            <w:vAlign w:val="center"/>
          </w:tcPr>
          <w:p w14:paraId="361E3D46">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389" w:type="pct"/>
            <w:vAlign w:val="center"/>
          </w:tcPr>
          <w:p w14:paraId="3F3CE22E">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415" w:type="pct"/>
            <w:vAlign w:val="center"/>
          </w:tcPr>
          <w:p w14:paraId="6DC99C90">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415" w:type="pct"/>
            <w:vAlign w:val="center"/>
          </w:tcPr>
          <w:p w14:paraId="76386FF6">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417" w:type="pct"/>
            <w:vAlign w:val="center"/>
          </w:tcPr>
          <w:p w14:paraId="10137577">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398" w:type="pct"/>
            <w:vAlign w:val="center"/>
          </w:tcPr>
          <w:p w14:paraId="15A342F5">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398" w:type="pct"/>
            <w:vAlign w:val="center"/>
          </w:tcPr>
          <w:p w14:paraId="4FF52C16">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398" w:type="pct"/>
            <w:vAlign w:val="center"/>
          </w:tcPr>
          <w:p w14:paraId="19A414BD">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3B80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46931ED7">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不敏感</w:t>
            </w:r>
          </w:p>
        </w:tc>
        <w:tc>
          <w:tcPr>
            <w:tcW w:w="388" w:type="pct"/>
            <w:vAlign w:val="center"/>
          </w:tcPr>
          <w:p w14:paraId="7F142E24">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388" w:type="pct"/>
            <w:vAlign w:val="center"/>
          </w:tcPr>
          <w:p w14:paraId="7752F6A1">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389" w:type="pct"/>
            <w:vAlign w:val="center"/>
          </w:tcPr>
          <w:p w14:paraId="75189862">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415" w:type="pct"/>
            <w:vAlign w:val="center"/>
          </w:tcPr>
          <w:p w14:paraId="22B06807">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415" w:type="pct"/>
            <w:vAlign w:val="center"/>
          </w:tcPr>
          <w:p w14:paraId="14A93208">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417" w:type="pct"/>
            <w:vAlign w:val="center"/>
          </w:tcPr>
          <w:p w14:paraId="43EBB902">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398" w:type="pct"/>
            <w:vAlign w:val="center"/>
          </w:tcPr>
          <w:p w14:paraId="77E4BECC">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398" w:type="pct"/>
            <w:vAlign w:val="center"/>
          </w:tcPr>
          <w:p w14:paraId="1DC37957">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398" w:type="pct"/>
            <w:vAlign w:val="center"/>
          </w:tcPr>
          <w:p w14:paraId="7EF1B881">
            <w:pPr>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6EAA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00" w:type="pct"/>
            <w:gridSpan w:val="10"/>
            <w:vAlign w:val="center"/>
          </w:tcPr>
          <w:p w14:paraId="2C522005">
            <w:pPr>
              <w:keepNext w:val="0"/>
              <w:keepLines w:val="0"/>
              <w:pageBreakBefore w:val="0"/>
              <w:widowControl w:val="0"/>
              <w:kinsoku/>
              <w:wordWrap/>
              <w:overflowPunct/>
              <w:topLinePunct w:val="0"/>
              <w:bidi w:val="0"/>
              <w:snapToGrid/>
              <w:spacing w:line="24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注：“——”表示可不开展土壤环境影响评价工作</w:t>
            </w:r>
          </w:p>
        </w:tc>
      </w:tr>
    </w:tbl>
    <w:p w14:paraId="7307155B">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对照《环境影响评价技术导则—土壤环境》（HJ964-2018）附录A，本项目为制造业中的</w:t>
      </w:r>
      <w:r>
        <w:rPr>
          <w:rFonts w:hint="default" w:ascii="Times New Roman" w:hAnsi="Times New Roman" w:eastAsia="宋体" w:cs="Times New Roman"/>
          <w:color w:val="auto"/>
          <w:sz w:val="24"/>
          <w:szCs w:val="24"/>
          <w:highlight w:val="none"/>
          <w:u w:val="none" w:color="auto"/>
          <w:lang w:bidi="en-US"/>
        </w:rPr>
        <w:t>Ⅰ类建设项目（有电镀工艺的）</w:t>
      </w:r>
      <w:r>
        <w:rPr>
          <w:rFonts w:hint="default" w:ascii="Times New Roman" w:hAnsi="Times New Roman" w:eastAsia="宋体" w:cs="Times New Roman"/>
          <w:color w:val="auto"/>
          <w:sz w:val="24"/>
          <w:szCs w:val="24"/>
          <w:highlight w:val="none"/>
          <w:u w:val="none" w:color="auto"/>
        </w:rPr>
        <w:t>。项目占地属于小型（</w:t>
      </w:r>
      <w:r>
        <w:rPr>
          <w:rFonts w:hint="default" w:ascii="Times New Roman" w:hAnsi="Times New Roman" w:eastAsia="宋体" w:cs="Times New Roman"/>
          <w:color w:val="auto"/>
          <w:sz w:val="24"/>
          <w:szCs w:val="24"/>
          <w:highlight w:val="none"/>
          <w:u w:val="none" w:color="auto"/>
          <w:lang w:bidi="en-US"/>
        </w:rPr>
        <w:t>≤</w:t>
      </w:r>
      <w:r>
        <w:rPr>
          <w:rFonts w:hint="default" w:ascii="Times New Roman" w:hAnsi="Times New Roman" w:eastAsia="宋体" w:cs="Times New Roman"/>
          <w:color w:val="auto"/>
          <w:sz w:val="24"/>
          <w:szCs w:val="24"/>
          <w:highlight w:val="none"/>
          <w:u w:val="none" w:color="auto"/>
        </w:rPr>
        <w:t>5hm</w:t>
      </w:r>
      <w:r>
        <w:rPr>
          <w:rFonts w:hint="default" w:ascii="Times New Roman" w:hAnsi="Times New Roman" w:eastAsia="宋体" w:cs="Times New Roman"/>
          <w:color w:val="auto"/>
          <w:sz w:val="24"/>
          <w:szCs w:val="24"/>
          <w:highlight w:val="none"/>
          <w:u w:val="none" w:color="auto"/>
          <w:vertAlign w:val="superscript"/>
        </w:rPr>
        <w:t>2</w:t>
      </w:r>
      <w:r>
        <w:rPr>
          <w:rFonts w:hint="default" w:ascii="Times New Roman" w:hAnsi="Times New Roman" w:eastAsia="宋体" w:cs="Times New Roman"/>
          <w:color w:val="auto"/>
          <w:sz w:val="24"/>
          <w:szCs w:val="24"/>
          <w:highlight w:val="none"/>
          <w:u w:val="none" w:color="auto"/>
        </w:rPr>
        <w:t>），项目位于工业园区内，土壤环境敏感程度为不敏感，对照上表，本项目评价等级为二级。</w:t>
      </w:r>
    </w:p>
    <w:p w14:paraId="238403C9">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评价范围：</w:t>
      </w:r>
      <w:r>
        <w:rPr>
          <w:rFonts w:hint="default" w:ascii="Times New Roman" w:hAnsi="Times New Roman" w:eastAsia="宋体" w:cs="Times New Roman"/>
          <w:strike w:val="0"/>
          <w:dstrike w:val="0"/>
          <w:color w:val="auto"/>
          <w:sz w:val="24"/>
          <w:szCs w:val="24"/>
          <w:highlight w:val="none"/>
          <w:u w:val="none" w:color="auto"/>
        </w:rPr>
        <w:t>项目用地周边200m的范围</w:t>
      </w:r>
      <w:r>
        <w:rPr>
          <w:rFonts w:hint="default" w:ascii="Times New Roman" w:hAnsi="Times New Roman" w:eastAsia="宋体" w:cs="Times New Roman"/>
          <w:color w:val="auto"/>
          <w:sz w:val="24"/>
          <w:szCs w:val="24"/>
          <w:highlight w:val="none"/>
          <w:u w:val="none" w:color="auto"/>
        </w:rPr>
        <w:t>。</w:t>
      </w:r>
    </w:p>
    <w:p w14:paraId="1A702AAF">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19" w:name="_Toc6797"/>
      <w:r>
        <w:rPr>
          <w:rFonts w:hint="default" w:ascii="Times New Roman" w:hAnsi="Times New Roman" w:eastAsia="宋体" w:cs="Times New Roman"/>
          <w:color w:val="auto"/>
          <w:sz w:val="28"/>
          <w:szCs w:val="28"/>
          <w:highlight w:val="none"/>
          <w:u w:val="none" w:color="auto"/>
        </w:rPr>
        <w:t>2.6评价重点</w:t>
      </w:r>
      <w:bookmarkEnd w:id="19"/>
    </w:p>
    <w:p w14:paraId="4E348BEF">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根据区域环境特征及工程排污特点，本项目以建设项目工程分析、环保措施可行性分析和环境影响分析评价为评价重点。</w:t>
      </w:r>
    </w:p>
    <w:p w14:paraId="56590404">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rPr>
      </w:pPr>
      <w:bookmarkStart w:id="20" w:name="_Toc20691"/>
      <w:r>
        <w:rPr>
          <w:rFonts w:hint="default" w:ascii="Times New Roman" w:hAnsi="Times New Roman" w:eastAsia="宋体" w:cs="Times New Roman"/>
          <w:color w:val="auto"/>
          <w:sz w:val="28"/>
          <w:szCs w:val="28"/>
          <w:highlight w:val="none"/>
          <w:u w:val="none" w:color="auto"/>
        </w:rPr>
        <w:t>2.7环境保护目标</w:t>
      </w:r>
      <w:bookmarkEnd w:id="20"/>
    </w:p>
    <w:p w14:paraId="2B1C4B76">
      <w:pPr>
        <w:pageBreakBefore w:val="0"/>
        <w:kinsoku/>
        <w:wordWrap/>
        <w:overflowPunct/>
        <w:topLinePunct w:val="0"/>
        <w:autoSpaceDE w:val="0"/>
        <w:autoSpaceDN w:val="0"/>
        <w:bidi w:val="0"/>
        <w:adjustRightInd w:val="0"/>
        <w:spacing w:line="360" w:lineRule="auto"/>
        <w:ind w:left="0" w:leftChars="0" w:firstLine="480" w:firstLineChars="200"/>
        <w:jc w:val="both"/>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kern w:val="0"/>
          <w:sz w:val="24"/>
          <w:szCs w:val="24"/>
          <w:highlight w:val="none"/>
          <w:u w:val="none" w:color="auto"/>
        </w:rPr>
        <w:t>本项目位于</w:t>
      </w:r>
      <w:r>
        <w:rPr>
          <w:rFonts w:hint="default" w:ascii="Times New Roman" w:hAnsi="Times New Roman" w:eastAsia="宋体" w:cs="Times New Roman"/>
          <w:color w:val="auto"/>
          <w:kern w:val="0"/>
          <w:sz w:val="24"/>
          <w:szCs w:val="24"/>
          <w:highlight w:val="none"/>
          <w:u w:val="none" w:color="auto"/>
          <w:lang w:eastAsia="zh-CN"/>
        </w:rPr>
        <w:t>衡阳松木经济开发区，</w:t>
      </w:r>
      <w:r>
        <w:rPr>
          <w:rFonts w:hint="default" w:ascii="Times New Roman" w:hAnsi="Times New Roman" w:eastAsia="宋体" w:cs="Times New Roman"/>
          <w:color w:val="auto"/>
          <w:kern w:val="0"/>
          <w:sz w:val="24"/>
          <w:szCs w:val="24"/>
          <w:highlight w:val="none"/>
          <w:u w:val="none" w:color="auto"/>
        </w:rPr>
        <w:t>根</w:t>
      </w:r>
      <w:r>
        <w:rPr>
          <w:rFonts w:hint="default" w:ascii="Times New Roman" w:hAnsi="Times New Roman" w:eastAsia="宋体" w:cs="Times New Roman"/>
          <w:color w:val="auto"/>
          <w:sz w:val="24"/>
          <w:szCs w:val="24"/>
          <w:highlight w:val="none"/>
          <w:u w:val="none" w:color="auto"/>
        </w:rPr>
        <w:t>据环境影响因子识别结果、影响程度及拟建项目的各环境要素评价范围，确定环境敏感目标（取项目用地西南角为坐标原点），项目评价范围内的环境保护目标详见下表</w:t>
      </w:r>
      <w:r>
        <w:rPr>
          <w:rFonts w:hint="default" w:ascii="Times New Roman" w:hAnsi="Times New Roman" w:eastAsia="宋体" w:cs="Times New Roman"/>
          <w:color w:val="auto"/>
          <w:sz w:val="24"/>
          <w:szCs w:val="24"/>
          <w:highlight w:val="none"/>
          <w:u w:val="none" w:color="auto"/>
          <w:lang w:eastAsia="zh-CN"/>
        </w:rPr>
        <w:t>。</w:t>
      </w:r>
    </w:p>
    <w:p w14:paraId="78D70922">
      <w:pPr>
        <w:pageBreakBefore w:val="0"/>
        <w:kinsoku/>
        <w:wordWrap/>
        <w:overflowPunct/>
        <w:topLinePunct w:val="0"/>
        <w:bidi w:val="0"/>
        <w:spacing w:line="360" w:lineRule="auto"/>
        <w:ind w:left="0" w:leftChars="0" w:firstLine="482" w:firstLineChars="200"/>
        <w:jc w:val="center"/>
        <w:rPr>
          <w:rFonts w:hint="default" w:ascii="Times New Roman" w:hAnsi="Times New Roman" w:eastAsia="宋体" w:cs="Times New Roman"/>
          <w:b/>
          <w:color w:val="auto"/>
          <w:sz w:val="24"/>
          <w:szCs w:val="24"/>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BB74B0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表2.7-1 环境保护目标一览表</w:t>
      </w:r>
    </w:p>
    <w:tbl>
      <w:tblPr>
        <w:tblStyle w:val="22"/>
        <w:tblW w:w="134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7"/>
        <w:gridCol w:w="1044"/>
        <w:gridCol w:w="894"/>
        <w:gridCol w:w="2234"/>
        <w:gridCol w:w="892"/>
        <w:gridCol w:w="793"/>
        <w:gridCol w:w="960"/>
        <w:gridCol w:w="1241"/>
        <w:gridCol w:w="1614"/>
        <w:gridCol w:w="2888"/>
      </w:tblGrid>
      <w:tr w14:paraId="1C865D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Merge w:val="restart"/>
            <w:vAlign w:val="center"/>
          </w:tcPr>
          <w:p w14:paraId="0D6E7C2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938" w:type="dxa"/>
            <w:gridSpan w:val="2"/>
            <w:tcBorders>
              <w:right w:val="single" w:color="auto" w:sz="4" w:space="0"/>
            </w:tcBorders>
            <w:vAlign w:val="center"/>
          </w:tcPr>
          <w:p w14:paraId="31675E0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经纬度</w:t>
            </w:r>
          </w:p>
        </w:tc>
        <w:tc>
          <w:tcPr>
            <w:tcW w:w="2234" w:type="dxa"/>
            <w:vMerge w:val="restart"/>
            <w:vAlign w:val="center"/>
          </w:tcPr>
          <w:p w14:paraId="26B9701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保护对象名称</w:t>
            </w:r>
          </w:p>
        </w:tc>
        <w:tc>
          <w:tcPr>
            <w:tcW w:w="892" w:type="dxa"/>
            <w:vMerge w:val="restart"/>
            <w:vAlign w:val="center"/>
          </w:tcPr>
          <w:p w14:paraId="6E65EB0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相对厂址方位</w:t>
            </w:r>
          </w:p>
        </w:tc>
        <w:tc>
          <w:tcPr>
            <w:tcW w:w="1753" w:type="dxa"/>
            <w:gridSpan w:val="2"/>
            <w:vMerge w:val="restart"/>
            <w:vAlign w:val="center"/>
          </w:tcPr>
          <w:p w14:paraId="3CEE7B5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相对厂址</w:t>
            </w:r>
            <w:r>
              <w:rPr>
                <w:rFonts w:hint="default" w:ascii="Times New Roman" w:hAnsi="Times New Roman" w:eastAsia="宋体" w:cs="Times New Roman"/>
                <w:color w:val="auto"/>
                <w:sz w:val="21"/>
                <w:szCs w:val="21"/>
                <w:highlight w:val="none"/>
                <w:u w:val="none" w:color="auto"/>
                <w:lang w:eastAsia="zh-CN"/>
              </w:rPr>
              <w:t>最近距离</w:t>
            </w:r>
          </w:p>
        </w:tc>
        <w:tc>
          <w:tcPr>
            <w:tcW w:w="1241" w:type="dxa"/>
            <w:vMerge w:val="restart"/>
            <w:vAlign w:val="center"/>
          </w:tcPr>
          <w:p w14:paraId="7CB2018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山体阻隔情况</w:t>
            </w:r>
          </w:p>
        </w:tc>
        <w:tc>
          <w:tcPr>
            <w:tcW w:w="1614" w:type="dxa"/>
            <w:vMerge w:val="restart"/>
            <w:vAlign w:val="center"/>
          </w:tcPr>
          <w:p w14:paraId="37B9243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保护对象</w:t>
            </w:r>
          </w:p>
        </w:tc>
        <w:tc>
          <w:tcPr>
            <w:tcW w:w="2888" w:type="dxa"/>
            <w:vMerge w:val="restart"/>
            <w:vAlign w:val="center"/>
          </w:tcPr>
          <w:p w14:paraId="77E9C5E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环境功能区</w:t>
            </w:r>
          </w:p>
        </w:tc>
      </w:tr>
      <w:tr w14:paraId="1955F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Merge w:val="continue"/>
            <w:vAlign w:val="center"/>
          </w:tcPr>
          <w:p w14:paraId="34D4B77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044" w:type="dxa"/>
            <w:vAlign w:val="center"/>
          </w:tcPr>
          <w:p w14:paraId="05ACEDD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经度</w:t>
            </w:r>
          </w:p>
        </w:tc>
        <w:tc>
          <w:tcPr>
            <w:tcW w:w="894" w:type="dxa"/>
            <w:vAlign w:val="center"/>
          </w:tcPr>
          <w:p w14:paraId="2B9A490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纬度</w:t>
            </w:r>
          </w:p>
        </w:tc>
        <w:tc>
          <w:tcPr>
            <w:tcW w:w="2234" w:type="dxa"/>
            <w:vMerge w:val="continue"/>
            <w:vAlign w:val="center"/>
          </w:tcPr>
          <w:p w14:paraId="40CAF0A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892" w:type="dxa"/>
            <w:vMerge w:val="continue"/>
            <w:vAlign w:val="center"/>
          </w:tcPr>
          <w:p w14:paraId="77FEA5F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753" w:type="dxa"/>
            <w:gridSpan w:val="2"/>
            <w:vMerge w:val="continue"/>
            <w:vAlign w:val="center"/>
          </w:tcPr>
          <w:p w14:paraId="7873C56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241" w:type="dxa"/>
            <w:vMerge w:val="continue"/>
            <w:vAlign w:val="center"/>
          </w:tcPr>
          <w:p w14:paraId="29826DD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614" w:type="dxa"/>
            <w:vMerge w:val="continue"/>
            <w:vAlign w:val="center"/>
          </w:tcPr>
          <w:p w14:paraId="3AE40BF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pacing w:val="-4"/>
                <w:sz w:val="21"/>
                <w:szCs w:val="21"/>
                <w:highlight w:val="none"/>
                <w:u w:val="none" w:color="auto"/>
              </w:rPr>
            </w:pPr>
          </w:p>
        </w:tc>
        <w:tc>
          <w:tcPr>
            <w:tcW w:w="2888" w:type="dxa"/>
            <w:vMerge w:val="continue"/>
            <w:vAlign w:val="center"/>
          </w:tcPr>
          <w:p w14:paraId="7C3FBCF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1FF412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34025F9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1044" w:type="dxa"/>
            <w:vAlign w:val="center"/>
          </w:tcPr>
          <w:p w14:paraId="5DA5441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112.623</w:t>
            </w:r>
          </w:p>
        </w:tc>
        <w:tc>
          <w:tcPr>
            <w:tcW w:w="894" w:type="dxa"/>
            <w:vAlign w:val="center"/>
          </w:tcPr>
          <w:p w14:paraId="1062A1D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26.970</w:t>
            </w:r>
          </w:p>
        </w:tc>
        <w:tc>
          <w:tcPr>
            <w:tcW w:w="2234" w:type="dxa"/>
            <w:vAlign w:val="center"/>
          </w:tcPr>
          <w:p w14:paraId="20A2AAD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金源街道办事处</w:t>
            </w:r>
          </w:p>
        </w:tc>
        <w:tc>
          <w:tcPr>
            <w:tcW w:w="892" w:type="dxa"/>
            <w:vAlign w:val="center"/>
          </w:tcPr>
          <w:p w14:paraId="6242039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w:t>
            </w:r>
          </w:p>
        </w:tc>
        <w:tc>
          <w:tcPr>
            <w:tcW w:w="1753" w:type="dxa"/>
            <w:gridSpan w:val="2"/>
            <w:vAlign w:val="center"/>
          </w:tcPr>
          <w:p w14:paraId="08D4287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840m</w:t>
            </w:r>
          </w:p>
        </w:tc>
        <w:tc>
          <w:tcPr>
            <w:tcW w:w="1241" w:type="dxa"/>
            <w:vAlign w:val="center"/>
          </w:tcPr>
          <w:p w14:paraId="31E680C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42E7D34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restart"/>
            <w:vAlign w:val="center"/>
          </w:tcPr>
          <w:p w14:paraId="3E952DE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《环境空气质量标准》（GB3095-2012）</w:t>
            </w:r>
          </w:p>
          <w:p w14:paraId="7353DED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二级标准</w:t>
            </w:r>
          </w:p>
        </w:tc>
      </w:tr>
      <w:tr w14:paraId="457A2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21AE250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1044" w:type="dxa"/>
            <w:vAlign w:val="center"/>
          </w:tcPr>
          <w:p w14:paraId="31282B5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112.622</w:t>
            </w:r>
          </w:p>
        </w:tc>
        <w:tc>
          <w:tcPr>
            <w:tcW w:w="894" w:type="dxa"/>
            <w:vAlign w:val="center"/>
          </w:tcPr>
          <w:p w14:paraId="0B09778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26.967</w:t>
            </w:r>
          </w:p>
        </w:tc>
        <w:tc>
          <w:tcPr>
            <w:tcW w:w="2234" w:type="dxa"/>
            <w:vAlign w:val="center"/>
          </w:tcPr>
          <w:p w14:paraId="4907FA4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松木经开区公租房</w:t>
            </w:r>
          </w:p>
        </w:tc>
        <w:tc>
          <w:tcPr>
            <w:tcW w:w="892" w:type="dxa"/>
            <w:vAlign w:val="center"/>
          </w:tcPr>
          <w:p w14:paraId="41714DE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w:t>
            </w:r>
          </w:p>
        </w:tc>
        <w:tc>
          <w:tcPr>
            <w:tcW w:w="1753" w:type="dxa"/>
            <w:gridSpan w:val="2"/>
            <w:vAlign w:val="center"/>
          </w:tcPr>
          <w:p w14:paraId="6782694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1030m</w:t>
            </w:r>
          </w:p>
        </w:tc>
        <w:tc>
          <w:tcPr>
            <w:tcW w:w="1241" w:type="dxa"/>
            <w:vAlign w:val="center"/>
          </w:tcPr>
          <w:p w14:paraId="155F916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0D693E6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61461FE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60E2A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6B2B73B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1044" w:type="dxa"/>
            <w:vAlign w:val="center"/>
          </w:tcPr>
          <w:p w14:paraId="10001D6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112.616</w:t>
            </w:r>
          </w:p>
        </w:tc>
        <w:tc>
          <w:tcPr>
            <w:tcW w:w="894" w:type="dxa"/>
            <w:vAlign w:val="center"/>
          </w:tcPr>
          <w:p w14:paraId="31106AF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26.972</w:t>
            </w:r>
          </w:p>
        </w:tc>
        <w:tc>
          <w:tcPr>
            <w:tcW w:w="2234" w:type="dxa"/>
            <w:vAlign w:val="center"/>
          </w:tcPr>
          <w:p w14:paraId="526D544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金源社区居委会</w:t>
            </w:r>
          </w:p>
        </w:tc>
        <w:tc>
          <w:tcPr>
            <w:tcW w:w="892" w:type="dxa"/>
            <w:vAlign w:val="center"/>
          </w:tcPr>
          <w:p w14:paraId="3E93D39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w:t>
            </w:r>
          </w:p>
        </w:tc>
        <w:tc>
          <w:tcPr>
            <w:tcW w:w="1753" w:type="dxa"/>
            <w:gridSpan w:val="2"/>
            <w:vAlign w:val="center"/>
          </w:tcPr>
          <w:p w14:paraId="1B6C64D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1650m</w:t>
            </w:r>
          </w:p>
        </w:tc>
        <w:tc>
          <w:tcPr>
            <w:tcW w:w="1241" w:type="dxa"/>
            <w:vAlign w:val="center"/>
          </w:tcPr>
          <w:p w14:paraId="4BB0F7B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5ECE792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53A1B3D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448F8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574300C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1044" w:type="dxa"/>
            <w:vAlign w:val="center"/>
          </w:tcPr>
          <w:p w14:paraId="1964B2A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112.616</w:t>
            </w:r>
          </w:p>
        </w:tc>
        <w:tc>
          <w:tcPr>
            <w:tcW w:w="894" w:type="dxa"/>
            <w:vAlign w:val="center"/>
          </w:tcPr>
          <w:p w14:paraId="7923BF9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26.966</w:t>
            </w:r>
          </w:p>
        </w:tc>
        <w:tc>
          <w:tcPr>
            <w:tcW w:w="2234" w:type="dxa"/>
            <w:vAlign w:val="center"/>
          </w:tcPr>
          <w:p w14:paraId="5675E6A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松木经开区管委会</w:t>
            </w:r>
          </w:p>
        </w:tc>
        <w:tc>
          <w:tcPr>
            <w:tcW w:w="892" w:type="dxa"/>
            <w:vAlign w:val="center"/>
          </w:tcPr>
          <w:p w14:paraId="38F0C51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w:t>
            </w:r>
          </w:p>
        </w:tc>
        <w:tc>
          <w:tcPr>
            <w:tcW w:w="1753" w:type="dxa"/>
            <w:gridSpan w:val="2"/>
            <w:vAlign w:val="center"/>
          </w:tcPr>
          <w:p w14:paraId="228473F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1670m</w:t>
            </w:r>
          </w:p>
        </w:tc>
        <w:tc>
          <w:tcPr>
            <w:tcW w:w="1241" w:type="dxa"/>
            <w:vAlign w:val="center"/>
          </w:tcPr>
          <w:p w14:paraId="09EBBD1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4AE4CFB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64D263E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7EB69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7B76E1A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1044" w:type="dxa"/>
            <w:vAlign w:val="center"/>
          </w:tcPr>
          <w:p w14:paraId="193BF68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112.613</w:t>
            </w:r>
          </w:p>
        </w:tc>
        <w:tc>
          <w:tcPr>
            <w:tcW w:w="894" w:type="dxa"/>
            <w:vAlign w:val="center"/>
          </w:tcPr>
          <w:p w14:paraId="2CFB725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26.968</w:t>
            </w:r>
          </w:p>
        </w:tc>
        <w:tc>
          <w:tcPr>
            <w:tcW w:w="2234" w:type="dxa"/>
            <w:vAlign w:val="center"/>
          </w:tcPr>
          <w:p w14:paraId="6BBE560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松木中学</w:t>
            </w:r>
          </w:p>
        </w:tc>
        <w:tc>
          <w:tcPr>
            <w:tcW w:w="892" w:type="dxa"/>
            <w:vAlign w:val="center"/>
          </w:tcPr>
          <w:p w14:paraId="6962035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w:t>
            </w:r>
          </w:p>
        </w:tc>
        <w:tc>
          <w:tcPr>
            <w:tcW w:w="1753" w:type="dxa"/>
            <w:gridSpan w:val="2"/>
            <w:vAlign w:val="center"/>
          </w:tcPr>
          <w:p w14:paraId="538F94D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2020m</w:t>
            </w:r>
          </w:p>
        </w:tc>
        <w:tc>
          <w:tcPr>
            <w:tcW w:w="1241" w:type="dxa"/>
            <w:vAlign w:val="center"/>
          </w:tcPr>
          <w:p w14:paraId="2806CB8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6BECA6B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学校（</w:t>
            </w:r>
            <w:r>
              <w:rPr>
                <w:rFonts w:hint="default" w:ascii="Times New Roman" w:hAnsi="Times New Roman" w:eastAsia="宋体" w:cs="Times New Roman"/>
                <w:color w:val="auto"/>
                <w:sz w:val="21"/>
                <w:szCs w:val="21"/>
                <w:highlight w:val="none"/>
                <w:u w:val="none" w:color="auto"/>
                <w:lang w:eastAsia="zh-CN"/>
              </w:rPr>
              <w:t>中</w:t>
            </w:r>
            <w:r>
              <w:rPr>
                <w:rFonts w:hint="default" w:ascii="Times New Roman" w:hAnsi="Times New Roman" w:eastAsia="宋体" w:cs="Times New Roman"/>
                <w:color w:val="auto"/>
                <w:sz w:val="21"/>
                <w:szCs w:val="21"/>
                <w:highlight w:val="none"/>
                <w:u w:val="none" w:color="auto"/>
              </w:rPr>
              <w:t>学）</w:t>
            </w:r>
          </w:p>
        </w:tc>
        <w:tc>
          <w:tcPr>
            <w:tcW w:w="2888" w:type="dxa"/>
            <w:vMerge w:val="continue"/>
            <w:vAlign w:val="center"/>
          </w:tcPr>
          <w:p w14:paraId="151F7C8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33E87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728B4AC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w:t>
            </w:r>
          </w:p>
        </w:tc>
        <w:tc>
          <w:tcPr>
            <w:tcW w:w="1044" w:type="dxa"/>
            <w:vAlign w:val="center"/>
          </w:tcPr>
          <w:p w14:paraId="69FBB45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112.614</w:t>
            </w:r>
          </w:p>
        </w:tc>
        <w:tc>
          <w:tcPr>
            <w:tcW w:w="894" w:type="dxa"/>
            <w:vAlign w:val="center"/>
          </w:tcPr>
          <w:p w14:paraId="094FAB0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26.970</w:t>
            </w:r>
          </w:p>
        </w:tc>
        <w:tc>
          <w:tcPr>
            <w:tcW w:w="2234" w:type="dxa"/>
            <w:vAlign w:val="center"/>
          </w:tcPr>
          <w:p w14:paraId="673EA30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湖南工商职业学院</w:t>
            </w:r>
          </w:p>
        </w:tc>
        <w:tc>
          <w:tcPr>
            <w:tcW w:w="892" w:type="dxa"/>
            <w:vAlign w:val="center"/>
          </w:tcPr>
          <w:p w14:paraId="0ECB2BF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w:t>
            </w:r>
          </w:p>
        </w:tc>
        <w:tc>
          <w:tcPr>
            <w:tcW w:w="1753" w:type="dxa"/>
            <w:gridSpan w:val="2"/>
            <w:vAlign w:val="center"/>
          </w:tcPr>
          <w:p w14:paraId="4943A42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1700m</w:t>
            </w:r>
          </w:p>
        </w:tc>
        <w:tc>
          <w:tcPr>
            <w:tcW w:w="1241" w:type="dxa"/>
            <w:vAlign w:val="center"/>
          </w:tcPr>
          <w:p w14:paraId="5FEC5B2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4D55E0D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学校（</w:t>
            </w:r>
            <w:r>
              <w:rPr>
                <w:rFonts w:hint="default" w:ascii="Times New Roman" w:hAnsi="Times New Roman" w:eastAsia="宋体" w:cs="Times New Roman"/>
                <w:color w:val="auto"/>
                <w:sz w:val="21"/>
                <w:szCs w:val="21"/>
                <w:highlight w:val="none"/>
                <w:u w:val="none" w:color="auto"/>
                <w:lang w:eastAsia="zh-CN"/>
              </w:rPr>
              <w:t>大专</w:t>
            </w:r>
            <w:r>
              <w:rPr>
                <w:rFonts w:hint="default" w:ascii="Times New Roman" w:hAnsi="Times New Roman" w:eastAsia="宋体" w:cs="Times New Roman"/>
                <w:color w:val="auto"/>
                <w:sz w:val="21"/>
                <w:szCs w:val="21"/>
                <w:highlight w:val="none"/>
                <w:u w:val="none" w:color="auto"/>
              </w:rPr>
              <w:t>）</w:t>
            </w:r>
          </w:p>
        </w:tc>
        <w:tc>
          <w:tcPr>
            <w:tcW w:w="2888" w:type="dxa"/>
            <w:vMerge w:val="continue"/>
            <w:vAlign w:val="center"/>
          </w:tcPr>
          <w:p w14:paraId="3ECAD1D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129C32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19F71EC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1044" w:type="dxa"/>
            <w:vAlign w:val="center"/>
          </w:tcPr>
          <w:p w14:paraId="2B3D4CA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112.612</w:t>
            </w:r>
          </w:p>
        </w:tc>
        <w:tc>
          <w:tcPr>
            <w:tcW w:w="894" w:type="dxa"/>
            <w:vAlign w:val="center"/>
          </w:tcPr>
          <w:p w14:paraId="3AFB5A1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26.970</w:t>
            </w:r>
          </w:p>
        </w:tc>
        <w:tc>
          <w:tcPr>
            <w:tcW w:w="2234" w:type="dxa"/>
            <w:vAlign w:val="center"/>
          </w:tcPr>
          <w:p w14:paraId="0E4A572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松木胜利小区</w:t>
            </w:r>
          </w:p>
        </w:tc>
        <w:tc>
          <w:tcPr>
            <w:tcW w:w="892" w:type="dxa"/>
            <w:vAlign w:val="center"/>
          </w:tcPr>
          <w:p w14:paraId="005B8C7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w:t>
            </w:r>
          </w:p>
        </w:tc>
        <w:tc>
          <w:tcPr>
            <w:tcW w:w="1753" w:type="dxa"/>
            <w:gridSpan w:val="2"/>
            <w:vAlign w:val="center"/>
          </w:tcPr>
          <w:p w14:paraId="2DA53A5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2100m</w:t>
            </w:r>
          </w:p>
        </w:tc>
        <w:tc>
          <w:tcPr>
            <w:tcW w:w="1241" w:type="dxa"/>
            <w:vAlign w:val="center"/>
          </w:tcPr>
          <w:p w14:paraId="4F8907B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0BAEABA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1DEB6FC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3361DC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365EBD4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1044" w:type="dxa"/>
            <w:vAlign w:val="center"/>
          </w:tcPr>
          <w:p w14:paraId="4ECF147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112.613</w:t>
            </w:r>
          </w:p>
        </w:tc>
        <w:tc>
          <w:tcPr>
            <w:tcW w:w="894" w:type="dxa"/>
            <w:vAlign w:val="center"/>
          </w:tcPr>
          <w:p w14:paraId="21043A9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26.973</w:t>
            </w:r>
          </w:p>
        </w:tc>
        <w:tc>
          <w:tcPr>
            <w:tcW w:w="2234" w:type="dxa"/>
            <w:vAlign w:val="center"/>
          </w:tcPr>
          <w:p w14:paraId="270FA0D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松木小学</w:t>
            </w:r>
          </w:p>
        </w:tc>
        <w:tc>
          <w:tcPr>
            <w:tcW w:w="892" w:type="dxa"/>
            <w:vAlign w:val="center"/>
          </w:tcPr>
          <w:p w14:paraId="190F4B0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WN</w:t>
            </w:r>
          </w:p>
        </w:tc>
        <w:tc>
          <w:tcPr>
            <w:tcW w:w="1753" w:type="dxa"/>
            <w:gridSpan w:val="2"/>
            <w:vAlign w:val="center"/>
          </w:tcPr>
          <w:p w14:paraId="4D60C02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2140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57ACD8C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78BAA47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学校（小学）</w:t>
            </w:r>
          </w:p>
        </w:tc>
        <w:tc>
          <w:tcPr>
            <w:tcW w:w="2888" w:type="dxa"/>
            <w:vMerge w:val="continue"/>
            <w:vAlign w:val="center"/>
          </w:tcPr>
          <w:p w14:paraId="3F070B7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318E9D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517B8BB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w:t>
            </w:r>
          </w:p>
        </w:tc>
        <w:tc>
          <w:tcPr>
            <w:tcW w:w="1044" w:type="dxa"/>
            <w:vAlign w:val="center"/>
          </w:tcPr>
          <w:p w14:paraId="088BE06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112.613</w:t>
            </w:r>
          </w:p>
        </w:tc>
        <w:tc>
          <w:tcPr>
            <w:tcW w:w="894" w:type="dxa"/>
            <w:vAlign w:val="center"/>
          </w:tcPr>
          <w:p w14:paraId="6F73A19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26.976</w:t>
            </w:r>
          </w:p>
        </w:tc>
        <w:tc>
          <w:tcPr>
            <w:tcW w:w="2234" w:type="dxa"/>
            <w:vAlign w:val="center"/>
          </w:tcPr>
          <w:p w14:paraId="38DD38C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金源小学</w:t>
            </w:r>
          </w:p>
        </w:tc>
        <w:tc>
          <w:tcPr>
            <w:tcW w:w="892" w:type="dxa"/>
            <w:vAlign w:val="center"/>
          </w:tcPr>
          <w:p w14:paraId="1641980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WN</w:t>
            </w:r>
          </w:p>
        </w:tc>
        <w:tc>
          <w:tcPr>
            <w:tcW w:w="1753" w:type="dxa"/>
            <w:gridSpan w:val="2"/>
            <w:vAlign w:val="center"/>
          </w:tcPr>
          <w:p w14:paraId="0C7B13D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2160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2DD5DC9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32B870C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学校（小学）</w:t>
            </w:r>
          </w:p>
        </w:tc>
        <w:tc>
          <w:tcPr>
            <w:tcW w:w="2888" w:type="dxa"/>
            <w:vMerge w:val="continue"/>
            <w:vAlign w:val="center"/>
          </w:tcPr>
          <w:p w14:paraId="0306AA6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51DCE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78D2C39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1044" w:type="dxa"/>
            <w:vAlign w:val="center"/>
          </w:tcPr>
          <w:p w14:paraId="70F2E29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112.616</w:t>
            </w:r>
          </w:p>
        </w:tc>
        <w:tc>
          <w:tcPr>
            <w:tcW w:w="894" w:type="dxa"/>
            <w:vAlign w:val="center"/>
          </w:tcPr>
          <w:p w14:paraId="188E757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26.977</w:t>
            </w:r>
          </w:p>
        </w:tc>
        <w:tc>
          <w:tcPr>
            <w:tcW w:w="2234" w:type="dxa"/>
            <w:vAlign w:val="center"/>
          </w:tcPr>
          <w:p w14:paraId="5B6BE84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左家垅</w:t>
            </w:r>
          </w:p>
        </w:tc>
        <w:tc>
          <w:tcPr>
            <w:tcW w:w="892" w:type="dxa"/>
            <w:vAlign w:val="center"/>
          </w:tcPr>
          <w:p w14:paraId="48CC9B8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WN</w:t>
            </w:r>
          </w:p>
        </w:tc>
        <w:tc>
          <w:tcPr>
            <w:tcW w:w="1753" w:type="dxa"/>
            <w:gridSpan w:val="2"/>
            <w:vAlign w:val="center"/>
          </w:tcPr>
          <w:p w14:paraId="44909EB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1840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59CF169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5D8B080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6E0B51D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3F38F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4A86750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w:t>
            </w:r>
          </w:p>
        </w:tc>
        <w:tc>
          <w:tcPr>
            <w:tcW w:w="1044" w:type="dxa"/>
            <w:vAlign w:val="center"/>
          </w:tcPr>
          <w:p w14:paraId="28AF84C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112.616</w:t>
            </w:r>
          </w:p>
        </w:tc>
        <w:tc>
          <w:tcPr>
            <w:tcW w:w="894" w:type="dxa"/>
            <w:vAlign w:val="center"/>
          </w:tcPr>
          <w:p w14:paraId="771BE0A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26.987</w:t>
            </w:r>
          </w:p>
        </w:tc>
        <w:tc>
          <w:tcPr>
            <w:tcW w:w="2234" w:type="dxa"/>
            <w:vAlign w:val="center"/>
          </w:tcPr>
          <w:p w14:paraId="3A3386F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鱼子塘</w:t>
            </w:r>
          </w:p>
        </w:tc>
        <w:tc>
          <w:tcPr>
            <w:tcW w:w="892" w:type="dxa"/>
            <w:vAlign w:val="center"/>
          </w:tcPr>
          <w:p w14:paraId="0676764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WN</w:t>
            </w:r>
          </w:p>
        </w:tc>
        <w:tc>
          <w:tcPr>
            <w:tcW w:w="1753" w:type="dxa"/>
            <w:gridSpan w:val="2"/>
            <w:vAlign w:val="center"/>
          </w:tcPr>
          <w:p w14:paraId="3BB36AA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2400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4766DAD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5E514FC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32092BE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3E519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381ABFE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w:t>
            </w:r>
          </w:p>
        </w:tc>
        <w:tc>
          <w:tcPr>
            <w:tcW w:w="1044" w:type="dxa"/>
            <w:vAlign w:val="center"/>
          </w:tcPr>
          <w:p w14:paraId="49BD07B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112.642</w:t>
            </w:r>
          </w:p>
        </w:tc>
        <w:tc>
          <w:tcPr>
            <w:tcW w:w="894" w:type="dxa"/>
            <w:vAlign w:val="center"/>
          </w:tcPr>
          <w:p w14:paraId="1781F8C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26.986</w:t>
            </w:r>
          </w:p>
        </w:tc>
        <w:tc>
          <w:tcPr>
            <w:tcW w:w="2234" w:type="dxa"/>
            <w:vAlign w:val="center"/>
          </w:tcPr>
          <w:p w14:paraId="5622530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新安村</w:t>
            </w:r>
          </w:p>
        </w:tc>
        <w:tc>
          <w:tcPr>
            <w:tcW w:w="892" w:type="dxa"/>
            <w:vAlign w:val="center"/>
          </w:tcPr>
          <w:p w14:paraId="48BEF22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EN</w:t>
            </w:r>
          </w:p>
        </w:tc>
        <w:tc>
          <w:tcPr>
            <w:tcW w:w="1753" w:type="dxa"/>
            <w:gridSpan w:val="2"/>
            <w:vAlign w:val="center"/>
          </w:tcPr>
          <w:p w14:paraId="691A0E4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1970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165E4C8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2F6B1C1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776D299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71B559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7779217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w:t>
            </w:r>
          </w:p>
        </w:tc>
        <w:tc>
          <w:tcPr>
            <w:tcW w:w="1044" w:type="dxa"/>
            <w:vAlign w:val="center"/>
          </w:tcPr>
          <w:p w14:paraId="1EE8596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112.657</w:t>
            </w:r>
          </w:p>
        </w:tc>
        <w:tc>
          <w:tcPr>
            <w:tcW w:w="894" w:type="dxa"/>
            <w:vAlign w:val="center"/>
          </w:tcPr>
          <w:p w14:paraId="638C6F3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26.989</w:t>
            </w:r>
          </w:p>
        </w:tc>
        <w:tc>
          <w:tcPr>
            <w:tcW w:w="2234" w:type="dxa"/>
            <w:vAlign w:val="center"/>
          </w:tcPr>
          <w:p w14:paraId="023FB6D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金甲村</w:t>
            </w:r>
          </w:p>
        </w:tc>
        <w:tc>
          <w:tcPr>
            <w:tcW w:w="892" w:type="dxa"/>
            <w:vAlign w:val="center"/>
          </w:tcPr>
          <w:p w14:paraId="57E57B1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EN</w:t>
            </w:r>
          </w:p>
        </w:tc>
        <w:tc>
          <w:tcPr>
            <w:tcW w:w="1753" w:type="dxa"/>
            <w:gridSpan w:val="2"/>
            <w:vAlign w:val="center"/>
          </w:tcPr>
          <w:p w14:paraId="1A49B12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2900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20FD257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2229A22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60B1A62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12E6E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4690079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14</w:t>
            </w:r>
          </w:p>
        </w:tc>
        <w:tc>
          <w:tcPr>
            <w:tcW w:w="1044" w:type="dxa"/>
            <w:vAlign w:val="center"/>
          </w:tcPr>
          <w:p w14:paraId="6E88223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112.635</w:t>
            </w:r>
          </w:p>
        </w:tc>
        <w:tc>
          <w:tcPr>
            <w:tcW w:w="894" w:type="dxa"/>
            <w:vAlign w:val="center"/>
          </w:tcPr>
          <w:p w14:paraId="0C58874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26.955</w:t>
            </w:r>
          </w:p>
        </w:tc>
        <w:tc>
          <w:tcPr>
            <w:tcW w:w="2234" w:type="dxa"/>
            <w:vAlign w:val="center"/>
          </w:tcPr>
          <w:p w14:paraId="44D7C9A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龙谊村</w:t>
            </w:r>
          </w:p>
        </w:tc>
        <w:tc>
          <w:tcPr>
            <w:tcW w:w="892" w:type="dxa"/>
            <w:vAlign w:val="center"/>
          </w:tcPr>
          <w:p w14:paraId="1499830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1753" w:type="dxa"/>
            <w:gridSpan w:val="2"/>
            <w:vAlign w:val="center"/>
          </w:tcPr>
          <w:p w14:paraId="290A7DE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1050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2DEB516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5ABC564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5858A8E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14E69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78CE010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1044" w:type="dxa"/>
            <w:vAlign w:val="center"/>
          </w:tcPr>
          <w:p w14:paraId="3D8D4D8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112.624</w:t>
            </w:r>
          </w:p>
        </w:tc>
        <w:tc>
          <w:tcPr>
            <w:tcW w:w="894" w:type="dxa"/>
            <w:vAlign w:val="center"/>
          </w:tcPr>
          <w:p w14:paraId="358D573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26.946</w:t>
            </w:r>
          </w:p>
        </w:tc>
        <w:tc>
          <w:tcPr>
            <w:tcW w:w="2234" w:type="dxa"/>
            <w:vAlign w:val="center"/>
          </w:tcPr>
          <w:p w14:paraId="33B0B7F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冯家冲</w:t>
            </w:r>
          </w:p>
        </w:tc>
        <w:tc>
          <w:tcPr>
            <w:tcW w:w="892" w:type="dxa"/>
            <w:vAlign w:val="center"/>
          </w:tcPr>
          <w:p w14:paraId="038DD67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1753" w:type="dxa"/>
            <w:gridSpan w:val="2"/>
            <w:vAlign w:val="center"/>
          </w:tcPr>
          <w:p w14:paraId="0DC22F3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2330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7A918D1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022AC37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2EEB4DC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6BA91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43F7F77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16</w:t>
            </w:r>
          </w:p>
        </w:tc>
        <w:tc>
          <w:tcPr>
            <w:tcW w:w="1044" w:type="dxa"/>
            <w:vAlign w:val="center"/>
          </w:tcPr>
          <w:p w14:paraId="275F782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112.644</w:t>
            </w:r>
          </w:p>
        </w:tc>
        <w:tc>
          <w:tcPr>
            <w:tcW w:w="894" w:type="dxa"/>
            <w:vAlign w:val="center"/>
          </w:tcPr>
          <w:p w14:paraId="5EE6BAD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26.947</w:t>
            </w:r>
          </w:p>
        </w:tc>
        <w:tc>
          <w:tcPr>
            <w:tcW w:w="2234" w:type="dxa"/>
            <w:vAlign w:val="center"/>
          </w:tcPr>
          <w:p w14:paraId="54B5D3B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江霞村</w:t>
            </w:r>
          </w:p>
        </w:tc>
        <w:tc>
          <w:tcPr>
            <w:tcW w:w="892" w:type="dxa"/>
            <w:vAlign w:val="center"/>
          </w:tcPr>
          <w:p w14:paraId="1C981A8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ES</w:t>
            </w:r>
          </w:p>
        </w:tc>
        <w:tc>
          <w:tcPr>
            <w:tcW w:w="1753" w:type="dxa"/>
            <w:gridSpan w:val="2"/>
            <w:vAlign w:val="center"/>
          </w:tcPr>
          <w:p w14:paraId="6939BA0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2080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5851569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3E15924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264C69D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27164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11E8EC5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17</w:t>
            </w:r>
          </w:p>
        </w:tc>
        <w:tc>
          <w:tcPr>
            <w:tcW w:w="1044" w:type="dxa"/>
            <w:vAlign w:val="center"/>
          </w:tcPr>
          <w:p w14:paraId="067E342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112.628</w:t>
            </w:r>
          </w:p>
        </w:tc>
        <w:tc>
          <w:tcPr>
            <w:tcW w:w="894" w:type="dxa"/>
            <w:vAlign w:val="center"/>
          </w:tcPr>
          <w:p w14:paraId="2B6412A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26.943</w:t>
            </w:r>
          </w:p>
        </w:tc>
        <w:tc>
          <w:tcPr>
            <w:tcW w:w="2234" w:type="dxa"/>
            <w:vAlign w:val="center"/>
          </w:tcPr>
          <w:p w14:paraId="46921ED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十方塘</w:t>
            </w:r>
          </w:p>
        </w:tc>
        <w:tc>
          <w:tcPr>
            <w:tcW w:w="892" w:type="dxa"/>
            <w:vAlign w:val="center"/>
          </w:tcPr>
          <w:p w14:paraId="749EA8F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1753" w:type="dxa"/>
            <w:gridSpan w:val="2"/>
            <w:vAlign w:val="center"/>
          </w:tcPr>
          <w:p w14:paraId="46A3196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2400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5A029AA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63E5FF6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737DD64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1ACDD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4C24D99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18</w:t>
            </w:r>
          </w:p>
        </w:tc>
        <w:tc>
          <w:tcPr>
            <w:tcW w:w="1044" w:type="dxa"/>
            <w:vAlign w:val="center"/>
          </w:tcPr>
          <w:p w14:paraId="50256BC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112.637</w:t>
            </w:r>
          </w:p>
        </w:tc>
        <w:tc>
          <w:tcPr>
            <w:tcW w:w="894" w:type="dxa"/>
            <w:vAlign w:val="center"/>
          </w:tcPr>
          <w:p w14:paraId="672644C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26.946</w:t>
            </w:r>
          </w:p>
        </w:tc>
        <w:tc>
          <w:tcPr>
            <w:tcW w:w="2234" w:type="dxa"/>
            <w:vAlign w:val="center"/>
          </w:tcPr>
          <w:p w14:paraId="1D6E3E8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团结村</w:t>
            </w:r>
          </w:p>
        </w:tc>
        <w:tc>
          <w:tcPr>
            <w:tcW w:w="892" w:type="dxa"/>
            <w:vAlign w:val="center"/>
          </w:tcPr>
          <w:p w14:paraId="3073767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S</w:t>
            </w:r>
          </w:p>
        </w:tc>
        <w:tc>
          <w:tcPr>
            <w:tcW w:w="1753" w:type="dxa"/>
            <w:gridSpan w:val="2"/>
            <w:vAlign w:val="center"/>
          </w:tcPr>
          <w:p w14:paraId="49E5DB9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2020</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2FFFA3A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4EA8521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490DF1C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4CCED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18CD15F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19</w:t>
            </w:r>
          </w:p>
        </w:tc>
        <w:tc>
          <w:tcPr>
            <w:tcW w:w="1044" w:type="dxa"/>
            <w:vAlign w:val="center"/>
          </w:tcPr>
          <w:p w14:paraId="1880F85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112.657</w:t>
            </w:r>
          </w:p>
        </w:tc>
        <w:tc>
          <w:tcPr>
            <w:tcW w:w="894" w:type="dxa"/>
            <w:vAlign w:val="center"/>
          </w:tcPr>
          <w:p w14:paraId="361BF06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26.943</w:t>
            </w:r>
          </w:p>
        </w:tc>
        <w:tc>
          <w:tcPr>
            <w:tcW w:w="2234" w:type="dxa"/>
            <w:vAlign w:val="center"/>
          </w:tcPr>
          <w:p w14:paraId="5F82504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藕塘村</w:t>
            </w:r>
          </w:p>
        </w:tc>
        <w:tc>
          <w:tcPr>
            <w:tcW w:w="892" w:type="dxa"/>
            <w:vAlign w:val="center"/>
          </w:tcPr>
          <w:p w14:paraId="2A2F4F3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ES</w:t>
            </w:r>
          </w:p>
        </w:tc>
        <w:tc>
          <w:tcPr>
            <w:tcW w:w="1753" w:type="dxa"/>
            <w:gridSpan w:val="2"/>
            <w:vAlign w:val="center"/>
          </w:tcPr>
          <w:p w14:paraId="69D6EF3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3215</w:t>
            </w:r>
            <w:r>
              <w:rPr>
                <w:rFonts w:hint="default" w:ascii="Times New Roman" w:hAnsi="Times New Roman" w:eastAsia="宋体" w:cs="Times New Roman"/>
                <w:color w:val="auto"/>
                <w:sz w:val="21"/>
                <w:szCs w:val="21"/>
                <w:highlight w:val="none"/>
                <w:u w:val="none" w:color="auto"/>
              </w:rPr>
              <w:t>m</w:t>
            </w:r>
          </w:p>
        </w:tc>
        <w:tc>
          <w:tcPr>
            <w:tcW w:w="1241" w:type="dxa"/>
            <w:vAlign w:val="center"/>
          </w:tcPr>
          <w:p w14:paraId="7F2F9AD2">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2AB2FFC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居住区</w:t>
            </w:r>
          </w:p>
        </w:tc>
        <w:tc>
          <w:tcPr>
            <w:tcW w:w="2888" w:type="dxa"/>
            <w:vMerge w:val="continue"/>
            <w:vAlign w:val="center"/>
          </w:tcPr>
          <w:p w14:paraId="2BF19F0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73B1F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dxa"/>
            <w:vAlign w:val="center"/>
          </w:tcPr>
          <w:p w14:paraId="27A2D2D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c>
          <w:tcPr>
            <w:tcW w:w="1044" w:type="dxa"/>
            <w:vAlign w:val="center"/>
          </w:tcPr>
          <w:p w14:paraId="32D59BB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112.642</w:t>
            </w:r>
          </w:p>
        </w:tc>
        <w:tc>
          <w:tcPr>
            <w:tcW w:w="894" w:type="dxa"/>
            <w:vAlign w:val="center"/>
          </w:tcPr>
          <w:p w14:paraId="7302611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6.987</w:t>
            </w:r>
          </w:p>
        </w:tc>
        <w:tc>
          <w:tcPr>
            <w:tcW w:w="2234" w:type="dxa"/>
            <w:vAlign w:val="center"/>
          </w:tcPr>
          <w:p w14:paraId="6462793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新安完小</w:t>
            </w:r>
          </w:p>
        </w:tc>
        <w:tc>
          <w:tcPr>
            <w:tcW w:w="892" w:type="dxa"/>
            <w:vAlign w:val="center"/>
          </w:tcPr>
          <w:p w14:paraId="2CC0724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EN</w:t>
            </w:r>
          </w:p>
        </w:tc>
        <w:tc>
          <w:tcPr>
            <w:tcW w:w="1753" w:type="dxa"/>
            <w:gridSpan w:val="2"/>
            <w:vAlign w:val="center"/>
          </w:tcPr>
          <w:p w14:paraId="5895A2A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2200</w:t>
            </w:r>
            <w:r>
              <w:rPr>
                <w:rFonts w:hint="eastAsia" w:ascii="Times New Roman" w:hAnsi="Times New Roman" w:eastAsia="宋体" w:cs="Times New Roman"/>
                <w:color w:val="auto"/>
                <w:sz w:val="21"/>
                <w:szCs w:val="21"/>
                <w:highlight w:val="none"/>
                <w:u w:val="none" w:color="auto"/>
                <w:lang w:val="en-US" w:eastAsia="zh-CN"/>
              </w:rPr>
              <w:t>m</w:t>
            </w:r>
          </w:p>
        </w:tc>
        <w:tc>
          <w:tcPr>
            <w:tcW w:w="1241" w:type="dxa"/>
            <w:vAlign w:val="center"/>
          </w:tcPr>
          <w:p w14:paraId="5829F58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w:t>
            </w:r>
          </w:p>
        </w:tc>
        <w:tc>
          <w:tcPr>
            <w:tcW w:w="1614" w:type="dxa"/>
            <w:vAlign w:val="center"/>
          </w:tcPr>
          <w:p w14:paraId="55174C0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学</w:t>
            </w:r>
            <w:r>
              <w:rPr>
                <w:rFonts w:hint="default" w:ascii="Times New Roman" w:hAnsi="Times New Roman" w:eastAsia="宋体" w:cs="Times New Roman"/>
                <w:color w:val="auto"/>
                <w:sz w:val="21"/>
                <w:szCs w:val="21"/>
                <w:highlight w:val="none"/>
                <w:u w:val="none" w:color="auto"/>
              </w:rPr>
              <w:t>校（小学）</w:t>
            </w:r>
          </w:p>
        </w:tc>
        <w:tc>
          <w:tcPr>
            <w:tcW w:w="2888" w:type="dxa"/>
            <w:vMerge w:val="continue"/>
            <w:vAlign w:val="center"/>
          </w:tcPr>
          <w:p w14:paraId="2DD8A2A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r>
      <w:tr w14:paraId="0BA90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5" w:type="dxa"/>
            <w:gridSpan w:val="3"/>
            <w:vMerge w:val="restart"/>
            <w:tcBorders>
              <w:right w:val="single" w:color="auto" w:sz="4" w:space="0"/>
            </w:tcBorders>
            <w:vAlign w:val="center"/>
          </w:tcPr>
          <w:p w14:paraId="00B2DAE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地表水环境</w:t>
            </w:r>
          </w:p>
        </w:tc>
        <w:tc>
          <w:tcPr>
            <w:tcW w:w="2234" w:type="dxa"/>
            <w:vMerge w:val="restart"/>
            <w:vAlign w:val="center"/>
          </w:tcPr>
          <w:p w14:paraId="63B8B9E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湘江</w:t>
            </w:r>
          </w:p>
        </w:tc>
        <w:tc>
          <w:tcPr>
            <w:tcW w:w="1685" w:type="dxa"/>
            <w:gridSpan w:val="2"/>
            <w:tcBorders>
              <w:right w:val="single" w:color="auto" w:sz="4" w:space="0"/>
            </w:tcBorders>
            <w:vAlign w:val="center"/>
          </w:tcPr>
          <w:p w14:paraId="6235061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东侧，直线距离1800m</w:t>
            </w:r>
          </w:p>
        </w:tc>
        <w:tc>
          <w:tcPr>
            <w:tcW w:w="2201" w:type="dxa"/>
            <w:gridSpan w:val="2"/>
            <w:tcBorders>
              <w:left w:val="single" w:color="auto" w:sz="4" w:space="0"/>
              <w:bottom w:val="single" w:color="auto" w:sz="4" w:space="0"/>
            </w:tcBorders>
            <w:vAlign w:val="center"/>
          </w:tcPr>
          <w:p w14:paraId="1A311CB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蒸水口至大浦镇师塘村上游6000m</w:t>
            </w:r>
          </w:p>
        </w:tc>
        <w:tc>
          <w:tcPr>
            <w:tcW w:w="1614" w:type="dxa"/>
            <w:tcBorders>
              <w:bottom w:val="single" w:color="auto" w:sz="4" w:space="0"/>
            </w:tcBorders>
            <w:vAlign w:val="center"/>
          </w:tcPr>
          <w:p w14:paraId="151F803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大河，工业用水</w:t>
            </w:r>
          </w:p>
        </w:tc>
        <w:tc>
          <w:tcPr>
            <w:tcW w:w="2888" w:type="dxa"/>
            <w:vAlign w:val="center"/>
          </w:tcPr>
          <w:p w14:paraId="55637A7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《地表水环境质量标准》（GB3838-2002）III类标准</w:t>
            </w:r>
          </w:p>
        </w:tc>
      </w:tr>
      <w:tr w14:paraId="57E43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5" w:type="dxa"/>
            <w:gridSpan w:val="3"/>
            <w:vMerge w:val="continue"/>
            <w:tcBorders>
              <w:right w:val="single" w:color="auto" w:sz="4" w:space="0"/>
            </w:tcBorders>
            <w:vAlign w:val="center"/>
          </w:tcPr>
          <w:p w14:paraId="7A6FF65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p>
        </w:tc>
        <w:tc>
          <w:tcPr>
            <w:tcW w:w="2234" w:type="dxa"/>
            <w:vMerge w:val="continue"/>
            <w:vAlign w:val="center"/>
          </w:tcPr>
          <w:p w14:paraId="5BCC87A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p>
        </w:tc>
        <w:tc>
          <w:tcPr>
            <w:tcW w:w="1685" w:type="dxa"/>
            <w:gridSpan w:val="2"/>
            <w:tcBorders>
              <w:right w:val="single" w:color="auto" w:sz="4" w:space="0"/>
            </w:tcBorders>
            <w:vAlign w:val="center"/>
          </w:tcPr>
          <w:p w14:paraId="05B803E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c>
          <w:tcPr>
            <w:tcW w:w="2201" w:type="dxa"/>
            <w:gridSpan w:val="2"/>
            <w:tcBorders>
              <w:left w:val="single" w:color="auto" w:sz="4" w:space="0"/>
              <w:bottom w:val="single" w:color="auto" w:sz="4" w:space="0"/>
            </w:tcBorders>
            <w:vAlign w:val="center"/>
          </w:tcPr>
          <w:p w14:paraId="31FD2E7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近尾洲至大源渡150km</w:t>
            </w:r>
          </w:p>
        </w:tc>
        <w:tc>
          <w:tcPr>
            <w:tcW w:w="1614" w:type="dxa"/>
            <w:tcBorders>
              <w:bottom w:val="single" w:color="auto" w:sz="4" w:space="0"/>
            </w:tcBorders>
            <w:vAlign w:val="center"/>
          </w:tcPr>
          <w:p w14:paraId="2B40946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衡阳国家级水产种质资源保护区实验区</w:t>
            </w:r>
          </w:p>
        </w:tc>
        <w:tc>
          <w:tcPr>
            <w:tcW w:w="2888" w:type="dxa"/>
            <w:vAlign w:val="center"/>
          </w:tcPr>
          <w:p w14:paraId="7AACDA2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4CEA1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5" w:type="dxa"/>
            <w:gridSpan w:val="3"/>
            <w:tcBorders>
              <w:right w:val="single" w:color="auto" w:sz="4" w:space="0"/>
            </w:tcBorders>
            <w:vAlign w:val="center"/>
          </w:tcPr>
          <w:p w14:paraId="4F86D2F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地下水环境</w:t>
            </w:r>
          </w:p>
        </w:tc>
        <w:tc>
          <w:tcPr>
            <w:tcW w:w="7734" w:type="dxa"/>
            <w:gridSpan w:val="6"/>
            <w:vAlign w:val="center"/>
          </w:tcPr>
          <w:p w14:paraId="71CA6C0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项目周边1000米范围（均为园区范围内）内地下水（无饮用水功能）</w:t>
            </w:r>
          </w:p>
        </w:tc>
        <w:tc>
          <w:tcPr>
            <w:tcW w:w="2888" w:type="dxa"/>
            <w:vAlign w:val="center"/>
          </w:tcPr>
          <w:p w14:paraId="44DADC9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《地下水质量标准》（GB/T14848-2017）Ⅲ类标准</w:t>
            </w:r>
          </w:p>
        </w:tc>
      </w:tr>
      <w:tr w14:paraId="78AD5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2795" w:type="dxa"/>
            <w:gridSpan w:val="3"/>
            <w:tcBorders>
              <w:right w:val="single" w:color="auto" w:sz="4" w:space="0"/>
            </w:tcBorders>
            <w:vAlign w:val="center"/>
          </w:tcPr>
          <w:p w14:paraId="0633FD8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生态环境</w:t>
            </w:r>
          </w:p>
        </w:tc>
        <w:tc>
          <w:tcPr>
            <w:tcW w:w="7734" w:type="dxa"/>
            <w:gridSpan w:val="6"/>
            <w:vAlign w:val="center"/>
          </w:tcPr>
          <w:p w14:paraId="1309DDC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项目厂区及周边200m的范围的动植物、植被，以及水土流失</w:t>
            </w:r>
          </w:p>
        </w:tc>
        <w:tc>
          <w:tcPr>
            <w:tcW w:w="2888" w:type="dxa"/>
            <w:vAlign w:val="center"/>
          </w:tcPr>
          <w:p w14:paraId="47CA5CB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保护动植物，防止水土流失</w:t>
            </w:r>
          </w:p>
        </w:tc>
      </w:tr>
      <w:tr w14:paraId="6B8ED6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5" w:type="dxa"/>
            <w:gridSpan w:val="3"/>
            <w:tcBorders>
              <w:right w:val="single" w:color="auto" w:sz="4" w:space="0"/>
            </w:tcBorders>
            <w:vAlign w:val="center"/>
          </w:tcPr>
          <w:p w14:paraId="60625F3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土壤环境</w:t>
            </w:r>
          </w:p>
        </w:tc>
        <w:tc>
          <w:tcPr>
            <w:tcW w:w="7734" w:type="dxa"/>
            <w:gridSpan w:val="6"/>
            <w:vAlign w:val="center"/>
          </w:tcPr>
          <w:p w14:paraId="0483BAE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项目周边200m的范围</w:t>
            </w:r>
            <w:r>
              <w:rPr>
                <w:rFonts w:hint="default" w:ascii="Times New Roman" w:hAnsi="Times New Roman" w:eastAsia="宋体" w:cs="Times New Roman"/>
                <w:color w:val="auto"/>
                <w:sz w:val="21"/>
                <w:szCs w:val="21"/>
                <w:highlight w:val="none"/>
                <w:u w:val="single" w:color="auto"/>
                <w:lang w:eastAsia="zh-CN"/>
              </w:rPr>
              <w:t>的土壤</w:t>
            </w:r>
          </w:p>
        </w:tc>
        <w:tc>
          <w:tcPr>
            <w:tcW w:w="2888" w:type="dxa"/>
            <w:vAlign w:val="center"/>
          </w:tcPr>
          <w:p w14:paraId="3C476D3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《土壤环境质量建设用地土壤污染风险管控标准（试行）》（GB36600-2018）</w:t>
            </w:r>
          </w:p>
        </w:tc>
      </w:tr>
    </w:tbl>
    <w:p w14:paraId="590F734E">
      <w:pPr>
        <w:pageBreakBefore w:val="0"/>
        <w:kinsoku/>
        <w:wordWrap/>
        <w:overflowPunct/>
        <w:topLinePunct w:val="0"/>
        <w:bidi w:val="0"/>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61DDC876">
      <w:pPr>
        <w:pStyle w:val="2"/>
        <w:wordWrap/>
        <w:spacing w:before="0" w:after="0" w:line="360" w:lineRule="auto"/>
        <w:rPr>
          <w:rFonts w:hint="default" w:ascii="Times New Roman" w:hAnsi="Times New Roman" w:eastAsia="宋体" w:cs="Times New Roman"/>
          <w:color w:val="auto"/>
          <w:sz w:val="32"/>
          <w:szCs w:val="32"/>
          <w:highlight w:val="none"/>
          <w:u w:val="none" w:color="auto"/>
        </w:rPr>
      </w:pPr>
      <w:bookmarkStart w:id="21" w:name="_Toc16980"/>
      <w:bookmarkStart w:id="22" w:name="_Toc31720"/>
      <w:r>
        <w:rPr>
          <w:rFonts w:hint="default" w:ascii="Times New Roman" w:hAnsi="Times New Roman" w:eastAsia="宋体" w:cs="Times New Roman"/>
          <w:color w:val="auto"/>
          <w:sz w:val="32"/>
          <w:szCs w:val="32"/>
          <w:highlight w:val="none"/>
          <w:u w:val="none" w:color="auto"/>
          <w:lang w:val="en-US" w:eastAsia="zh-CN"/>
        </w:rPr>
        <w:t>3</w:t>
      </w:r>
      <w:r>
        <w:rPr>
          <w:rFonts w:hint="default" w:ascii="Times New Roman" w:hAnsi="Times New Roman" w:eastAsia="宋体" w:cs="Times New Roman"/>
          <w:color w:val="auto"/>
          <w:sz w:val="32"/>
          <w:szCs w:val="32"/>
          <w:highlight w:val="none"/>
          <w:u w:val="none" w:color="auto"/>
        </w:rPr>
        <w:t>拟建项目概况</w:t>
      </w:r>
      <w:bookmarkEnd w:id="21"/>
    </w:p>
    <w:p w14:paraId="17681201">
      <w:pPr>
        <w:pStyle w:val="3"/>
        <w:wordWrap/>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23" w:name="_Toc32323"/>
      <w:r>
        <w:rPr>
          <w:rFonts w:hint="default" w:ascii="Times New Roman" w:hAnsi="Times New Roman" w:eastAsia="宋体" w:cs="Times New Roman"/>
          <w:color w:val="auto"/>
          <w:sz w:val="28"/>
          <w:szCs w:val="28"/>
          <w:highlight w:val="none"/>
          <w:u w:val="none" w:color="auto"/>
          <w:lang w:val="en-US" w:eastAsia="zh-CN"/>
        </w:rPr>
        <w:t>3.1基本情况</w:t>
      </w:r>
      <w:bookmarkEnd w:id="23"/>
    </w:p>
    <w:p w14:paraId="0B110103">
      <w:pPr>
        <w:wordWrap/>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项目名称：</w:t>
      </w:r>
      <w:r>
        <w:rPr>
          <w:rFonts w:hint="default" w:ascii="Times New Roman" w:hAnsi="Times New Roman" w:eastAsia="宋体" w:cs="Times New Roman"/>
          <w:color w:val="auto"/>
          <w:sz w:val="24"/>
          <w:szCs w:val="24"/>
          <w:highlight w:val="none"/>
          <w:u w:val="none" w:color="auto"/>
          <w:lang w:eastAsia="zh-CN"/>
        </w:rPr>
        <w:t>湖南昂拓科技有限责任公司年产1000万件超硬材料制品建设项目</w:t>
      </w:r>
    </w:p>
    <w:p w14:paraId="2524C8E2">
      <w:pPr>
        <w:wordWrap/>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建设单位：</w:t>
      </w:r>
      <w:r>
        <w:rPr>
          <w:rFonts w:hint="default" w:ascii="Times New Roman" w:hAnsi="Times New Roman" w:eastAsia="宋体" w:cs="Times New Roman"/>
          <w:color w:val="auto"/>
          <w:sz w:val="24"/>
          <w:szCs w:val="24"/>
          <w:highlight w:val="none"/>
          <w:u w:val="none" w:color="auto"/>
          <w:lang w:eastAsia="zh-CN"/>
        </w:rPr>
        <w:t>湖南昂拓科技有限责任公司</w:t>
      </w:r>
    </w:p>
    <w:p w14:paraId="7D339104">
      <w:pPr>
        <w:wordWrap/>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建设地点：</w:t>
      </w:r>
      <w:r>
        <w:rPr>
          <w:rFonts w:hint="default" w:ascii="Times New Roman" w:hAnsi="Times New Roman" w:eastAsia="宋体" w:cs="Times New Roman"/>
          <w:color w:val="auto"/>
          <w:sz w:val="24"/>
          <w:szCs w:val="24"/>
          <w:highlight w:val="none"/>
          <w:u w:val="none" w:color="auto"/>
          <w:lang w:eastAsia="zh-CN"/>
        </w:rPr>
        <w:t>湖南省衡阳市石鼓区</w:t>
      </w:r>
      <w:r>
        <w:rPr>
          <w:rFonts w:hint="default" w:ascii="Times New Roman" w:hAnsi="Times New Roman" w:eastAsia="宋体" w:cs="Times New Roman"/>
          <w:color w:val="auto"/>
          <w:kern w:val="0"/>
          <w:sz w:val="24"/>
          <w:szCs w:val="24"/>
          <w:highlight w:val="none"/>
          <w:u w:val="none" w:color="auto"/>
          <w:lang w:eastAsia="zh-CN"/>
        </w:rPr>
        <w:t>松木经济开发区松枫路</w:t>
      </w:r>
    </w:p>
    <w:p w14:paraId="53277C59">
      <w:pPr>
        <w:wordWrap/>
        <w:spacing w:line="360" w:lineRule="auto"/>
        <w:ind w:left="0" w:leftChars="0"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项目性质：</w:t>
      </w:r>
      <w:r>
        <w:rPr>
          <w:rFonts w:hint="default" w:ascii="Times New Roman" w:hAnsi="Times New Roman" w:eastAsia="宋体" w:cs="Times New Roman"/>
          <w:color w:val="auto"/>
          <w:sz w:val="24"/>
          <w:szCs w:val="24"/>
          <w:highlight w:val="none"/>
          <w:u w:val="none" w:color="auto"/>
          <w:lang w:eastAsia="zh-CN"/>
        </w:rPr>
        <w:t>新建</w:t>
      </w:r>
    </w:p>
    <w:p w14:paraId="64B38FC7">
      <w:pPr>
        <w:wordWrap/>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项目投资：</w:t>
      </w:r>
      <w:r>
        <w:rPr>
          <w:rFonts w:hint="default" w:ascii="Times New Roman" w:hAnsi="Times New Roman" w:eastAsia="宋体" w:cs="Times New Roman"/>
          <w:color w:val="auto"/>
          <w:sz w:val="24"/>
          <w:szCs w:val="24"/>
          <w:highlight w:val="none"/>
          <w:u w:val="none" w:color="auto"/>
          <w:lang w:val="en-US" w:eastAsia="zh-CN"/>
        </w:rPr>
        <w:t>48</w:t>
      </w:r>
      <w:r>
        <w:rPr>
          <w:rFonts w:hint="default" w:ascii="Times New Roman" w:hAnsi="Times New Roman" w:eastAsia="宋体" w:cs="Times New Roman"/>
          <w:color w:val="auto"/>
          <w:sz w:val="24"/>
          <w:szCs w:val="24"/>
          <w:highlight w:val="none"/>
          <w:u w:val="none" w:color="auto"/>
        </w:rPr>
        <w:t>00万元</w:t>
      </w:r>
    </w:p>
    <w:p w14:paraId="6953714A">
      <w:pPr>
        <w:wordWrap/>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行业类别：C</w:t>
      </w:r>
      <w:r>
        <w:rPr>
          <w:rFonts w:hint="default" w:ascii="Times New Roman" w:hAnsi="Times New Roman" w:eastAsia="宋体" w:cs="Times New Roman"/>
          <w:color w:val="auto"/>
          <w:sz w:val="24"/>
          <w:szCs w:val="24"/>
          <w:highlight w:val="none"/>
          <w:u w:val="none" w:color="auto"/>
          <w:lang w:val="en-US" w:eastAsia="zh-CN"/>
        </w:rPr>
        <w:t>3099</w:t>
      </w:r>
      <w:r>
        <w:rPr>
          <w:rFonts w:hint="default" w:ascii="Times New Roman" w:hAnsi="Times New Roman" w:eastAsia="宋体" w:cs="Times New Roman"/>
          <w:color w:val="auto"/>
          <w:sz w:val="24"/>
          <w:szCs w:val="24"/>
          <w:highlight w:val="none"/>
          <w:u w:val="none" w:color="auto"/>
        </w:rPr>
        <w:t>其他非金属矿物制品制造</w:t>
      </w:r>
    </w:p>
    <w:p w14:paraId="6975CA36">
      <w:pPr>
        <w:wordWrap/>
        <w:spacing w:line="360" w:lineRule="auto"/>
        <w:ind w:left="0" w:leftChars="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项目占地：项目总用地面积约</w:t>
      </w:r>
      <w:r>
        <w:rPr>
          <w:rFonts w:hint="eastAsia" w:ascii="Times New Roman" w:hAnsi="Times New Roman" w:eastAsia="宋体" w:cs="Times New Roman"/>
          <w:color w:val="auto"/>
          <w:sz w:val="24"/>
          <w:szCs w:val="24"/>
          <w:highlight w:val="none"/>
          <w:u w:val="none" w:color="auto"/>
          <w:lang w:val="en-US" w:eastAsia="zh-CN"/>
        </w:rPr>
        <w:t>19027.21</w:t>
      </w:r>
      <w:r>
        <w:rPr>
          <w:rFonts w:hint="default" w:ascii="Times New Roman" w:hAnsi="Times New Roman" w:eastAsia="宋体" w:cs="Times New Roman"/>
          <w:color w:val="auto"/>
          <w:sz w:val="24"/>
          <w:szCs w:val="24"/>
          <w:highlight w:val="none"/>
          <w:u w:val="none" w:color="auto"/>
          <w:lang w:val="en-US" w:eastAsia="zh-CN"/>
        </w:rPr>
        <w:t>平方米</w:t>
      </w:r>
      <w:r>
        <w:rPr>
          <w:rFonts w:hint="default" w:ascii="Times New Roman" w:hAnsi="Times New Roman" w:eastAsia="宋体" w:cs="Times New Roman"/>
          <w:color w:val="auto"/>
          <w:sz w:val="24"/>
          <w:szCs w:val="24"/>
          <w:highlight w:val="none"/>
          <w:u w:val="none" w:color="auto"/>
        </w:rPr>
        <w:t>，用地性质为三类工业用地。</w:t>
      </w:r>
    </w:p>
    <w:p w14:paraId="4915E0D0">
      <w:pPr>
        <w:pStyle w:val="3"/>
        <w:wordWrap/>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24" w:name="_Toc28881"/>
      <w:r>
        <w:rPr>
          <w:rFonts w:hint="default" w:ascii="Times New Roman" w:hAnsi="Times New Roman" w:eastAsia="宋体" w:cs="Times New Roman"/>
          <w:color w:val="auto"/>
          <w:sz w:val="28"/>
          <w:szCs w:val="28"/>
          <w:highlight w:val="none"/>
          <w:u w:val="none" w:color="auto"/>
          <w:lang w:val="en-US" w:eastAsia="zh-CN"/>
        </w:rPr>
        <w:t>3.2项目组成</w:t>
      </w:r>
      <w:bookmarkEnd w:id="24"/>
    </w:p>
    <w:p w14:paraId="1DEA5D0B">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本项目用地面积约</w:t>
      </w:r>
      <w:r>
        <w:rPr>
          <w:rFonts w:hint="eastAsia" w:ascii="Times New Roman" w:hAnsi="Times New Roman" w:eastAsia="宋体" w:cs="Times New Roman"/>
          <w:color w:val="auto"/>
          <w:sz w:val="24"/>
          <w:szCs w:val="24"/>
          <w:highlight w:val="none"/>
          <w:u w:val="none" w:color="auto"/>
          <w:lang w:val="en-US" w:eastAsia="zh-CN"/>
        </w:rPr>
        <w:t>19027.21</w:t>
      </w:r>
      <w:r>
        <w:rPr>
          <w:rFonts w:hint="default" w:ascii="Times New Roman" w:hAnsi="Times New Roman" w:eastAsia="宋体" w:cs="Times New Roman"/>
          <w:color w:val="auto"/>
          <w:sz w:val="24"/>
          <w:szCs w:val="24"/>
          <w:highlight w:val="none"/>
          <w:u w:val="none" w:color="auto"/>
          <w:lang w:val="en-US" w:eastAsia="zh-CN"/>
        </w:rPr>
        <w:t>平方米，</w:t>
      </w:r>
      <w:r>
        <w:rPr>
          <w:rFonts w:hint="default" w:ascii="Times New Roman" w:hAnsi="Times New Roman" w:eastAsia="宋体" w:cs="Times New Roman"/>
          <w:color w:val="auto"/>
          <w:sz w:val="24"/>
          <w:szCs w:val="24"/>
          <w:highlight w:val="none"/>
          <w:u w:val="none" w:color="auto"/>
        </w:rPr>
        <w:t>主要建构筑物包括生产厂房（其中本项目生产线布置于</w:t>
      </w: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#厂房、</w:t>
      </w:r>
      <w:r>
        <w:rPr>
          <w:rFonts w:hint="eastAsia"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rPr>
        <w:t>#厂房）</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rPr>
        <w:t>综合楼、</w:t>
      </w:r>
      <w:r>
        <w:rPr>
          <w:rFonts w:hint="eastAsia" w:ascii="Times New Roman" w:hAnsi="Times New Roman" w:eastAsia="宋体" w:cs="Times New Roman"/>
          <w:color w:val="auto"/>
          <w:sz w:val="24"/>
          <w:szCs w:val="24"/>
          <w:highlight w:val="none"/>
          <w:u w:val="none" w:color="auto"/>
          <w:lang w:val="en-US" w:eastAsia="zh-CN"/>
        </w:rPr>
        <w:t>4#厂房（</w:t>
      </w:r>
      <w:r>
        <w:rPr>
          <w:rFonts w:hint="default" w:ascii="Times New Roman" w:hAnsi="Times New Roman" w:eastAsia="宋体" w:cs="Times New Roman"/>
          <w:color w:val="auto"/>
          <w:sz w:val="24"/>
          <w:szCs w:val="24"/>
          <w:highlight w:val="none"/>
          <w:u w:val="none" w:color="auto"/>
          <w:lang w:eastAsia="zh-CN"/>
        </w:rPr>
        <w:t>废水处理站</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等。项目共设</w:t>
      </w:r>
      <w:r>
        <w:rPr>
          <w:rFonts w:hint="default" w:ascii="Times New Roman" w:hAnsi="Times New Roman" w:eastAsia="宋体" w:cs="Times New Roman"/>
          <w:color w:val="auto"/>
          <w:sz w:val="24"/>
          <w:szCs w:val="24"/>
          <w:highlight w:val="none"/>
          <w:u w:val="none" w:color="auto"/>
          <w:lang w:val="en-US" w:eastAsia="zh-CN"/>
        </w:rPr>
        <w:t>5</w:t>
      </w:r>
      <w:r>
        <w:rPr>
          <w:rFonts w:hint="default" w:ascii="Times New Roman" w:hAnsi="Times New Roman" w:eastAsia="宋体" w:cs="Times New Roman"/>
          <w:color w:val="auto"/>
          <w:sz w:val="24"/>
          <w:szCs w:val="24"/>
          <w:highlight w:val="none"/>
          <w:u w:val="none" w:color="auto"/>
          <w:lang w:eastAsia="zh-CN"/>
        </w:rPr>
        <w:t>个生产区域</w:t>
      </w:r>
      <w:r>
        <w:rPr>
          <w:rFonts w:hint="default" w:ascii="Times New Roman" w:hAnsi="Times New Roman" w:eastAsia="宋体" w:cs="Times New Roman"/>
          <w:color w:val="auto"/>
          <w:sz w:val="24"/>
          <w:szCs w:val="24"/>
          <w:highlight w:val="none"/>
          <w:u w:val="none" w:color="auto"/>
        </w:rPr>
        <w:t>，包括</w:t>
      </w: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eastAsia="zh-CN"/>
        </w:rPr>
        <w:t>个金刚石划片刀生产区域</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1个超硬材料砂轮</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lang w:val="en-US" w:eastAsia="zh-CN"/>
        </w:rPr>
        <w:t>、1个超硬材料磨头</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lang w:val="en-US" w:eastAsia="zh-CN"/>
        </w:rPr>
        <w:t>、1个超硬材料套瓦刀及套孔钻</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lang w:val="en-US" w:eastAsia="zh-CN"/>
        </w:rPr>
        <w:t>、1个烧结超硬材料制品</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rPr>
        <w:t>。</w:t>
      </w:r>
    </w:p>
    <w:p w14:paraId="3405D042">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本项目生产规模为</w:t>
      </w:r>
      <w:r>
        <w:rPr>
          <w:rFonts w:hint="default" w:ascii="Times New Roman" w:hAnsi="Times New Roman" w:eastAsia="宋体" w:cs="Times New Roman"/>
          <w:color w:val="auto"/>
          <w:sz w:val="24"/>
          <w:szCs w:val="24"/>
          <w:highlight w:val="none"/>
          <w:u w:val="none" w:color="auto"/>
          <w:lang w:eastAsia="zh-CN"/>
        </w:rPr>
        <w:t>年产金刚石划片刀</w:t>
      </w:r>
      <w:r>
        <w:rPr>
          <w:rFonts w:hint="default" w:ascii="Times New Roman" w:hAnsi="Times New Roman" w:eastAsia="宋体" w:cs="Times New Roman"/>
          <w:color w:val="auto"/>
          <w:sz w:val="24"/>
          <w:szCs w:val="24"/>
          <w:highlight w:val="none"/>
          <w:u w:val="none" w:color="auto"/>
          <w:lang w:val="en-US" w:eastAsia="zh-CN"/>
        </w:rPr>
        <w:t>100万片/年（电镀面积30000m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lang w:val="en-US" w:eastAsia="zh-CN"/>
        </w:rPr>
        <w:t>）、超硬材料砂轮50万片/年（电镀面积60000m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lang w:val="en-US" w:eastAsia="zh-CN"/>
        </w:rPr>
        <w:t>）、超硬材料磨头300万片/年（电镀面积10000m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lang w:val="en-US" w:eastAsia="zh-CN"/>
        </w:rPr>
        <w:t>）、超硬材料套瓦刀及套孔钻470万片/年（电镀面积5640m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lang w:val="en-US" w:eastAsia="zh-CN"/>
        </w:rPr>
        <w:t>）、烧结超硬材料制品80万件/年，合计超硬材料1000万件/年，电镀面积195640m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rPr>
        <w:t>。</w:t>
      </w:r>
    </w:p>
    <w:p w14:paraId="69E32133">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本项目主要工程详见下表：</w:t>
      </w:r>
    </w:p>
    <w:p w14:paraId="4579C296">
      <w:pPr>
        <w:jc w:val="center"/>
        <w:rPr>
          <w:rFonts w:hint="default" w:ascii="Times New Roman" w:hAnsi="Times New Roman" w:eastAsia="宋体" w:cs="Times New Roman"/>
          <w:b/>
          <w:color w:val="auto"/>
          <w:sz w:val="21"/>
          <w:szCs w:val="18"/>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3.2</w:t>
      </w:r>
      <w:r>
        <w:rPr>
          <w:rFonts w:hint="default" w:ascii="Times New Roman" w:hAnsi="Times New Roman" w:eastAsia="宋体" w:cs="Times New Roman"/>
          <w:b/>
          <w:color w:val="auto"/>
          <w:sz w:val="21"/>
          <w:szCs w:val="18"/>
          <w:highlight w:val="none"/>
          <w:u w:val="single" w:color="auto"/>
        </w:rPr>
        <w:t>-1</w:t>
      </w:r>
      <w:r>
        <w:rPr>
          <w:rFonts w:hint="eastAsia" w:ascii="Times New Roman" w:hAnsi="Times New Roman" w:eastAsia="宋体" w:cs="Times New Roman"/>
          <w:b/>
          <w:color w:val="auto"/>
          <w:sz w:val="21"/>
          <w:szCs w:val="18"/>
          <w:highlight w:val="none"/>
          <w:u w:val="single" w:color="auto"/>
          <w:lang w:val="en-US" w:eastAsia="zh-CN"/>
        </w:rPr>
        <w:t xml:space="preserve"> </w:t>
      </w:r>
      <w:r>
        <w:rPr>
          <w:rFonts w:hint="default" w:ascii="Times New Roman" w:hAnsi="Times New Roman" w:eastAsia="宋体" w:cs="Times New Roman"/>
          <w:b/>
          <w:color w:val="auto"/>
          <w:sz w:val="21"/>
          <w:szCs w:val="18"/>
          <w:highlight w:val="none"/>
          <w:u w:val="single" w:color="auto"/>
        </w:rPr>
        <w:t>拟建项目组成一览表</w:t>
      </w:r>
    </w:p>
    <w:tbl>
      <w:tblPr>
        <w:tblStyle w:val="22"/>
        <w:tblW w:w="84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51" w:type="dxa"/>
          <w:bottom w:w="0" w:type="dxa"/>
          <w:right w:w="51" w:type="dxa"/>
        </w:tblCellMar>
      </w:tblPr>
      <w:tblGrid>
        <w:gridCol w:w="671"/>
        <w:gridCol w:w="1217"/>
        <w:gridCol w:w="6526"/>
      </w:tblGrid>
      <w:tr w14:paraId="78334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shd w:val="clear" w:color="auto" w:fill="FFFFFF"/>
            <w:vAlign w:val="center"/>
          </w:tcPr>
          <w:p w14:paraId="27D765C6">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类别</w:t>
            </w:r>
          </w:p>
        </w:tc>
        <w:tc>
          <w:tcPr>
            <w:tcW w:w="1217" w:type="dxa"/>
            <w:shd w:val="clear" w:color="auto" w:fill="FFFFFF"/>
            <w:vAlign w:val="center"/>
          </w:tcPr>
          <w:p w14:paraId="0F5E279C">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名称</w:t>
            </w:r>
          </w:p>
        </w:tc>
        <w:tc>
          <w:tcPr>
            <w:tcW w:w="6526" w:type="dxa"/>
            <w:shd w:val="clear" w:color="auto" w:fill="FFFFFF"/>
            <w:vAlign w:val="center"/>
          </w:tcPr>
          <w:p w14:paraId="74EA4B2B">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工程内容</w:t>
            </w:r>
          </w:p>
        </w:tc>
      </w:tr>
      <w:tr w14:paraId="1765E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restart"/>
            <w:shd w:val="clear" w:color="auto" w:fill="FFFFFF"/>
            <w:vAlign w:val="center"/>
          </w:tcPr>
          <w:p w14:paraId="14B4AB27">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主体工程</w:t>
            </w:r>
          </w:p>
        </w:tc>
        <w:tc>
          <w:tcPr>
            <w:tcW w:w="1217" w:type="dxa"/>
            <w:shd w:val="clear" w:color="auto" w:fill="FFFFFF"/>
            <w:vAlign w:val="center"/>
          </w:tcPr>
          <w:p w14:paraId="2D7A48E2">
            <w:pPr>
              <w:pStyle w:val="56"/>
              <w:rPr>
                <w:rFonts w:hint="default" w:ascii="Times New Roman" w:hAnsi="Times New Roman" w:cs="Times New Roman"/>
                <w:color w:val="auto"/>
                <w:sz w:val="21"/>
                <w:szCs w:val="21"/>
                <w:highlight w:val="none"/>
                <w:u w:val="single" w:color="auto"/>
              </w:rPr>
            </w:pPr>
            <w:r>
              <w:rPr>
                <w:rFonts w:hint="eastAsia" w:ascii="Times New Roman" w:hAnsi="Times New Roman" w:cs="Times New Roman"/>
                <w:color w:val="auto"/>
                <w:sz w:val="21"/>
                <w:szCs w:val="21"/>
                <w:highlight w:val="none"/>
                <w:u w:val="single" w:color="auto"/>
                <w:lang w:val="en-US" w:eastAsia="zh-CN"/>
              </w:rPr>
              <w:t>2</w:t>
            </w:r>
            <w:r>
              <w:rPr>
                <w:rFonts w:hint="default" w:ascii="Times New Roman" w:hAnsi="Times New Roman" w:cs="Times New Roman"/>
                <w:color w:val="auto"/>
                <w:sz w:val="21"/>
                <w:szCs w:val="21"/>
                <w:highlight w:val="none"/>
                <w:u w:val="single" w:color="auto"/>
              </w:rPr>
              <w:t>#厂房</w:t>
            </w:r>
          </w:p>
        </w:tc>
        <w:tc>
          <w:tcPr>
            <w:tcW w:w="6526" w:type="dxa"/>
            <w:shd w:val="clear" w:color="auto" w:fill="FFFFFF"/>
            <w:vAlign w:val="center"/>
          </w:tcPr>
          <w:p w14:paraId="7FB103E0">
            <w:pPr>
              <w:widowControl/>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占地面积为</w:t>
            </w:r>
            <w:r>
              <w:rPr>
                <w:rFonts w:hint="eastAsia" w:ascii="Times New Roman" w:hAnsi="Times New Roman" w:eastAsia="宋体" w:cs="Times New Roman"/>
                <w:color w:val="auto"/>
                <w:sz w:val="21"/>
                <w:szCs w:val="21"/>
                <w:highlight w:val="none"/>
                <w:u w:val="single" w:color="auto"/>
                <w:lang w:val="en-US" w:eastAsia="zh-CN"/>
              </w:rPr>
              <w:t>3949.4</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2</w:t>
            </w:r>
            <w:r>
              <w:rPr>
                <w:rFonts w:hint="default" w:ascii="Times New Roman" w:hAnsi="Times New Roman" w:eastAsia="宋体" w:cs="Times New Roman"/>
                <w:color w:val="auto"/>
                <w:sz w:val="21"/>
                <w:szCs w:val="21"/>
                <w:highlight w:val="none"/>
                <w:u w:val="single" w:color="auto"/>
              </w:rPr>
              <w:t>，建筑面积为</w:t>
            </w:r>
            <w:r>
              <w:rPr>
                <w:rFonts w:hint="eastAsia" w:ascii="Times New Roman" w:hAnsi="Times New Roman" w:eastAsia="宋体" w:cs="Times New Roman"/>
                <w:color w:val="auto"/>
                <w:sz w:val="21"/>
                <w:szCs w:val="21"/>
                <w:highlight w:val="none"/>
                <w:u w:val="single" w:color="auto"/>
                <w:lang w:val="en-US" w:eastAsia="zh-CN"/>
              </w:rPr>
              <w:t>8024.12</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2</w:t>
            </w: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2</w:t>
            </w:r>
            <w:r>
              <w:rPr>
                <w:rFonts w:hint="default" w:ascii="Times New Roman" w:hAnsi="Times New Roman" w:eastAsia="宋体" w:cs="Times New Roman"/>
                <w:color w:val="auto"/>
                <w:sz w:val="21"/>
                <w:szCs w:val="21"/>
                <w:highlight w:val="none"/>
                <w:u w:val="single" w:color="auto"/>
              </w:rPr>
              <w:t>层框架结构，</w:t>
            </w:r>
            <w:r>
              <w:rPr>
                <w:rFonts w:hint="default" w:ascii="Times New Roman" w:hAnsi="Times New Roman" w:eastAsia="宋体" w:cs="Times New Roman"/>
                <w:color w:val="auto"/>
                <w:sz w:val="21"/>
                <w:szCs w:val="21"/>
                <w:highlight w:val="none"/>
                <w:u w:val="single" w:color="auto"/>
                <w:lang w:eastAsia="zh-CN"/>
              </w:rPr>
              <w:t>楼高约</w:t>
            </w:r>
            <w:r>
              <w:rPr>
                <w:rFonts w:hint="default" w:ascii="Times New Roman" w:hAnsi="Times New Roman" w:eastAsia="宋体" w:cs="Times New Roman"/>
                <w:color w:val="auto"/>
                <w:sz w:val="21"/>
                <w:szCs w:val="21"/>
                <w:highlight w:val="none"/>
                <w:u w:val="single" w:color="auto"/>
                <w:lang w:val="en-US" w:eastAsia="zh-CN"/>
              </w:rPr>
              <w:t>1</w:t>
            </w:r>
            <w:r>
              <w:rPr>
                <w:rFonts w:hint="eastAsia" w:ascii="Times New Roman" w:hAnsi="Times New Roman" w:eastAsia="宋体" w:cs="Times New Roman"/>
                <w:color w:val="auto"/>
                <w:sz w:val="21"/>
                <w:szCs w:val="21"/>
                <w:highlight w:val="none"/>
                <w:u w:val="single" w:color="auto"/>
                <w:lang w:val="en-US" w:eastAsia="zh-CN"/>
              </w:rPr>
              <w:t>2</w:t>
            </w:r>
            <w:r>
              <w:rPr>
                <w:rFonts w:hint="default" w:ascii="Times New Roman" w:hAnsi="Times New Roman" w:eastAsia="宋体" w:cs="Times New Roman"/>
                <w:color w:val="auto"/>
                <w:sz w:val="21"/>
                <w:szCs w:val="21"/>
                <w:highlight w:val="none"/>
                <w:u w:val="single" w:color="auto"/>
                <w:lang w:val="en-US" w:eastAsia="zh-CN"/>
              </w:rPr>
              <w:t>m；</w:t>
            </w:r>
            <w:r>
              <w:rPr>
                <w:rFonts w:hint="default" w:ascii="Times New Roman" w:hAnsi="Times New Roman" w:eastAsia="宋体" w:cs="Times New Roman"/>
                <w:color w:val="auto"/>
                <w:sz w:val="21"/>
                <w:szCs w:val="21"/>
                <w:highlight w:val="none"/>
                <w:u w:val="single" w:color="auto"/>
              </w:rPr>
              <w:t>按照重点防渗区进行防渗</w:t>
            </w:r>
            <w:r>
              <w:rPr>
                <w:rFonts w:hint="default" w:ascii="Times New Roman" w:hAnsi="Times New Roman" w:eastAsia="宋体" w:cs="Times New Roman"/>
                <w:color w:val="auto"/>
                <w:sz w:val="21"/>
                <w:szCs w:val="21"/>
                <w:highlight w:val="none"/>
                <w:u w:val="single" w:color="auto"/>
                <w:lang w:eastAsia="zh-CN"/>
              </w:rPr>
              <w:t>，</w:t>
            </w:r>
            <w:r>
              <w:rPr>
                <w:rFonts w:hint="default" w:ascii="Times New Roman" w:hAnsi="Times New Roman" w:eastAsia="宋体" w:cs="Times New Roman"/>
                <w:color w:val="auto"/>
                <w:sz w:val="21"/>
                <w:szCs w:val="21"/>
                <w:highlight w:val="none"/>
                <w:u w:val="single" w:color="auto"/>
                <w:lang w:val="en-US" w:eastAsia="zh-CN"/>
              </w:rPr>
              <w:t>设置超硬材料砂轮区域、超硬材料套瓦刀及套孔钻区域，1F包括机加工区、原料库房、下料区和一般固废暂存间，2F设</w:t>
            </w:r>
            <w:r>
              <w:rPr>
                <w:rFonts w:hint="default" w:ascii="Times New Roman" w:hAnsi="Times New Roman" w:eastAsia="宋体" w:cs="Times New Roman"/>
                <w:color w:val="auto"/>
                <w:kern w:val="2"/>
                <w:sz w:val="21"/>
                <w:szCs w:val="21"/>
                <w:highlight w:val="none"/>
                <w:u w:val="single" w:color="auto"/>
                <w:lang w:val="en-US" w:eastAsia="zh-CN" w:bidi="ar-SA"/>
              </w:rPr>
              <w:t>置镀线、镀液配置区、退镀区、化学品仓库、镀液分析室、车间办公室、性能检测室、超声波去油</w:t>
            </w:r>
          </w:p>
        </w:tc>
      </w:tr>
      <w:tr w14:paraId="6F50A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2695EED1">
            <w:pPr>
              <w:widowControl/>
              <w:spacing w:line="240" w:lineRule="auto"/>
              <w:jc w:val="center"/>
              <w:rPr>
                <w:rFonts w:hint="default" w:ascii="Times New Roman" w:hAnsi="Times New Roman" w:cs="Times New Roman"/>
                <w:color w:val="auto"/>
                <w:kern w:val="0"/>
                <w:sz w:val="21"/>
                <w:szCs w:val="21"/>
                <w:highlight w:val="none"/>
                <w:u w:val="single" w:color="auto"/>
              </w:rPr>
            </w:pPr>
          </w:p>
        </w:tc>
        <w:tc>
          <w:tcPr>
            <w:tcW w:w="1217" w:type="dxa"/>
            <w:shd w:val="clear" w:color="auto" w:fill="FFFFFF"/>
            <w:vAlign w:val="center"/>
          </w:tcPr>
          <w:p w14:paraId="046A7CE6">
            <w:pPr>
              <w:pStyle w:val="56"/>
              <w:rPr>
                <w:rFonts w:hint="default" w:ascii="Times New Roman" w:hAnsi="Times New Roman" w:cs="Times New Roman"/>
                <w:color w:val="auto"/>
                <w:sz w:val="21"/>
                <w:szCs w:val="21"/>
                <w:highlight w:val="none"/>
                <w:u w:val="single" w:color="auto"/>
              </w:rPr>
            </w:pPr>
            <w:r>
              <w:rPr>
                <w:rFonts w:hint="eastAsia" w:ascii="Times New Roman" w:hAnsi="Times New Roman" w:cs="Times New Roman"/>
                <w:color w:val="auto"/>
                <w:sz w:val="21"/>
                <w:szCs w:val="21"/>
                <w:highlight w:val="none"/>
                <w:u w:val="single" w:color="auto"/>
                <w:lang w:val="en-US" w:eastAsia="zh-CN"/>
              </w:rPr>
              <w:t>3</w:t>
            </w:r>
            <w:r>
              <w:rPr>
                <w:rFonts w:hint="default" w:ascii="Times New Roman" w:hAnsi="Times New Roman" w:cs="Times New Roman"/>
                <w:color w:val="auto"/>
                <w:sz w:val="21"/>
                <w:szCs w:val="21"/>
                <w:highlight w:val="none"/>
                <w:u w:val="single" w:color="auto"/>
              </w:rPr>
              <w:t>#厂房</w:t>
            </w:r>
          </w:p>
        </w:tc>
        <w:tc>
          <w:tcPr>
            <w:tcW w:w="6526" w:type="dxa"/>
            <w:shd w:val="clear" w:color="auto" w:fill="FFFFFF"/>
            <w:vAlign w:val="center"/>
          </w:tcPr>
          <w:p w14:paraId="150812FC">
            <w:pPr>
              <w:widowControl/>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占地面积为</w:t>
            </w:r>
            <w:r>
              <w:rPr>
                <w:rFonts w:hint="eastAsia" w:ascii="Times New Roman" w:hAnsi="Times New Roman" w:eastAsia="宋体" w:cs="Times New Roman"/>
                <w:color w:val="auto"/>
                <w:sz w:val="21"/>
                <w:szCs w:val="21"/>
                <w:highlight w:val="none"/>
                <w:u w:val="single" w:color="auto"/>
                <w:lang w:val="en-US" w:eastAsia="zh-CN"/>
              </w:rPr>
              <w:t>3585.4</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2</w:t>
            </w:r>
            <w:r>
              <w:rPr>
                <w:rFonts w:hint="default" w:ascii="Times New Roman" w:hAnsi="Times New Roman" w:eastAsia="宋体" w:cs="Times New Roman"/>
                <w:color w:val="auto"/>
                <w:sz w:val="21"/>
                <w:szCs w:val="21"/>
                <w:highlight w:val="none"/>
                <w:u w:val="single" w:color="auto"/>
              </w:rPr>
              <w:t>，建筑面积为</w:t>
            </w:r>
            <w:r>
              <w:rPr>
                <w:rFonts w:hint="eastAsia" w:ascii="Times New Roman" w:hAnsi="Times New Roman" w:eastAsia="宋体" w:cs="Times New Roman"/>
                <w:color w:val="auto"/>
                <w:sz w:val="21"/>
                <w:szCs w:val="21"/>
                <w:highlight w:val="none"/>
                <w:u w:val="single" w:color="auto"/>
                <w:lang w:val="en-US" w:eastAsia="zh-CN"/>
              </w:rPr>
              <w:t>7296.12</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2</w:t>
            </w: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2</w:t>
            </w:r>
            <w:r>
              <w:rPr>
                <w:rFonts w:hint="default" w:ascii="Times New Roman" w:hAnsi="Times New Roman" w:eastAsia="宋体" w:cs="Times New Roman"/>
                <w:color w:val="auto"/>
                <w:sz w:val="21"/>
                <w:szCs w:val="21"/>
                <w:highlight w:val="none"/>
                <w:u w:val="single" w:color="auto"/>
              </w:rPr>
              <w:t>层框架结构，</w:t>
            </w:r>
            <w:r>
              <w:rPr>
                <w:rFonts w:hint="default" w:ascii="Times New Roman" w:hAnsi="Times New Roman" w:eastAsia="宋体" w:cs="Times New Roman"/>
                <w:color w:val="auto"/>
                <w:sz w:val="21"/>
                <w:szCs w:val="21"/>
                <w:highlight w:val="none"/>
                <w:u w:val="single" w:color="auto"/>
                <w:lang w:eastAsia="zh-CN"/>
              </w:rPr>
              <w:t>楼高约</w:t>
            </w:r>
            <w:r>
              <w:rPr>
                <w:rFonts w:hint="default" w:ascii="Times New Roman" w:hAnsi="Times New Roman" w:eastAsia="宋体" w:cs="Times New Roman"/>
                <w:color w:val="auto"/>
                <w:sz w:val="21"/>
                <w:szCs w:val="21"/>
                <w:highlight w:val="none"/>
                <w:u w:val="single" w:color="auto"/>
                <w:lang w:val="en-US" w:eastAsia="zh-CN"/>
              </w:rPr>
              <w:t>12m；</w:t>
            </w:r>
          </w:p>
          <w:p w14:paraId="45A36ECD">
            <w:pPr>
              <w:pStyle w:val="56"/>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按照重点防渗区进行防渗</w:t>
            </w:r>
            <w:r>
              <w:rPr>
                <w:rFonts w:hint="default" w:ascii="Times New Roman" w:hAnsi="Times New Roman" w:eastAsia="宋体" w:cs="Times New Roman"/>
                <w:color w:val="auto"/>
                <w:sz w:val="21"/>
                <w:szCs w:val="21"/>
                <w:highlight w:val="none"/>
                <w:u w:val="single" w:color="auto"/>
                <w:lang w:eastAsia="zh-CN"/>
              </w:rPr>
              <w:t>，</w:t>
            </w:r>
            <w:r>
              <w:rPr>
                <w:rFonts w:hint="default" w:ascii="Times New Roman" w:hAnsi="Times New Roman" w:eastAsia="宋体" w:cs="Times New Roman"/>
                <w:color w:val="auto"/>
                <w:sz w:val="21"/>
                <w:szCs w:val="21"/>
                <w:highlight w:val="none"/>
                <w:u w:val="single" w:color="auto"/>
                <w:lang w:val="en-US" w:eastAsia="zh-CN"/>
              </w:rPr>
              <w:t>设置金刚石划片刀</w:t>
            </w:r>
            <w:r>
              <w:rPr>
                <w:rFonts w:hint="default" w:ascii="Times New Roman" w:hAnsi="Times New Roman" w:cs="Times New Roman"/>
                <w:color w:val="auto"/>
                <w:sz w:val="21"/>
                <w:szCs w:val="21"/>
                <w:highlight w:val="none"/>
                <w:u w:val="single" w:color="auto"/>
                <w:lang w:val="en-US" w:eastAsia="zh-CN"/>
              </w:rPr>
              <w:t>生产区域</w:t>
            </w:r>
            <w:r>
              <w:rPr>
                <w:rFonts w:hint="default" w:ascii="Times New Roman" w:hAnsi="Times New Roman" w:eastAsia="宋体" w:cs="Times New Roman"/>
                <w:color w:val="auto"/>
                <w:sz w:val="21"/>
                <w:szCs w:val="21"/>
                <w:highlight w:val="none"/>
                <w:u w:val="single" w:color="auto"/>
                <w:lang w:val="en-US" w:eastAsia="zh-CN"/>
              </w:rPr>
              <w:t>、超硬材料磨头</w:t>
            </w:r>
            <w:r>
              <w:rPr>
                <w:rFonts w:hint="default" w:ascii="Times New Roman" w:hAnsi="Times New Roman" w:cs="Times New Roman"/>
                <w:color w:val="auto"/>
                <w:sz w:val="21"/>
                <w:szCs w:val="21"/>
                <w:highlight w:val="none"/>
                <w:u w:val="single" w:color="auto"/>
                <w:lang w:val="en-US" w:eastAsia="zh-CN"/>
              </w:rPr>
              <w:t>生产区域</w:t>
            </w:r>
            <w:r>
              <w:rPr>
                <w:rFonts w:hint="default" w:ascii="Times New Roman" w:hAnsi="Times New Roman" w:eastAsia="宋体" w:cs="Times New Roman"/>
                <w:color w:val="auto"/>
                <w:sz w:val="21"/>
                <w:szCs w:val="21"/>
                <w:highlight w:val="none"/>
                <w:u w:val="single" w:color="auto"/>
                <w:lang w:val="en-US" w:eastAsia="zh-CN"/>
              </w:rPr>
              <w:t>、烧结超硬材料制品</w:t>
            </w:r>
            <w:r>
              <w:rPr>
                <w:rFonts w:hint="default" w:ascii="Times New Roman" w:hAnsi="Times New Roman" w:cs="Times New Roman"/>
                <w:color w:val="auto"/>
                <w:sz w:val="21"/>
                <w:szCs w:val="21"/>
                <w:highlight w:val="none"/>
                <w:u w:val="single" w:color="auto"/>
                <w:lang w:val="en-US" w:eastAsia="zh-CN"/>
              </w:rPr>
              <w:t>区域</w:t>
            </w:r>
            <w:r>
              <w:rPr>
                <w:rFonts w:hint="default" w:ascii="Times New Roman" w:hAnsi="Times New Roman" w:eastAsia="宋体" w:cs="Times New Roman"/>
                <w:color w:val="auto"/>
                <w:sz w:val="21"/>
                <w:szCs w:val="21"/>
                <w:highlight w:val="none"/>
                <w:u w:val="single" w:color="auto"/>
                <w:lang w:val="en-US" w:eastAsia="zh-CN"/>
              </w:rPr>
              <w:t>，1F包括机加工区、原料库房、一般固废暂存间、烧结区，2F设</w:t>
            </w:r>
            <w:r>
              <w:rPr>
                <w:rFonts w:hint="default" w:ascii="Times New Roman" w:hAnsi="Times New Roman" w:eastAsia="宋体" w:cs="Times New Roman"/>
                <w:color w:val="auto"/>
                <w:kern w:val="2"/>
                <w:sz w:val="21"/>
                <w:szCs w:val="21"/>
                <w:highlight w:val="none"/>
                <w:u w:val="single" w:color="auto"/>
                <w:lang w:val="en-US" w:eastAsia="zh-CN" w:bidi="ar-SA"/>
              </w:rPr>
              <w:t>置镀线、镀液配置区、退镀区、化学品仓库、车间办公室、超声波去油</w:t>
            </w:r>
          </w:p>
        </w:tc>
      </w:tr>
      <w:tr w14:paraId="73926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restart"/>
            <w:shd w:val="clear" w:color="auto" w:fill="FFFFFF"/>
            <w:vAlign w:val="center"/>
          </w:tcPr>
          <w:p w14:paraId="66499D8A">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辅助</w:t>
            </w:r>
          </w:p>
          <w:p w14:paraId="25704503">
            <w:pPr>
              <w:pStyle w:val="56"/>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rPr>
              <w:t>工程</w:t>
            </w:r>
          </w:p>
        </w:tc>
        <w:tc>
          <w:tcPr>
            <w:tcW w:w="1217" w:type="dxa"/>
            <w:shd w:val="clear" w:color="auto" w:fill="FFFFFF"/>
            <w:vAlign w:val="center"/>
          </w:tcPr>
          <w:p w14:paraId="2408A4F1">
            <w:pPr>
              <w:pStyle w:val="56"/>
              <w:rPr>
                <w:rFonts w:hint="default" w:ascii="Times New Roman" w:hAnsi="Times New Roman" w:cs="Times New Roman"/>
                <w:color w:val="auto"/>
                <w:sz w:val="21"/>
                <w:szCs w:val="21"/>
                <w:highlight w:val="none"/>
                <w:u w:val="single" w:color="auto"/>
              </w:rPr>
            </w:pPr>
            <w:r>
              <w:rPr>
                <w:rFonts w:hint="eastAsia" w:ascii="Times New Roman" w:hAnsi="Times New Roman" w:cs="Times New Roman"/>
                <w:color w:val="auto"/>
                <w:sz w:val="21"/>
                <w:szCs w:val="21"/>
                <w:highlight w:val="none"/>
                <w:u w:val="single" w:color="auto"/>
                <w:lang w:val="en-US" w:eastAsia="zh-CN"/>
              </w:rPr>
              <w:t>1#</w:t>
            </w:r>
            <w:r>
              <w:rPr>
                <w:rFonts w:hint="default" w:ascii="Times New Roman" w:hAnsi="Times New Roman" w:cs="Times New Roman"/>
                <w:color w:val="auto"/>
                <w:sz w:val="21"/>
                <w:szCs w:val="21"/>
                <w:highlight w:val="none"/>
                <w:u w:val="single" w:color="auto"/>
              </w:rPr>
              <w:t>综合楼</w:t>
            </w:r>
          </w:p>
        </w:tc>
        <w:tc>
          <w:tcPr>
            <w:tcW w:w="6526" w:type="dxa"/>
            <w:shd w:val="clear" w:color="auto" w:fill="FFFFFF"/>
            <w:vAlign w:val="center"/>
          </w:tcPr>
          <w:p w14:paraId="35285A13">
            <w:pPr>
              <w:pStyle w:val="56"/>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rPr>
              <w:t>占地面积为</w:t>
            </w:r>
            <w:r>
              <w:rPr>
                <w:rFonts w:hint="eastAsia" w:ascii="Times New Roman" w:hAnsi="Times New Roman" w:cs="Times New Roman"/>
                <w:color w:val="auto"/>
                <w:sz w:val="21"/>
                <w:szCs w:val="21"/>
                <w:highlight w:val="none"/>
                <w:u w:val="single" w:color="auto"/>
                <w:lang w:val="en-US" w:eastAsia="zh-CN"/>
              </w:rPr>
              <w:t>939.22</w:t>
            </w:r>
            <w:r>
              <w:rPr>
                <w:rFonts w:hint="default" w:ascii="Times New Roman" w:hAnsi="Times New Roman" w:cs="Times New Roman"/>
                <w:color w:val="auto"/>
                <w:sz w:val="21"/>
                <w:szCs w:val="21"/>
                <w:highlight w:val="none"/>
                <w:u w:val="single" w:color="auto"/>
              </w:rPr>
              <w:t>m</w:t>
            </w:r>
            <w:r>
              <w:rPr>
                <w:rFonts w:hint="default" w:ascii="Times New Roman" w:hAnsi="Times New Roman" w:cs="Times New Roman"/>
                <w:color w:val="auto"/>
                <w:sz w:val="21"/>
                <w:szCs w:val="21"/>
                <w:highlight w:val="none"/>
                <w:u w:val="single" w:color="auto"/>
                <w:vertAlign w:val="superscript"/>
              </w:rPr>
              <w:t>2</w:t>
            </w:r>
            <w:r>
              <w:rPr>
                <w:rFonts w:hint="default" w:ascii="Times New Roman" w:hAnsi="Times New Roman" w:cs="Times New Roman"/>
                <w:color w:val="auto"/>
                <w:sz w:val="21"/>
                <w:szCs w:val="21"/>
                <w:highlight w:val="none"/>
                <w:u w:val="single" w:color="auto"/>
              </w:rPr>
              <w:t>，建筑面积为</w:t>
            </w:r>
            <w:r>
              <w:rPr>
                <w:rFonts w:hint="eastAsia" w:ascii="Times New Roman" w:hAnsi="Times New Roman" w:cs="Times New Roman"/>
                <w:color w:val="auto"/>
                <w:sz w:val="21"/>
                <w:szCs w:val="21"/>
                <w:highlight w:val="none"/>
                <w:u w:val="single" w:color="auto"/>
                <w:lang w:val="en-US" w:eastAsia="zh-CN"/>
              </w:rPr>
              <w:t>3372.18</w:t>
            </w:r>
            <w:r>
              <w:rPr>
                <w:rFonts w:hint="default" w:ascii="Times New Roman" w:hAnsi="Times New Roman" w:cs="Times New Roman"/>
                <w:color w:val="auto"/>
                <w:sz w:val="21"/>
                <w:szCs w:val="21"/>
                <w:highlight w:val="none"/>
                <w:u w:val="single" w:color="auto"/>
              </w:rPr>
              <w:t>m</w:t>
            </w:r>
            <w:r>
              <w:rPr>
                <w:rFonts w:hint="default" w:ascii="Times New Roman" w:hAnsi="Times New Roman" w:cs="Times New Roman"/>
                <w:color w:val="auto"/>
                <w:sz w:val="21"/>
                <w:szCs w:val="21"/>
                <w:highlight w:val="none"/>
                <w:u w:val="single" w:color="auto"/>
                <w:vertAlign w:val="superscript"/>
              </w:rPr>
              <w:t>2</w:t>
            </w:r>
            <w:r>
              <w:rPr>
                <w:rFonts w:hint="default" w:ascii="Times New Roman" w:hAnsi="Times New Roman" w:cs="Times New Roman"/>
                <w:color w:val="auto"/>
                <w:sz w:val="21"/>
                <w:szCs w:val="21"/>
                <w:highlight w:val="none"/>
                <w:u w:val="single" w:color="auto"/>
              </w:rPr>
              <w:t>，</w:t>
            </w:r>
            <w:r>
              <w:rPr>
                <w:rFonts w:hint="eastAsia" w:ascii="Times New Roman" w:hAnsi="Times New Roman" w:cs="Times New Roman"/>
                <w:color w:val="auto"/>
                <w:sz w:val="21"/>
                <w:szCs w:val="21"/>
                <w:highlight w:val="none"/>
                <w:u w:val="single" w:color="auto"/>
                <w:lang w:val="en-US" w:eastAsia="zh-CN"/>
              </w:rPr>
              <w:t>5</w:t>
            </w:r>
            <w:r>
              <w:rPr>
                <w:rFonts w:hint="default" w:ascii="Times New Roman" w:hAnsi="Times New Roman" w:cs="Times New Roman"/>
                <w:color w:val="auto"/>
                <w:sz w:val="21"/>
                <w:szCs w:val="21"/>
                <w:highlight w:val="none"/>
                <w:u w:val="single" w:color="auto"/>
              </w:rPr>
              <w:t>层砖混结构，建筑高</w:t>
            </w:r>
            <w:r>
              <w:rPr>
                <w:rFonts w:hint="default" w:ascii="Times New Roman" w:hAnsi="Times New Roman" w:cs="Times New Roman"/>
                <w:color w:val="auto"/>
                <w:sz w:val="21"/>
                <w:szCs w:val="21"/>
                <w:highlight w:val="none"/>
                <w:u w:val="single" w:color="auto"/>
                <w:lang w:val="en-US" w:eastAsia="zh-CN"/>
              </w:rPr>
              <w:t>1</w:t>
            </w:r>
            <w:r>
              <w:rPr>
                <w:rFonts w:hint="eastAsia" w:ascii="Times New Roman" w:hAnsi="Times New Roman" w:cs="Times New Roman"/>
                <w:color w:val="auto"/>
                <w:sz w:val="21"/>
                <w:szCs w:val="21"/>
                <w:highlight w:val="none"/>
                <w:u w:val="single" w:color="auto"/>
                <w:lang w:val="en-US" w:eastAsia="zh-CN"/>
              </w:rPr>
              <w:t>8.2</w:t>
            </w:r>
            <w:r>
              <w:rPr>
                <w:rFonts w:hint="default" w:ascii="Times New Roman" w:hAnsi="Times New Roman" w:cs="Times New Roman"/>
                <w:color w:val="auto"/>
                <w:sz w:val="21"/>
                <w:szCs w:val="21"/>
                <w:highlight w:val="none"/>
                <w:u w:val="single" w:color="auto"/>
              </w:rPr>
              <w:t>m</w:t>
            </w:r>
            <w:r>
              <w:rPr>
                <w:rFonts w:hint="default" w:ascii="Times New Roman" w:hAnsi="Times New Roman" w:cs="Times New Roman"/>
                <w:color w:val="auto"/>
                <w:sz w:val="21"/>
                <w:szCs w:val="21"/>
                <w:highlight w:val="none"/>
                <w:u w:val="single" w:color="auto"/>
                <w:lang w:eastAsia="zh-CN"/>
              </w:rPr>
              <w:t>，</w:t>
            </w:r>
            <w:r>
              <w:rPr>
                <w:rFonts w:hint="default" w:ascii="Times New Roman" w:hAnsi="Times New Roman" w:cs="Times New Roman"/>
                <w:color w:val="auto"/>
                <w:sz w:val="21"/>
                <w:szCs w:val="21"/>
                <w:highlight w:val="none"/>
                <w:u w:val="single" w:color="auto"/>
                <w:lang w:val="en-US" w:eastAsia="zh-CN"/>
              </w:rPr>
              <w:t>1F</w:t>
            </w:r>
            <w:r>
              <w:rPr>
                <w:rFonts w:hint="eastAsia" w:ascii="Times New Roman" w:hAnsi="Times New Roman" w:cs="Times New Roman"/>
                <w:color w:val="auto"/>
                <w:sz w:val="21"/>
                <w:szCs w:val="21"/>
                <w:highlight w:val="none"/>
                <w:u w:val="single" w:color="auto"/>
                <w:lang w:val="en-US" w:eastAsia="zh-CN"/>
              </w:rPr>
              <w:t>用作食堂，</w:t>
            </w:r>
            <w:r>
              <w:rPr>
                <w:rFonts w:hint="default" w:ascii="Times New Roman" w:hAnsi="Times New Roman" w:eastAsia="宋体" w:cs="Times New Roman"/>
                <w:color w:val="auto"/>
                <w:sz w:val="21"/>
                <w:szCs w:val="21"/>
                <w:highlight w:val="none"/>
                <w:u w:val="single" w:color="auto"/>
                <w:lang w:val="en-US" w:eastAsia="zh-CN"/>
              </w:rPr>
              <w:t>2F</w:t>
            </w:r>
            <w:r>
              <w:rPr>
                <w:rFonts w:hint="eastAsia" w:ascii="Times New Roman" w:hAnsi="Times New Roman" w:cs="Times New Roman"/>
                <w:color w:val="auto"/>
                <w:sz w:val="21"/>
                <w:szCs w:val="21"/>
                <w:highlight w:val="none"/>
                <w:u w:val="single" w:color="auto"/>
                <w:lang w:val="en-US" w:eastAsia="zh-CN"/>
              </w:rPr>
              <w:t>、3</w:t>
            </w:r>
            <w:r>
              <w:rPr>
                <w:rFonts w:hint="default" w:ascii="Times New Roman" w:hAnsi="Times New Roman" w:cs="Times New Roman"/>
                <w:color w:val="auto"/>
                <w:sz w:val="21"/>
                <w:szCs w:val="21"/>
                <w:highlight w:val="none"/>
                <w:u w:val="single" w:color="auto"/>
                <w:lang w:val="en-US" w:eastAsia="zh-CN"/>
              </w:rPr>
              <w:t>F用于办公，</w:t>
            </w:r>
            <w:r>
              <w:rPr>
                <w:rFonts w:hint="eastAsia" w:ascii="Times New Roman" w:hAnsi="Times New Roman" w:cs="Times New Roman"/>
                <w:color w:val="auto"/>
                <w:sz w:val="21"/>
                <w:szCs w:val="21"/>
                <w:highlight w:val="none"/>
                <w:u w:val="single" w:color="auto"/>
                <w:lang w:val="en-US" w:eastAsia="zh-CN"/>
              </w:rPr>
              <w:t>4</w:t>
            </w:r>
            <w:r>
              <w:rPr>
                <w:rFonts w:hint="default" w:ascii="Times New Roman" w:hAnsi="Times New Roman" w:cs="Times New Roman"/>
                <w:color w:val="auto"/>
                <w:sz w:val="21"/>
                <w:szCs w:val="21"/>
                <w:highlight w:val="none"/>
                <w:u w:val="single" w:color="auto"/>
                <w:lang w:val="en-US" w:eastAsia="zh-CN"/>
              </w:rPr>
              <w:t>F、</w:t>
            </w:r>
            <w:r>
              <w:rPr>
                <w:rFonts w:hint="eastAsia" w:ascii="Times New Roman" w:hAnsi="Times New Roman" w:cs="Times New Roman"/>
                <w:color w:val="auto"/>
                <w:sz w:val="21"/>
                <w:szCs w:val="21"/>
                <w:highlight w:val="none"/>
                <w:u w:val="single" w:color="auto"/>
                <w:lang w:val="en-US" w:eastAsia="zh-CN"/>
              </w:rPr>
              <w:t>5</w:t>
            </w:r>
            <w:r>
              <w:rPr>
                <w:rFonts w:hint="default" w:ascii="Times New Roman" w:hAnsi="Times New Roman" w:cs="Times New Roman"/>
                <w:color w:val="auto"/>
                <w:sz w:val="21"/>
                <w:szCs w:val="21"/>
                <w:highlight w:val="none"/>
                <w:u w:val="single" w:color="auto"/>
                <w:lang w:val="en-US" w:eastAsia="zh-CN"/>
              </w:rPr>
              <w:t>F用于倒班</w:t>
            </w:r>
          </w:p>
        </w:tc>
      </w:tr>
      <w:tr w14:paraId="27B08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675C59C7">
            <w:pPr>
              <w:pStyle w:val="56"/>
              <w:rPr>
                <w:rFonts w:hint="default" w:ascii="Times New Roman" w:hAnsi="Times New Roman" w:cs="Times New Roman"/>
                <w:color w:val="auto"/>
                <w:sz w:val="21"/>
                <w:szCs w:val="21"/>
                <w:highlight w:val="none"/>
                <w:u w:val="single" w:color="auto"/>
              </w:rPr>
            </w:pPr>
          </w:p>
        </w:tc>
        <w:tc>
          <w:tcPr>
            <w:tcW w:w="1217" w:type="dxa"/>
            <w:shd w:val="clear" w:color="auto" w:fill="FFFFFF"/>
            <w:vAlign w:val="center"/>
          </w:tcPr>
          <w:p w14:paraId="42554EB2">
            <w:pPr>
              <w:pStyle w:val="56"/>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5#仓库</w:t>
            </w:r>
          </w:p>
        </w:tc>
        <w:tc>
          <w:tcPr>
            <w:tcW w:w="6526" w:type="dxa"/>
            <w:shd w:val="clear" w:color="auto" w:fill="FFFFFF"/>
            <w:vAlign w:val="center"/>
          </w:tcPr>
          <w:p w14:paraId="5255D561">
            <w:pPr>
              <w:pStyle w:val="56"/>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占地面积67.24</w:t>
            </w:r>
            <w:r>
              <w:rPr>
                <w:rFonts w:hint="default" w:ascii="Times New Roman" w:hAnsi="Times New Roman" w:cs="Times New Roman"/>
                <w:color w:val="auto"/>
                <w:sz w:val="21"/>
                <w:szCs w:val="21"/>
                <w:highlight w:val="none"/>
                <w:u w:val="single" w:color="auto"/>
                <w:lang w:val="en-US" w:eastAsia="zh-CN"/>
              </w:rPr>
              <w:t>m</w:t>
            </w:r>
            <w:r>
              <w:rPr>
                <w:rFonts w:hint="default" w:ascii="Times New Roman" w:hAnsi="Times New Roman" w:cs="Times New Roman"/>
                <w:color w:val="auto"/>
                <w:sz w:val="21"/>
                <w:szCs w:val="21"/>
                <w:highlight w:val="none"/>
                <w:u w:val="single" w:color="auto"/>
                <w:vertAlign w:val="superscript"/>
                <w:lang w:val="en-US" w:eastAsia="zh-CN"/>
              </w:rPr>
              <w:t>2</w:t>
            </w:r>
            <w:r>
              <w:rPr>
                <w:rFonts w:hint="eastAsia" w:ascii="Times New Roman" w:hAnsi="Times New Roman" w:cs="Times New Roman"/>
                <w:color w:val="auto"/>
                <w:sz w:val="21"/>
                <w:szCs w:val="21"/>
                <w:highlight w:val="none"/>
                <w:u w:val="single" w:color="auto"/>
                <w:lang w:val="en-US" w:eastAsia="zh-CN"/>
              </w:rPr>
              <w:t>，用于存储</w:t>
            </w:r>
            <w:r>
              <w:rPr>
                <w:rFonts w:hint="default" w:ascii="Times New Roman" w:hAnsi="Times New Roman" w:eastAsia="宋体" w:cs="Times New Roman"/>
                <w:color w:val="auto"/>
                <w:kern w:val="2"/>
                <w:sz w:val="21"/>
                <w:szCs w:val="21"/>
                <w:highlight w:val="none"/>
                <w:u w:val="single" w:color="auto"/>
                <w:lang w:val="en-US" w:eastAsia="zh-CN" w:bidi="ar-SA"/>
              </w:rPr>
              <w:t>易制毒易制爆化学品</w:t>
            </w:r>
          </w:p>
        </w:tc>
      </w:tr>
      <w:tr w14:paraId="6A737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425FC581">
            <w:pPr>
              <w:pStyle w:val="56"/>
              <w:rPr>
                <w:rFonts w:hint="default" w:ascii="Times New Roman" w:hAnsi="Times New Roman" w:cs="Times New Roman"/>
                <w:color w:val="auto"/>
                <w:sz w:val="21"/>
                <w:szCs w:val="21"/>
                <w:highlight w:val="none"/>
                <w:u w:val="single" w:color="auto"/>
              </w:rPr>
            </w:pPr>
          </w:p>
        </w:tc>
        <w:tc>
          <w:tcPr>
            <w:tcW w:w="1217" w:type="dxa"/>
            <w:shd w:val="clear" w:color="auto" w:fill="FFFFFF"/>
            <w:vAlign w:val="center"/>
          </w:tcPr>
          <w:p w14:paraId="4AE58F6D">
            <w:pPr>
              <w:pStyle w:val="56"/>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4#厂房</w:t>
            </w:r>
          </w:p>
        </w:tc>
        <w:tc>
          <w:tcPr>
            <w:tcW w:w="6526" w:type="dxa"/>
            <w:shd w:val="clear" w:color="auto" w:fill="FFFFFF"/>
            <w:vAlign w:val="center"/>
          </w:tcPr>
          <w:p w14:paraId="0FCFEF92">
            <w:pPr>
              <w:pStyle w:val="56"/>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eastAsia="zh-CN"/>
              </w:rPr>
              <w:t>占地面积</w:t>
            </w:r>
            <w:r>
              <w:rPr>
                <w:rFonts w:hint="eastAsia" w:ascii="Times New Roman" w:hAnsi="Times New Roman" w:cs="Times New Roman"/>
                <w:color w:val="auto"/>
                <w:sz w:val="21"/>
                <w:szCs w:val="21"/>
                <w:highlight w:val="none"/>
                <w:u w:val="single" w:color="auto"/>
                <w:lang w:val="en-US" w:eastAsia="zh-CN"/>
              </w:rPr>
              <w:t>779.24</w:t>
            </w:r>
            <w:r>
              <w:rPr>
                <w:rFonts w:hint="default" w:ascii="Times New Roman" w:hAnsi="Times New Roman" w:cs="Times New Roman"/>
                <w:color w:val="auto"/>
                <w:sz w:val="21"/>
                <w:szCs w:val="21"/>
                <w:highlight w:val="none"/>
                <w:u w:val="single" w:color="auto"/>
                <w:lang w:val="en-US" w:eastAsia="zh-CN"/>
              </w:rPr>
              <w:t>m</w:t>
            </w:r>
            <w:r>
              <w:rPr>
                <w:rFonts w:hint="default" w:ascii="Times New Roman" w:hAnsi="Times New Roman" w:cs="Times New Roman"/>
                <w:color w:val="auto"/>
                <w:sz w:val="21"/>
                <w:szCs w:val="21"/>
                <w:highlight w:val="none"/>
                <w:u w:val="single" w:color="auto"/>
                <w:vertAlign w:val="superscript"/>
                <w:lang w:val="en-US" w:eastAsia="zh-CN"/>
              </w:rPr>
              <w:t>2</w:t>
            </w:r>
            <w:r>
              <w:rPr>
                <w:rFonts w:hint="default" w:ascii="Times New Roman" w:hAnsi="Times New Roman" w:cs="Times New Roman"/>
                <w:color w:val="auto"/>
                <w:sz w:val="21"/>
                <w:szCs w:val="21"/>
                <w:highlight w:val="none"/>
                <w:u w:val="single" w:color="auto"/>
                <w:lang w:val="en-US" w:eastAsia="zh-CN"/>
              </w:rPr>
              <w:t>，内设废水处理设施及危废暂存间（200m</w:t>
            </w:r>
            <w:r>
              <w:rPr>
                <w:rFonts w:hint="default" w:ascii="Times New Roman" w:hAnsi="Times New Roman" w:cs="Times New Roman"/>
                <w:color w:val="auto"/>
                <w:sz w:val="21"/>
                <w:szCs w:val="21"/>
                <w:highlight w:val="none"/>
                <w:u w:val="single" w:color="auto"/>
                <w:vertAlign w:val="superscript"/>
                <w:lang w:val="en-US" w:eastAsia="zh-CN"/>
              </w:rPr>
              <w:t>2</w:t>
            </w:r>
            <w:r>
              <w:rPr>
                <w:rFonts w:hint="default" w:ascii="Times New Roman" w:hAnsi="Times New Roman" w:cs="Times New Roman"/>
                <w:color w:val="auto"/>
                <w:sz w:val="21"/>
                <w:szCs w:val="21"/>
                <w:highlight w:val="none"/>
                <w:u w:val="single" w:color="auto"/>
                <w:lang w:val="en-US" w:eastAsia="zh-CN"/>
              </w:rPr>
              <w:t>）</w:t>
            </w:r>
          </w:p>
        </w:tc>
      </w:tr>
      <w:tr w14:paraId="12A73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599573D2">
            <w:pPr>
              <w:pStyle w:val="56"/>
              <w:rPr>
                <w:rFonts w:hint="default" w:ascii="Times New Roman" w:hAnsi="Times New Roman" w:cs="Times New Roman"/>
                <w:color w:val="auto"/>
                <w:sz w:val="21"/>
                <w:szCs w:val="21"/>
                <w:highlight w:val="none"/>
                <w:u w:val="single" w:color="auto"/>
              </w:rPr>
            </w:pPr>
          </w:p>
        </w:tc>
        <w:tc>
          <w:tcPr>
            <w:tcW w:w="1217" w:type="dxa"/>
            <w:shd w:val="clear" w:color="auto" w:fill="FFFFFF"/>
            <w:vAlign w:val="center"/>
          </w:tcPr>
          <w:p w14:paraId="60B36D2A">
            <w:pPr>
              <w:pStyle w:val="56"/>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门卫室</w:t>
            </w:r>
          </w:p>
        </w:tc>
        <w:tc>
          <w:tcPr>
            <w:tcW w:w="6526" w:type="dxa"/>
            <w:shd w:val="clear" w:color="auto" w:fill="FFFFFF"/>
            <w:vAlign w:val="center"/>
          </w:tcPr>
          <w:p w14:paraId="39512357">
            <w:pPr>
              <w:pStyle w:val="56"/>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占地面积</w:t>
            </w:r>
            <w:r>
              <w:rPr>
                <w:rFonts w:hint="eastAsia" w:ascii="Times New Roman" w:hAnsi="Times New Roman" w:cs="Times New Roman"/>
                <w:color w:val="auto"/>
                <w:sz w:val="21"/>
                <w:szCs w:val="21"/>
                <w:highlight w:val="none"/>
                <w:u w:val="single" w:color="auto"/>
                <w:lang w:val="en-US" w:eastAsia="zh-CN"/>
              </w:rPr>
              <w:t>85.56</w:t>
            </w:r>
            <w:r>
              <w:rPr>
                <w:rFonts w:hint="default" w:ascii="Times New Roman" w:hAnsi="Times New Roman" w:cs="Times New Roman"/>
                <w:color w:val="auto"/>
                <w:sz w:val="21"/>
                <w:szCs w:val="21"/>
                <w:highlight w:val="none"/>
                <w:u w:val="single" w:color="auto"/>
                <w:lang w:val="en-US" w:eastAsia="zh-CN"/>
              </w:rPr>
              <w:t>m</w:t>
            </w:r>
            <w:r>
              <w:rPr>
                <w:rFonts w:hint="default" w:ascii="Times New Roman" w:hAnsi="Times New Roman" w:cs="Times New Roman"/>
                <w:color w:val="auto"/>
                <w:sz w:val="21"/>
                <w:szCs w:val="21"/>
                <w:highlight w:val="none"/>
                <w:u w:val="single" w:color="auto"/>
                <w:vertAlign w:val="superscript"/>
                <w:lang w:val="en-US" w:eastAsia="zh-CN"/>
              </w:rPr>
              <w:t>2</w:t>
            </w:r>
          </w:p>
        </w:tc>
      </w:tr>
      <w:tr w14:paraId="0E121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4BF1CCD6">
            <w:pPr>
              <w:pStyle w:val="56"/>
              <w:rPr>
                <w:rFonts w:hint="default" w:ascii="Times New Roman" w:hAnsi="Times New Roman" w:cs="Times New Roman"/>
                <w:color w:val="auto"/>
                <w:sz w:val="21"/>
                <w:szCs w:val="21"/>
                <w:highlight w:val="none"/>
                <w:u w:val="single" w:color="auto"/>
              </w:rPr>
            </w:pPr>
          </w:p>
        </w:tc>
        <w:tc>
          <w:tcPr>
            <w:tcW w:w="1217" w:type="dxa"/>
            <w:shd w:val="clear" w:color="auto" w:fill="FFFFFF"/>
            <w:vAlign w:val="center"/>
          </w:tcPr>
          <w:p w14:paraId="66B8E120">
            <w:pPr>
              <w:pStyle w:val="56"/>
              <w:rPr>
                <w:rFonts w:hint="default" w:ascii="Times New Roman" w:hAnsi="Times New Roman" w:cs="Times New Roman"/>
                <w:color w:val="auto"/>
                <w:sz w:val="21"/>
                <w:szCs w:val="21"/>
                <w:highlight w:val="none"/>
                <w:u w:val="single" w:color="auto"/>
                <w:lang w:val="en-US" w:eastAsia="zh-CN"/>
              </w:rPr>
            </w:pPr>
            <w:r>
              <w:rPr>
                <w:rFonts w:hint="eastAsia" w:ascii="Times New Roman" w:hAnsi="Times New Roman" w:cs="Times New Roman"/>
                <w:color w:val="auto"/>
                <w:sz w:val="21"/>
                <w:szCs w:val="21"/>
                <w:highlight w:val="none"/>
                <w:u w:val="single" w:color="auto"/>
                <w:lang w:val="en-US" w:eastAsia="zh-CN"/>
              </w:rPr>
              <w:t>监控室</w:t>
            </w:r>
          </w:p>
        </w:tc>
        <w:tc>
          <w:tcPr>
            <w:tcW w:w="6526" w:type="dxa"/>
            <w:shd w:val="clear" w:color="auto" w:fill="FFFFFF"/>
            <w:vAlign w:val="center"/>
          </w:tcPr>
          <w:p w14:paraId="30EDDDC9">
            <w:pPr>
              <w:pStyle w:val="56"/>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占地面积</w:t>
            </w:r>
            <w:r>
              <w:rPr>
                <w:rFonts w:hint="eastAsia" w:ascii="Times New Roman" w:hAnsi="Times New Roman" w:cs="Times New Roman"/>
                <w:color w:val="auto"/>
                <w:sz w:val="21"/>
                <w:szCs w:val="21"/>
                <w:highlight w:val="none"/>
                <w:u w:val="single" w:color="auto"/>
                <w:lang w:val="en-US" w:eastAsia="zh-CN"/>
              </w:rPr>
              <w:t>12</w:t>
            </w:r>
            <w:r>
              <w:rPr>
                <w:rFonts w:hint="default" w:ascii="Times New Roman" w:hAnsi="Times New Roman" w:cs="Times New Roman"/>
                <w:color w:val="auto"/>
                <w:sz w:val="21"/>
                <w:szCs w:val="21"/>
                <w:highlight w:val="none"/>
                <w:u w:val="single" w:color="auto"/>
                <w:lang w:val="en-US" w:eastAsia="zh-CN"/>
              </w:rPr>
              <w:t>m</w:t>
            </w:r>
            <w:r>
              <w:rPr>
                <w:rFonts w:hint="default" w:ascii="Times New Roman" w:hAnsi="Times New Roman" w:cs="Times New Roman"/>
                <w:color w:val="auto"/>
                <w:sz w:val="21"/>
                <w:szCs w:val="21"/>
                <w:highlight w:val="none"/>
                <w:u w:val="single" w:color="auto"/>
                <w:vertAlign w:val="superscript"/>
                <w:lang w:val="en-US" w:eastAsia="zh-CN"/>
              </w:rPr>
              <w:t>2</w:t>
            </w:r>
          </w:p>
        </w:tc>
      </w:tr>
      <w:tr w14:paraId="4B666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restart"/>
            <w:shd w:val="clear" w:color="auto" w:fill="FFFFFF"/>
            <w:vAlign w:val="center"/>
          </w:tcPr>
          <w:p w14:paraId="1C6138BF">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公用</w:t>
            </w:r>
          </w:p>
          <w:p w14:paraId="4DECE487">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工程</w:t>
            </w:r>
          </w:p>
        </w:tc>
        <w:tc>
          <w:tcPr>
            <w:tcW w:w="1217" w:type="dxa"/>
            <w:shd w:val="clear" w:color="auto" w:fill="FFFFFF"/>
            <w:vAlign w:val="center"/>
          </w:tcPr>
          <w:p w14:paraId="66016541">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供水</w:t>
            </w:r>
          </w:p>
        </w:tc>
        <w:tc>
          <w:tcPr>
            <w:tcW w:w="6526" w:type="dxa"/>
            <w:shd w:val="clear" w:color="auto" w:fill="FFFFFF"/>
            <w:vAlign w:val="center"/>
          </w:tcPr>
          <w:p w14:paraId="4C8C56A4">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自来水，松木开发区给水管网供给</w:t>
            </w:r>
          </w:p>
        </w:tc>
      </w:tr>
      <w:tr w14:paraId="1AB16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24A9F068">
            <w:pPr>
              <w:widowControl/>
              <w:spacing w:line="240" w:lineRule="auto"/>
              <w:jc w:val="center"/>
              <w:rPr>
                <w:rFonts w:hint="default" w:ascii="Times New Roman" w:hAnsi="Times New Roman" w:cs="Times New Roman"/>
                <w:color w:val="auto"/>
                <w:kern w:val="0"/>
                <w:sz w:val="21"/>
                <w:szCs w:val="21"/>
                <w:highlight w:val="none"/>
                <w:u w:val="single" w:color="auto"/>
              </w:rPr>
            </w:pPr>
          </w:p>
        </w:tc>
        <w:tc>
          <w:tcPr>
            <w:tcW w:w="1217" w:type="dxa"/>
            <w:shd w:val="clear" w:color="auto" w:fill="FFFFFF"/>
            <w:vAlign w:val="center"/>
          </w:tcPr>
          <w:p w14:paraId="29AF425D">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排水</w:t>
            </w:r>
          </w:p>
        </w:tc>
        <w:tc>
          <w:tcPr>
            <w:tcW w:w="6526" w:type="dxa"/>
            <w:shd w:val="clear" w:color="auto" w:fill="FFFFFF"/>
            <w:vAlign w:val="center"/>
          </w:tcPr>
          <w:p w14:paraId="00498282">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kern w:val="0"/>
                <w:sz w:val="21"/>
                <w:szCs w:val="21"/>
                <w:highlight w:val="none"/>
                <w:u w:val="single" w:color="auto"/>
              </w:rPr>
              <w:t>雨污分流，污污分流。</w:t>
            </w:r>
            <w:r>
              <w:rPr>
                <w:rFonts w:hint="eastAsia" w:ascii="Times New Roman" w:hAnsi="Times New Roman" w:cs="Times New Roman"/>
                <w:color w:val="auto"/>
                <w:kern w:val="0"/>
                <w:sz w:val="21"/>
                <w:szCs w:val="21"/>
                <w:highlight w:val="none"/>
                <w:u w:val="single" w:color="auto"/>
                <w:lang w:val="en-US" w:eastAsia="zh-CN"/>
              </w:rPr>
              <w:t>初期</w:t>
            </w:r>
            <w:r>
              <w:rPr>
                <w:rFonts w:hint="default" w:ascii="Times New Roman" w:hAnsi="Times New Roman" w:cs="Times New Roman"/>
                <w:color w:val="auto"/>
                <w:kern w:val="0"/>
                <w:sz w:val="21"/>
                <w:szCs w:val="21"/>
                <w:highlight w:val="none"/>
                <w:u w:val="single" w:color="auto"/>
              </w:rPr>
              <w:t>雨水</w:t>
            </w:r>
            <w:r>
              <w:rPr>
                <w:rFonts w:hint="eastAsia" w:ascii="Times New Roman" w:hAnsi="Times New Roman" w:cs="Times New Roman"/>
                <w:color w:val="auto"/>
                <w:kern w:val="0"/>
                <w:sz w:val="21"/>
                <w:szCs w:val="21"/>
                <w:highlight w:val="none"/>
                <w:u w:val="single" w:color="auto"/>
                <w:lang w:val="en-US" w:eastAsia="zh-CN"/>
              </w:rPr>
              <w:t>经非重金属废水设施处理后回用于生产</w:t>
            </w:r>
            <w:r>
              <w:rPr>
                <w:rFonts w:hint="eastAsia" w:ascii="Times New Roman" w:hAnsi="Times New Roman" w:cs="Times New Roman"/>
                <w:color w:val="auto"/>
                <w:kern w:val="0"/>
                <w:sz w:val="21"/>
                <w:szCs w:val="21"/>
                <w:highlight w:val="none"/>
                <w:u w:val="single" w:color="auto"/>
                <w:lang w:eastAsia="zh-CN"/>
              </w:rPr>
              <w:t>；</w:t>
            </w:r>
            <w:r>
              <w:rPr>
                <w:rFonts w:hint="default" w:ascii="Times New Roman" w:hAnsi="Times New Roman" w:cs="Times New Roman"/>
                <w:color w:val="auto"/>
                <w:kern w:val="0"/>
                <w:sz w:val="21"/>
                <w:szCs w:val="21"/>
                <w:highlight w:val="none"/>
                <w:u w:val="single" w:color="auto"/>
                <w:lang w:eastAsia="zh-CN"/>
              </w:rPr>
              <w:t>含重金属废水经</w:t>
            </w:r>
            <w:r>
              <w:rPr>
                <w:rFonts w:hint="default" w:ascii="Times New Roman" w:hAnsi="Times New Roman" w:cs="Times New Roman"/>
                <w:color w:val="auto"/>
                <w:kern w:val="0"/>
                <w:sz w:val="21"/>
                <w:szCs w:val="21"/>
                <w:highlight w:val="none"/>
                <w:u w:val="single" w:color="auto"/>
                <w:lang w:val="en-US" w:eastAsia="zh-CN"/>
              </w:rPr>
              <w:t>pH中和+</w:t>
            </w:r>
            <w:r>
              <w:rPr>
                <w:rFonts w:hint="eastAsia" w:ascii="Times New Roman" w:hAnsi="Times New Roman" w:cs="Times New Roman"/>
                <w:color w:val="auto"/>
                <w:kern w:val="0"/>
                <w:sz w:val="21"/>
                <w:szCs w:val="21"/>
                <w:highlight w:val="none"/>
                <w:u w:val="single" w:color="auto"/>
                <w:lang w:val="en-US" w:eastAsia="zh-CN"/>
              </w:rPr>
              <w:t>沉淀（自由沉降）</w:t>
            </w:r>
            <w:r>
              <w:rPr>
                <w:rFonts w:hint="default" w:ascii="Times New Roman" w:hAnsi="Times New Roman" w:cs="Times New Roman"/>
                <w:color w:val="auto"/>
                <w:kern w:val="0"/>
                <w:sz w:val="21"/>
                <w:szCs w:val="21"/>
                <w:highlight w:val="none"/>
                <w:u w:val="single" w:color="auto"/>
                <w:lang w:val="en-US" w:eastAsia="zh-CN"/>
              </w:rPr>
              <w:t>+三效蒸发器</w:t>
            </w:r>
            <w:r>
              <w:rPr>
                <w:rFonts w:hint="eastAsia" w:ascii="Times New Roman" w:hAnsi="Times New Roman" w:cs="Times New Roman"/>
                <w:color w:val="auto"/>
                <w:kern w:val="0"/>
                <w:sz w:val="21"/>
                <w:szCs w:val="21"/>
                <w:highlight w:val="none"/>
                <w:u w:val="single" w:color="auto"/>
                <w:lang w:val="en-US" w:eastAsia="zh-CN"/>
              </w:rPr>
              <w:t>蒸发后冷凝水</w:t>
            </w:r>
            <w:r>
              <w:rPr>
                <w:rFonts w:hint="default" w:ascii="Times New Roman" w:hAnsi="Times New Roman" w:cs="Times New Roman"/>
                <w:color w:val="auto"/>
                <w:kern w:val="0"/>
                <w:sz w:val="21"/>
                <w:szCs w:val="21"/>
                <w:highlight w:val="none"/>
                <w:u w:val="single" w:color="auto"/>
                <w:lang w:val="en-US" w:eastAsia="zh-CN"/>
              </w:rPr>
              <w:t>回用</w:t>
            </w:r>
            <w:r>
              <w:rPr>
                <w:rFonts w:hint="eastAsia" w:ascii="Times New Roman" w:hAnsi="Times New Roman" w:cs="Times New Roman"/>
                <w:color w:val="auto"/>
                <w:kern w:val="0"/>
                <w:sz w:val="21"/>
                <w:szCs w:val="21"/>
                <w:highlight w:val="none"/>
                <w:u w:val="single" w:color="auto"/>
                <w:lang w:val="en-US" w:eastAsia="zh-CN"/>
              </w:rPr>
              <w:t>于生产</w:t>
            </w:r>
            <w:r>
              <w:rPr>
                <w:rFonts w:hint="default" w:ascii="Times New Roman" w:hAnsi="Times New Roman" w:cs="Times New Roman"/>
                <w:color w:val="auto"/>
                <w:kern w:val="0"/>
                <w:sz w:val="21"/>
                <w:szCs w:val="21"/>
                <w:highlight w:val="none"/>
                <w:u w:val="single" w:color="auto"/>
                <w:lang w:val="en-US" w:eastAsia="zh-CN"/>
              </w:rPr>
              <w:t>，</w:t>
            </w:r>
            <w:r>
              <w:rPr>
                <w:rFonts w:hint="eastAsia" w:ascii="Times New Roman" w:hAnsi="Times New Roman" w:cs="Times New Roman"/>
                <w:color w:val="auto"/>
                <w:kern w:val="0"/>
                <w:sz w:val="21"/>
                <w:szCs w:val="21"/>
                <w:highlight w:val="none"/>
                <w:u w:val="single" w:color="auto"/>
                <w:lang w:val="en-US" w:eastAsia="zh-CN"/>
              </w:rPr>
              <w:t>非重金属废水</w:t>
            </w:r>
            <w:r>
              <w:rPr>
                <w:rFonts w:hint="default" w:ascii="Times New Roman" w:hAnsi="Times New Roman" w:cs="Times New Roman"/>
                <w:color w:val="auto"/>
                <w:kern w:val="0"/>
                <w:sz w:val="21"/>
                <w:szCs w:val="21"/>
                <w:highlight w:val="none"/>
                <w:u w:val="single" w:color="auto"/>
                <w:lang w:val="en-US" w:eastAsia="zh-CN"/>
              </w:rPr>
              <w:t>经</w:t>
            </w:r>
            <w:r>
              <w:rPr>
                <w:rFonts w:hint="default" w:ascii="Times New Roman" w:hAnsi="Times New Roman" w:cs="Times New Roman"/>
                <w:color w:val="auto"/>
                <w:kern w:val="0"/>
                <w:sz w:val="21"/>
                <w:szCs w:val="21"/>
                <w:highlight w:val="none"/>
                <w:u w:val="single" w:color="auto"/>
                <w:lang w:eastAsia="zh-CN"/>
              </w:rPr>
              <w:t>隔油</w:t>
            </w:r>
            <w:r>
              <w:rPr>
                <w:rFonts w:hint="default" w:ascii="Times New Roman" w:hAnsi="Times New Roman" w:cs="Times New Roman"/>
                <w:color w:val="auto"/>
                <w:kern w:val="0"/>
                <w:sz w:val="21"/>
                <w:szCs w:val="21"/>
                <w:highlight w:val="none"/>
                <w:u w:val="single" w:color="auto"/>
              </w:rPr>
              <w:t>+</w:t>
            </w:r>
            <w:r>
              <w:rPr>
                <w:rFonts w:hint="default" w:ascii="Times New Roman" w:hAnsi="Times New Roman" w:cs="Times New Roman"/>
                <w:color w:val="auto"/>
                <w:kern w:val="0"/>
                <w:sz w:val="21"/>
                <w:szCs w:val="21"/>
                <w:highlight w:val="none"/>
                <w:u w:val="single" w:color="auto"/>
                <w:lang w:eastAsia="zh-CN"/>
              </w:rPr>
              <w:t>气浮</w:t>
            </w:r>
            <w:r>
              <w:rPr>
                <w:rFonts w:hint="default" w:ascii="Times New Roman" w:hAnsi="Times New Roman" w:cs="Times New Roman"/>
                <w:color w:val="auto"/>
                <w:kern w:val="0"/>
                <w:sz w:val="21"/>
                <w:szCs w:val="21"/>
                <w:highlight w:val="none"/>
                <w:u w:val="single" w:color="auto"/>
                <w:lang w:val="en-US" w:eastAsia="zh-CN"/>
              </w:rPr>
              <w:t>+</w:t>
            </w:r>
            <w:r>
              <w:rPr>
                <w:rFonts w:hint="default" w:ascii="Times New Roman" w:hAnsi="Times New Roman" w:cs="Times New Roman"/>
                <w:color w:val="auto"/>
                <w:kern w:val="0"/>
                <w:sz w:val="21"/>
                <w:szCs w:val="21"/>
                <w:highlight w:val="none"/>
                <w:u w:val="single" w:color="auto"/>
              </w:rPr>
              <w:t>混凝沉淀+</w:t>
            </w:r>
            <w:r>
              <w:rPr>
                <w:rFonts w:hint="default" w:ascii="Times New Roman" w:hAnsi="Times New Roman" w:cs="Times New Roman"/>
                <w:color w:val="auto"/>
                <w:kern w:val="0"/>
                <w:sz w:val="21"/>
                <w:szCs w:val="21"/>
                <w:highlight w:val="none"/>
                <w:u w:val="single" w:color="auto"/>
                <w:lang w:eastAsia="zh-CN"/>
              </w:rPr>
              <w:t>袋滤</w:t>
            </w:r>
            <w:r>
              <w:rPr>
                <w:rFonts w:hint="default" w:ascii="Times New Roman" w:hAnsi="Times New Roman" w:cs="Times New Roman"/>
                <w:color w:val="auto"/>
                <w:kern w:val="0"/>
                <w:sz w:val="21"/>
                <w:szCs w:val="21"/>
                <w:highlight w:val="none"/>
                <w:u w:val="single" w:color="auto"/>
              </w:rPr>
              <w:t>+超滤处理后</w:t>
            </w:r>
            <w:r>
              <w:rPr>
                <w:rFonts w:hint="eastAsia" w:ascii="Times New Roman" w:hAnsi="Times New Roman" w:cs="Times New Roman"/>
                <w:color w:val="auto"/>
                <w:kern w:val="0"/>
                <w:sz w:val="21"/>
                <w:szCs w:val="21"/>
                <w:highlight w:val="none"/>
                <w:u w:val="single" w:color="auto"/>
                <w:lang w:val="en-US" w:eastAsia="zh-CN"/>
              </w:rPr>
              <w:t>清水部分</w:t>
            </w:r>
            <w:r>
              <w:rPr>
                <w:rFonts w:hint="default" w:ascii="Times New Roman" w:hAnsi="Times New Roman" w:cs="Times New Roman"/>
                <w:color w:val="auto"/>
                <w:kern w:val="0"/>
                <w:sz w:val="21"/>
                <w:szCs w:val="21"/>
                <w:highlight w:val="none"/>
                <w:u w:val="single" w:color="auto"/>
                <w:lang w:eastAsia="zh-CN"/>
              </w:rPr>
              <w:t>回用</w:t>
            </w:r>
            <w:r>
              <w:rPr>
                <w:rFonts w:hint="eastAsia" w:ascii="Times New Roman" w:hAnsi="Times New Roman" w:cs="Times New Roman"/>
                <w:color w:val="auto"/>
                <w:kern w:val="0"/>
                <w:sz w:val="21"/>
                <w:szCs w:val="21"/>
                <w:highlight w:val="none"/>
                <w:u w:val="single" w:color="auto"/>
                <w:lang w:val="en-US" w:eastAsia="zh-CN"/>
              </w:rPr>
              <w:t>于生产及电镀车间地面清洗</w:t>
            </w:r>
            <w:r>
              <w:rPr>
                <w:rFonts w:hint="default" w:ascii="Times New Roman" w:hAnsi="Times New Roman" w:cs="Times New Roman"/>
                <w:color w:val="auto"/>
                <w:kern w:val="0"/>
                <w:sz w:val="21"/>
                <w:szCs w:val="21"/>
                <w:highlight w:val="none"/>
                <w:u w:val="single" w:color="auto"/>
                <w:lang w:eastAsia="zh-CN"/>
              </w:rPr>
              <w:t>，</w:t>
            </w:r>
            <w:r>
              <w:rPr>
                <w:rFonts w:hint="eastAsia" w:ascii="Times New Roman" w:hAnsi="Times New Roman" w:cs="Times New Roman"/>
                <w:color w:val="auto"/>
                <w:kern w:val="0"/>
                <w:sz w:val="21"/>
                <w:szCs w:val="21"/>
                <w:highlight w:val="none"/>
                <w:u w:val="single" w:color="auto"/>
                <w:lang w:val="en-US" w:eastAsia="zh-CN"/>
              </w:rPr>
              <w:t>浓水</w:t>
            </w:r>
            <w:r>
              <w:rPr>
                <w:rFonts w:hint="default" w:ascii="Times New Roman" w:hAnsi="Times New Roman" w:cs="Times New Roman"/>
                <w:color w:val="auto"/>
                <w:kern w:val="0"/>
                <w:sz w:val="21"/>
                <w:szCs w:val="21"/>
                <w:highlight w:val="none"/>
                <w:u w:val="single" w:color="auto"/>
                <w:lang w:eastAsia="zh-CN"/>
              </w:rPr>
              <w:t>经</w:t>
            </w:r>
            <w:r>
              <w:rPr>
                <w:rFonts w:hint="default" w:ascii="Times New Roman" w:hAnsi="Times New Roman" w:cs="Times New Roman"/>
                <w:color w:val="auto"/>
                <w:kern w:val="0"/>
                <w:sz w:val="21"/>
                <w:szCs w:val="21"/>
                <w:highlight w:val="none"/>
                <w:u w:val="single" w:color="auto"/>
                <w:lang w:val="en-US" w:eastAsia="zh-CN"/>
              </w:rPr>
              <w:t>三效蒸发器</w:t>
            </w:r>
            <w:r>
              <w:rPr>
                <w:rFonts w:hint="eastAsia" w:ascii="Times New Roman" w:hAnsi="Times New Roman" w:cs="Times New Roman"/>
                <w:color w:val="auto"/>
                <w:kern w:val="0"/>
                <w:sz w:val="21"/>
                <w:szCs w:val="21"/>
                <w:highlight w:val="none"/>
                <w:u w:val="single" w:color="auto"/>
                <w:lang w:val="en-US" w:eastAsia="zh-CN"/>
              </w:rPr>
              <w:t>蒸发后冷凝水</w:t>
            </w:r>
            <w:r>
              <w:rPr>
                <w:rFonts w:hint="default" w:ascii="Times New Roman" w:hAnsi="Times New Roman" w:cs="Times New Roman"/>
                <w:color w:val="auto"/>
                <w:kern w:val="0"/>
                <w:sz w:val="21"/>
                <w:szCs w:val="21"/>
                <w:highlight w:val="none"/>
                <w:u w:val="single" w:color="auto"/>
                <w:lang w:val="en-US" w:eastAsia="zh-CN"/>
              </w:rPr>
              <w:t>回用</w:t>
            </w:r>
            <w:r>
              <w:rPr>
                <w:rFonts w:hint="eastAsia" w:ascii="Times New Roman" w:hAnsi="Times New Roman" w:cs="Times New Roman"/>
                <w:color w:val="auto"/>
                <w:kern w:val="0"/>
                <w:sz w:val="21"/>
                <w:szCs w:val="21"/>
                <w:highlight w:val="none"/>
                <w:u w:val="single" w:color="auto"/>
                <w:lang w:val="en-US" w:eastAsia="zh-CN"/>
              </w:rPr>
              <w:t>于生产</w:t>
            </w:r>
            <w:r>
              <w:rPr>
                <w:rFonts w:hint="default" w:ascii="Times New Roman" w:hAnsi="Times New Roman" w:cs="Times New Roman"/>
                <w:color w:val="auto"/>
                <w:kern w:val="0"/>
                <w:sz w:val="21"/>
                <w:szCs w:val="21"/>
                <w:highlight w:val="none"/>
                <w:u w:val="single" w:color="auto"/>
              </w:rPr>
              <w:t>，不外排</w:t>
            </w:r>
            <w:r>
              <w:rPr>
                <w:rFonts w:hint="eastAsia" w:ascii="Times New Roman" w:hAnsi="Times New Roman" w:cs="Times New Roman"/>
                <w:color w:val="auto"/>
                <w:kern w:val="0"/>
                <w:sz w:val="21"/>
                <w:szCs w:val="21"/>
                <w:highlight w:val="none"/>
                <w:u w:val="single" w:color="auto"/>
                <w:lang w:eastAsia="zh-CN"/>
              </w:rPr>
              <w:t>；</w:t>
            </w:r>
            <w:r>
              <w:rPr>
                <w:rFonts w:hint="eastAsia" w:ascii="Times New Roman" w:hAnsi="Times New Roman" w:cs="Times New Roman"/>
                <w:color w:val="auto"/>
                <w:kern w:val="0"/>
                <w:sz w:val="21"/>
                <w:szCs w:val="21"/>
                <w:highlight w:val="none"/>
                <w:u w:val="single" w:color="auto"/>
                <w:lang w:val="en-US" w:eastAsia="zh-CN"/>
              </w:rPr>
              <w:t>机加工车间卫生废水、容器清洗废水、直接冷却废水经独立沉淀池处理后进入园区污水管网；</w:t>
            </w:r>
            <w:r>
              <w:rPr>
                <w:rFonts w:hint="default" w:ascii="Times New Roman" w:hAnsi="Times New Roman" w:cs="Times New Roman"/>
                <w:color w:val="auto"/>
                <w:kern w:val="0"/>
                <w:sz w:val="21"/>
                <w:szCs w:val="21"/>
                <w:highlight w:val="none"/>
                <w:u w:val="single" w:color="auto"/>
                <w:lang w:val="en-US" w:eastAsia="zh-CN"/>
              </w:rPr>
              <w:t>生活污水经化粪池预处理后排至园区污水管网。</w:t>
            </w:r>
          </w:p>
        </w:tc>
      </w:tr>
      <w:tr w14:paraId="5189B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0ECA05F0">
            <w:pPr>
              <w:widowControl/>
              <w:spacing w:line="240" w:lineRule="auto"/>
              <w:jc w:val="center"/>
              <w:rPr>
                <w:rFonts w:hint="default" w:ascii="Times New Roman" w:hAnsi="Times New Roman" w:cs="Times New Roman"/>
                <w:color w:val="auto"/>
                <w:kern w:val="0"/>
                <w:sz w:val="21"/>
                <w:szCs w:val="21"/>
                <w:highlight w:val="none"/>
                <w:u w:val="single" w:color="auto"/>
              </w:rPr>
            </w:pPr>
          </w:p>
        </w:tc>
        <w:tc>
          <w:tcPr>
            <w:tcW w:w="1217" w:type="dxa"/>
            <w:shd w:val="clear" w:color="auto" w:fill="FFFFFF"/>
            <w:vAlign w:val="center"/>
          </w:tcPr>
          <w:p w14:paraId="66C7643C">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消防</w:t>
            </w:r>
          </w:p>
        </w:tc>
        <w:tc>
          <w:tcPr>
            <w:tcW w:w="6526" w:type="dxa"/>
            <w:shd w:val="clear" w:color="auto" w:fill="FFFFFF"/>
            <w:vAlign w:val="center"/>
          </w:tcPr>
          <w:p w14:paraId="52BAACD9">
            <w:pPr>
              <w:pStyle w:val="56"/>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rPr>
              <w:t>厂区布置室外、室内消防系统，并设置</w:t>
            </w:r>
            <w:r>
              <w:rPr>
                <w:rFonts w:hint="default" w:ascii="Times New Roman" w:hAnsi="Times New Roman" w:cs="Times New Roman"/>
                <w:color w:val="auto"/>
                <w:sz w:val="21"/>
                <w:szCs w:val="21"/>
                <w:highlight w:val="none"/>
                <w:u w:val="single" w:color="auto"/>
                <w:lang w:val="en-US" w:eastAsia="zh-CN"/>
              </w:rPr>
              <w:t>500m</w:t>
            </w:r>
            <w:r>
              <w:rPr>
                <w:rFonts w:hint="default" w:ascii="Times New Roman" w:hAnsi="Times New Roman" w:cs="Times New Roman"/>
                <w:color w:val="auto"/>
                <w:sz w:val="21"/>
                <w:szCs w:val="21"/>
                <w:highlight w:val="none"/>
                <w:u w:val="single" w:color="auto"/>
                <w:vertAlign w:val="superscript"/>
                <w:lang w:val="en-US" w:eastAsia="zh-CN"/>
              </w:rPr>
              <w:t>3</w:t>
            </w:r>
            <w:r>
              <w:rPr>
                <w:rFonts w:hint="default" w:ascii="Times New Roman" w:hAnsi="Times New Roman" w:cs="Times New Roman"/>
                <w:color w:val="auto"/>
                <w:sz w:val="21"/>
                <w:szCs w:val="21"/>
                <w:highlight w:val="none"/>
                <w:u w:val="single" w:color="auto"/>
                <w:lang w:val="en-US" w:eastAsia="zh-CN"/>
              </w:rPr>
              <w:t>的</w:t>
            </w:r>
            <w:r>
              <w:rPr>
                <w:rFonts w:hint="default" w:ascii="Times New Roman" w:hAnsi="Times New Roman" w:cs="Times New Roman"/>
                <w:color w:val="auto"/>
                <w:sz w:val="21"/>
                <w:szCs w:val="21"/>
                <w:highlight w:val="none"/>
                <w:u w:val="single" w:color="auto"/>
              </w:rPr>
              <w:t>消防水池</w:t>
            </w:r>
          </w:p>
        </w:tc>
      </w:tr>
      <w:tr w14:paraId="0A67A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1AA9A55F">
            <w:pPr>
              <w:widowControl/>
              <w:spacing w:line="240" w:lineRule="auto"/>
              <w:jc w:val="center"/>
              <w:rPr>
                <w:rFonts w:hint="default" w:ascii="Times New Roman" w:hAnsi="Times New Roman" w:cs="Times New Roman"/>
                <w:color w:val="auto"/>
                <w:kern w:val="0"/>
                <w:sz w:val="21"/>
                <w:szCs w:val="21"/>
                <w:highlight w:val="none"/>
                <w:u w:val="single" w:color="auto"/>
              </w:rPr>
            </w:pPr>
          </w:p>
        </w:tc>
        <w:tc>
          <w:tcPr>
            <w:tcW w:w="1217" w:type="dxa"/>
            <w:shd w:val="clear" w:color="auto" w:fill="FFFFFF"/>
            <w:vAlign w:val="center"/>
          </w:tcPr>
          <w:p w14:paraId="4EB3907E">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供电</w:t>
            </w:r>
          </w:p>
        </w:tc>
        <w:tc>
          <w:tcPr>
            <w:tcW w:w="6526" w:type="dxa"/>
            <w:shd w:val="clear" w:color="auto" w:fill="FFFFFF"/>
            <w:vAlign w:val="center"/>
          </w:tcPr>
          <w:p w14:paraId="63F60D4F">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由园区市政电网供电，新建配电室</w:t>
            </w:r>
          </w:p>
        </w:tc>
      </w:tr>
      <w:tr w14:paraId="67EA9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restart"/>
            <w:shd w:val="clear" w:color="auto" w:fill="FFFFFF"/>
            <w:vAlign w:val="center"/>
          </w:tcPr>
          <w:p w14:paraId="7CE2596A">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环保</w:t>
            </w:r>
          </w:p>
          <w:p w14:paraId="7AE92C0B">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工程</w:t>
            </w:r>
          </w:p>
        </w:tc>
        <w:tc>
          <w:tcPr>
            <w:tcW w:w="1217" w:type="dxa"/>
            <w:shd w:val="clear" w:color="auto" w:fill="FFFFFF"/>
            <w:vAlign w:val="center"/>
          </w:tcPr>
          <w:p w14:paraId="26B08765">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废水</w:t>
            </w:r>
          </w:p>
        </w:tc>
        <w:tc>
          <w:tcPr>
            <w:tcW w:w="6526" w:type="dxa"/>
            <w:shd w:val="clear" w:color="auto" w:fill="FFFFFF"/>
            <w:vAlign w:val="center"/>
          </w:tcPr>
          <w:p w14:paraId="31C8D805">
            <w:pPr>
              <w:pStyle w:val="56"/>
              <w:jc w:val="left"/>
              <w:rPr>
                <w:rFonts w:hint="default" w:ascii="Times New Roman" w:hAnsi="Times New Roman" w:cs="Times New Roman"/>
                <w:color w:val="auto"/>
                <w:sz w:val="21"/>
                <w:szCs w:val="21"/>
                <w:highlight w:val="none"/>
                <w:u w:val="single" w:color="auto"/>
              </w:rPr>
            </w:pPr>
            <w:r>
              <w:rPr>
                <w:rFonts w:hint="eastAsia" w:ascii="Times New Roman" w:hAnsi="Times New Roman" w:cs="Times New Roman"/>
                <w:b/>
                <w:color w:val="auto"/>
                <w:sz w:val="21"/>
                <w:szCs w:val="21"/>
                <w:highlight w:val="none"/>
                <w:u w:val="single" w:color="auto"/>
                <w:lang w:val="en-US" w:eastAsia="zh-CN"/>
              </w:rPr>
              <w:t>电镀</w:t>
            </w:r>
            <w:r>
              <w:rPr>
                <w:rFonts w:hint="default" w:ascii="Times New Roman" w:hAnsi="Times New Roman" w:cs="Times New Roman"/>
                <w:b/>
                <w:color w:val="auto"/>
                <w:sz w:val="21"/>
                <w:szCs w:val="21"/>
                <w:highlight w:val="none"/>
                <w:u w:val="single" w:color="auto"/>
              </w:rPr>
              <w:t>生产废水</w:t>
            </w:r>
            <w:r>
              <w:rPr>
                <w:rFonts w:hint="eastAsia" w:ascii="Times New Roman" w:hAnsi="Times New Roman" w:cs="Times New Roman"/>
                <w:b/>
                <w:color w:val="auto"/>
                <w:sz w:val="21"/>
                <w:szCs w:val="21"/>
                <w:highlight w:val="none"/>
                <w:u w:val="single" w:color="auto"/>
                <w:lang w:val="en-US" w:eastAsia="zh-CN"/>
              </w:rPr>
              <w:t>及其辅助生产废水</w:t>
            </w:r>
            <w:r>
              <w:rPr>
                <w:rFonts w:hint="default" w:ascii="Times New Roman" w:hAnsi="Times New Roman" w:cs="Times New Roman"/>
                <w:color w:val="auto"/>
                <w:sz w:val="21"/>
                <w:szCs w:val="21"/>
                <w:highlight w:val="none"/>
                <w:u w:val="single" w:color="auto"/>
              </w:rPr>
              <w:t>：</w:t>
            </w:r>
            <w:r>
              <w:rPr>
                <w:rFonts w:hint="default" w:ascii="Times New Roman" w:hAnsi="Times New Roman" w:cs="Times New Roman"/>
                <w:color w:val="auto"/>
                <w:kern w:val="0"/>
                <w:sz w:val="21"/>
                <w:szCs w:val="21"/>
                <w:highlight w:val="none"/>
                <w:u w:val="single" w:color="auto"/>
                <w:lang w:eastAsia="zh-CN"/>
              </w:rPr>
              <w:t>含重金属废水经</w:t>
            </w:r>
            <w:r>
              <w:rPr>
                <w:rFonts w:hint="default" w:ascii="Times New Roman" w:hAnsi="Times New Roman" w:cs="Times New Roman"/>
                <w:color w:val="auto"/>
                <w:kern w:val="0"/>
                <w:sz w:val="21"/>
                <w:szCs w:val="21"/>
                <w:highlight w:val="none"/>
                <w:u w:val="single" w:color="auto"/>
                <w:lang w:val="en-US" w:eastAsia="zh-CN"/>
              </w:rPr>
              <w:t>pH中和+</w:t>
            </w:r>
            <w:r>
              <w:rPr>
                <w:rFonts w:hint="eastAsia" w:ascii="Times New Roman" w:hAnsi="Times New Roman" w:cs="Times New Roman"/>
                <w:color w:val="auto"/>
                <w:kern w:val="0"/>
                <w:sz w:val="21"/>
                <w:szCs w:val="21"/>
                <w:highlight w:val="none"/>
                <w:u w:val="single" w:color="auto"/>
                <w:lang w:val="en-US" w:eastAsia="zh-CN"/>
              </w:rPr>
              <w:t>沉淀（自由沉降）</w:t>
            </w:r>
            <w:r>
              <w:rPr>
                <w:rFonts w:hint="default" w:ascii="Times New Roman" w:hAnsi="Times New Roman" w:cs="Times New Roman"/>
                <w:color w:val="auto"/>
                <w:kern w:val="0"/>
                <w:sz w:val="21"/>
                <w:szCs w:val="21"/>
                <w:highlight w:val="none"/>
                <w:u w:val="single" w:color="auto"/>
                <w:lang w:val="en-US" w:eastAsia="zh-CN"/>
              </w:rPr>
              <w:t>+三效蒸发器</w:t>
            </w:r>
            <w:r>
              <w:rPr>
                <w:rFonts w:hint="eastAsia" w:ascii="Times New Roman" w:hAnsi="Times New Roman" w:cs="Times New Roman"/>
                <w:color w:val="auto"/>
                <w:kern w:val="0"/>
                <w:sz w:val="21"/>
                <w:szCs w:val="21"/>
                <w:highlight w:val="none"/>
                <w:u w:val="single" w:color="auto"/>
                <w:lang w:val="en-US" w:eastAsia="zh-CN"/>
              </w:rPr>
              <w:t>蒸发后冷凝水</w:t>
            </w:r>
            <w:r>
              <w:rPr>
                <w:rFonts w:hint="default" w:ascii="Times New Roman" w:hAnsi="Times New Roman" w:cs="Times New Roman"/>
                <w:color w:val="auto"/>
                <w:kern w:val="0"/>
                <w:sz w:val="21"/>
                <w:szCs w:val="21"/>
                <w:highlight w:val="none"/>
                <w:u w:val="single" w:color="auto"/>
                <w:lang w:val="en-US" w:eastAsia="zh-CN"/>
              </w:rPr>
              <w:t>回用</w:t>
            </w:r>
            <w:r>
              <w:rPr>
                <w:rFonts w:hint="eastAsia" w:ascii="Times New Roman" w:hAnsi="Times New Roman" w:cs="Times New Roman"/>
                <w:color w:val="auto"/>
                <w:kern w:val="0"/>
                <w:sz w:val="21"/>
                <w:szCs w:val="21"/>
                <w:highlight w:val="none"/>
                <w:u w:val="single" w:color="auto"/>
                <w:lang w:val="en-US" w:eastAsia="zh-CN"/>
              </w:rPr>
              <w:t>于生产</w:t>
            </w:r>
            <w:r>
              <w:rPr>
                <w:rFonts w:hint="default" w:ascii="Times New Roman" w:hAnsi="Times New Roman" w:cs="Times New Roman"/>
                <w:color w:val="auto"/>
                <w:kern w:val="0"/>
                <w:sz w:val="21"/>
                <w:szCs w:val="21"/>
                <w:highlight w:val="none"/>
                <w:u w:val="single" w:color="auto"/>
                <w:lang w:val="en-US" w:eastAsia="zh-CN"/>
              </w:rPr>
              <w:t>，</w:t>
            </w:r>
            <w:r>
              <w:rPr>
                <w:rFonts w:hint="eastAsia" w:ascii="Times New Roman" w:hAnsi="Times New Roman" w:cs="Times New Roman"/>
                <w:color w:val="auto"/>
                <w:kern w:val="0"/>
                <w:sz w:val="21"/>
                <w:szCs w:val="21"/>
                <w:highlight w:val="none"/>
                <w:u w:val="single" w:color="auto"/>
                <w:lang w:val="en-US" w:eastAsia="zh-CN"/>
              </w:rPr>
              <w:t>非重金属废水</w:t>
            </w:r>
            <w:r>
              <w:rPr>
                <w:rFonts w:hint="default" w:ascii="Times New Roman" w:hAnsi="Times New Roman" w:cs="Times New Roman"/>
                <w:color w:val="auto"/>
                <w:kern w:val="0"/>
                <w:sz w:val="21"/>
                <w:szCs w:val="21"/>
                <w:highlight w:val="none"/>
                <w:u w:val="single" w:color="auto"/>
                <w:lang w:val="en-US" w:eastAsia="zh-CN"/>
              </w:rPr>
              <w:t>经</w:t>
            </w:r>
            <w:r>
              <w:rPr>
                <w:rFonts w:hint="default" w:ascii="Times New Roman" w:hAnsi="Times New Roman" w:cs="Times New Roman"/>
                <w:color w:val="auto"/>
                <w:kern w:val="0"/>
                <w:sz w:val="21"/>
                <w:szCs w:val="21"/>
                <w:highlight w:val="none"/>
                <w:u w:val="single" w:color="auto"/>
                <w:lang w:eastAsia="zh-CN"/>
              </w:rPr>
              <w:t>隔油</w:t>
            </w:r>
            <w:r>
              <w:rPr>
                <w:rFonts w:hint="default" w:ascii="Times New Roman" w:hAnsi="Times New Roman" w:cs="Times New Roman"/>
                <w:color w:val="auto"/>
                <w:kern w:val="0"/>
                <w:sz w:val="21"/>
                <w:szCs w:val="21"/>
                <w:highlight w:val="none"/>
                <w:u w:val="single" w:color="auto"/>
              </w:rPr>
              <w:t>+</w:t>
            </w:r>
            <w:r>
              <w:rPr>
                <w:rFonts w:hint="default" w:ascii="Times New Roman" w:hAnsi="Times New Roman" w:cs="Times New Roman"/>
                <w:color w:val="auto"/>
                <w:kern w:val="0"/>
                <w:sz w:val="21"/>
                <w:szCs w:val="21"/>
                <w:highlight w:val="none"/>
                <w:u w:val="single" w:color="auto"/>
                <w:lang w:eastAsia="zh-CN"/>
              </w:rPr>
              <w:t>气浮</w:t>
            </w:r>
            <w:r>
              <w:rPr>
                <w:rFonts w:hint="default" w:ascii="Times New Roman" w:hAnsi="Times New Roman" w:cs="Times New Roman"/>
                <w:color w:val="auto"/>
                <w:kern w:val="0"/>
                <w:sz w:val="21"/>
                <w:szCs w:val="21"/>
                <w:highlight w:val="none"/>
                <w:u w:val="single" w:color="auto"/>
                <w:lang w:val="en-US" w:eastAsia="zh-CN"/>
              </w:rPr>
              <w:t>+</w:t>
            </w:r>
            <w:r>
              <w:rPr>
                <w:rFonts w:hint="default" w:ascii="Times New Roman" w:hAnsi="Times New Roman" w:cs="Times New Roman"/>
                <w:color w:val="auto"/>
                <w:kern w:val="0"/>
                <w:sz w:val="21"/>
                <w:szCs w:val="21"/>
                <w:highlight w:val="none"/>
                <w:u w:val="single" w:color="auto"/>
              </w:rPr>
              <w:t>混凝沉淀+</w:t>
            </w:r>
            <w:r>
              <w:rPr>
                <w:rFonts w:hint="default" w:ascii="Times New Roman" w:hAnsi="Times New Roman" w:cs="Times New Roman"/>
                <w:color w:val="auto"/>
                <w:kern w:val="0"/>
                <w:sz w:val="21"/>
                <w:szCs w:val="21"/>
                <w:highlight w:val="none"/>
                <w:u w:val="single" w:color="auto"/>
                <w:lang w:eastAsia="zh-CN"/>
              </w:rPr>
              <w:t>袋滤</w:t>
            </w:r>
            <w:r>
              <w:rPr>
                <w:rFonts w:hint="default" w:ascii="Times New Roman" w:hAnsi="Times New Roman" w:cs="Times New Roman"/>
                <w:color w:val="auto"/>
                <w:kern w:val="0"/>
                <w:sz w:val="21"/>
                <w:szCs w:val="21"/>
                <w:highlight w:val="none"/>
                <w:u w:val="single" w:color="auto"/>
              </w:rPr>
              <w:t>+超滤处理后</w:t>
            </w:r>
            <w:r>
              <w:rPr>
                <w:rFonts w:hint="eastAsia" w:ascii="Times New Roman" w:hAnsi="Times New Roman" w:cs="Times New Roman"/>
                <w:color w:val="auto"/>
                <w:kern w:val="0"/>
                <w:sz w:val="21"/>
                <w:szCs w:val="21"/>
                <w:highlight w:val="none"/>
                <w:u w:val="single" w:color="auto"/>
                <w:lang w:val="en-US" w:eastAsia="zh-CN"/>
              </w:rPr>
              <w:t>清水部分</w:t>
            </w:r>
            <w:r>
              <w:rPr>
                <w:rFonts w:hint="default" w:ascii="Times New Roman" w:hAnsi="Times New Roman" w:cs="Times New Roman"/>
                <w:color w:val="auto"/>
                <w:kern w:val="0"/>
                <w:sz w:val="21"/>
                <w:szCs w:val="21"/>
                <w:highlight w:val="none"/>
                <w:u w:val="single" w:color="auto"/>
                <w:lang w:eastAsia="zh-CN"/>
              </w:rPr>
              <w:t>回用</w:t>
            </w:r>
            <w:r>
              <w:rPr>
                <w:rFonts w:hint="eastAsia" w:ascii="Times New Roman" w:hAnsi="Times New Roman" w:cs="Times New Roman"/>
                <w:color w:val="auto"/>
                <w:kern w:val="0"/>
                <w:sz w:val="21"/>
                <w:szCs w:val="21"/>
                <w:highlight w:val="none"/>
                <w:u w:val="single" w:color="auto"/>
                <w:lang w:val="en-US" w:eastAsia="zh-CN"/>
              </w:rPr>
              <w:t>于生产及电镀车间地面清洗</w:t>
            </w:r>
            <w:r>
              <w:rPr>
                <w:rFonts w:hint="default" w:ascii="Times New Roman" w:hAnsi="Times New Roman" w:cs="Times New Roman"/>
                <w:color w:val="auto"/>
                <w:kern w:val="0"/>
                <w:sz w:val="21"/>
                <w:szCs w:val="21"/>
                <w:highlight w:val="none"/>
                <w:u w:val="single" w:color="auto"/>
                <w:lang w:eastAsia="zh-CN"/>
              </w:rPr>
              <w:t>，</w:t>
            </w:r>
            <w:r>
              <w:rPr>
                <w:rFonts w:hint="eastAsia" w:ascii="Times New Roman" w:hAnsi="Times New Roman" w:cs="Times New Roman"/>
                <w:color w:val="auto"/>
                <w:kern w:val="0"/>
                <w:sz w:val="21"/>
                <w:szCs w:val="21"/>
                <w:highlight w:val="none"/>
                <w:u w:val="single" w:color="auto"/>
                <w:lang w:val="en-US" w:eastAsia="zh-CN"/>
              </w:rPr>
              <w:t>浓水</w:t>
            </w:r>
            <w:r>
              <w:rPr>
                <w:rFonts w:hint="default" w:ascii="Times New Roman" w:hAnsi="Times New Roman" w:cs="Times New Roman"/>
                <w:color w:val="auto"/>
                <w:kern w:val="0"/>
                <w:sz w:val="21"/>
                <w:szCs w:val="21"/>
                <w:highlight w:val="none"/>
                <w:u w:val="single" w:color="auto"/>
                <w:lang w:eastAsia="zh-CN"/>
              </w:rPr>
              <w:t>经</w:t>
            </w:r>
            <w:r>
              <w:rPr>
                <w:rFonts w:hint="default" w:ascii="Times New Roman" w:hAnsi="Times New Roman" w:cs="Times New Roman"/>
                <w:color w:val="auto"/>
                <w:kern w:val="0"/>
                <w:sz w:val="21"/>
                <w:szCs w:val="21"/>
                <w:highlight w:val="none"/>
                <w:u w:val="single" w:color="auto"/>
                <w:lang w:val="en-US" w:eastAsia="zh-CN"/>
              </w:rPr>
              <w:t>三效蒸发器</w:t>
            </w:r>
            <w:r>
              <w:rPr>
                <w:rFonts w:hint="eastAsia" w:ascii="Times New Roman" w:hAnsi="Times New Roman" w:cs="Times New Roman"/>
                <w:color w:val="auto"/>
                <w:kern w:val="0"/>
                <w:sz w:val="21"/>
                <w:szCs w:val="21"/>
                <w:highlight w:val="none"/>
                <w:u w:val="single" w:color="auto"/>
                <w:lang w:val="en-US" w:eastAsia="zh-CN"/>
              </w:rPr>
              <w:t>蒸发后冷凝水</w:t>
            </w:r>
            <w:r>
              <w:rPr>
                <w:rFonts w:hint="default" w:ascii="Times New Roman" w:hAnsi="Times New Roman" w:cs="Times New Roman"/>
                <w:color w:val="auto"/>
                <w:kern w:val="0"/>
                <w:sz w:val="21"/>
                <w:szCs w:val="21"/>
                <w:highlight w:val="none"/>
                <w:u w:val="single" w:color="auto"/>
                <w:lang w:val="en-US" w:eastAsia="zh-CN"/>
              </w:rPr>
              <w:t>回用</w:t>
            </w:r>
            <w:r>
              <w:rPr>
                <w:rFonts w:hint="eastAsia" w:ascii="Times New Roman" w:hAnsi="Times New Roman" w:cs="Times New Roman"/>
                <w:color w:val="auto"/>
                <w:kern w:val="0"/>
                <w:sz w:val="21"/>
                <w:szCs w:val="21"/>
                <w:highlight w:val="none"/>
                <w:u w:val="single" w:color="auto"/>
                <w:lang w:val="en-US" w:eastAsia="zh-CN"/>
              </w:rPr>
              <w:t>于生产</w:t>
            </w:r>
            <w:r>
              <w:rPr>
                <w:rFonts w:hint="default" w:ascii="Times New Roman" w:hAnsi="Times New Roman" w:cs="Times New Roman"/>
                <w:color w:val="auto"/>
                <w:kern w:val="0"/>
                <w:sz w:val="21"/>
                <w:szCs w:val="21"/>
                <w:highlight w:val="none"/>
                <w:u w:val="single" w:color="auto"/>
              </w:rPr>
              <w:t>，不外排</w:t>
            </w:r>
            <w:r>
              <w:rPr>
                <w:rFonts w:hint="default" w:ascii="Times New Roman" w:hAnsi="Times New Roman" w:cs="Times New Roman"/>
                <w:color w:val="auto"/>
                <w:sz w:val="21"/>
                <w:szCs w:val="21"/>
                <w:highlight w:val="none"/>
                <w:u w:val="single" w:color="auto"/>
              </w:rPr>
              <w:t>；污水处理能力达到</w:t>
            </w:r>
            <w:r>
              <w:rPr>
                <w:rFonts w:hint="eastAsia" w:ascii="Times New Roman" w:hAnsi="Times New Roman" w:cs="Times New Roman"/>
                <w:color w:val="auto"/>
                <w:sz w:val="21"/>
                <w:szCs w:val="21"/>
                <w:highlight w:val="none"/>
                <w:u w:val="single" w:color="auto"/>
                <w:lang w:val="en-US" w:eastAsia="zh-CN"/>
              </w:rPr>
              <w:t>64</w:t>
            </w:r>
            <w:r>
              <w:rPr>
                <w:rFonts w:hint="default" w:ascii="Times New Roman" w:hAnsi="Times New Roman" w:cs="Times New Roman"/>
                <w:color w:val="auto"/>
                <w:sz w:val="21"/>
                <w:szCs w:val="21"/>
                <w:highlight w:val="none"/>
                <w:u w:val="single" w:color="auto"/>
              </w:rPr>
              <w:t>m</w:t>
            </w:r>
            <w:r>
              <w:rPr>
                <w:rFonts w:hint="default" w:ascii="Times New Roman" w:hAnsi="Times New Roman" w:cs="Times New Roman"/>
                <w:color w:val="auto"/>
                <w:sz w:val="21"/>
                <w:szCs w:val="21"/>
                <w:highlight w:val="none"/>
                <w:u w:val="single" w:color="auto"/>
                <w:vertAlign w:val="superscript"/>
              </w:rPr>
              <w:t>3</w:t>
            </w:r>
            <w:r>
              <w:rPr>
                <w:rFonts w:hint="default" w:ascii="Times New Roman" w:hAnsi="Times New Roman" w:cs="Times New Roman"/>
                <w:color w:val="auto"/>
                <w:sz w:val="21"/>
                <w:szCs w:val="21"/>
                <w:highlight w:val="none"/>
                <w:u w:val="single" w:color="auto"/>
              </w:rPr>
              <w:t>/d（主要包括</w:t>
            </w:r>
            <w:r>
              <w:rPr>
                <w:rFonts w:hint="default" w:ascii="Times New Roman" w:hAnsi="Times New Roman" w:cs="Times New Roman"/>
                <w:color w:val="auto"/>
                <w:sz w:val="21"/>
                <w:szCs w:val="21"/>
                <w:highlight w:val="none"/>
                <w:u w:val="single" w:color="auto"/>
                <w:lang w:eastAsia="zh-CN"/>
              </w:rPr>
              <w:t>非重金属</w:t>
            </w:r>
            <w:r>
              <w:rPr>
                <w:rFonts w:hint="default" w:ascii="Times New Roman" w:hAnsi="Times New Roman" w:cs="Times New Roman"/>
                <w:color w:val="auto"/>
                <w:sz w:val="21"/>
                <w:szCs w:val="21"/>
                <w:highlight w:val="none"/>
                <w:u w:val="single" w:color="auto"/>
              </w:rPr>
              <w:t>废水</w:t>
            </w:r>
            <w:r>
              <w:rPr>
                <w:rFonts w:hint="default" w:ascii="Times New Roman" w:hAnsi="Times New Roman" w:cs="Times New Roman"/>
                <w:color w:val="auto"/>
                <w:sz w:val="21"/>
                <w:szCs w:val="21"/>
                <w:highlight w:val="none"/>
                <w:u w:val="single" w:color="auto"/>
                <w:lang w:eastAsia="zh-CN"/>
              </w:rPr>
              <w:t>处理设施</w:t>
            </w:r>
            <w:r>
              <w:rPr>
                <w:rFonts w:hint="default" w:ascii="Times New Roman" w:hAnsi="Times New Roman" w:cs="Times New Roman"/>
                <w:color w:val="auto"/>
                <w:sz w:val="21"/>
                <w:szCs w:val="21"/>
                <w:highlight w:val="none"/>
                <w:u w:val="single" w:color="auto"/>
              </w:rPr>
              <w:t>、含</w:t>
            </w:r>
            <w:r>
              <w:rPr>
                <w:rFonts w:hint="default" w:ascii="Times New Roman" w:hAnsi="Times New Roman" w:cs="Times New Roman"/>
                <w:color w:val="auto"/>
                <w:sz w:val="21"/>
                <w:szCs w:val="21"/>
                <w:highlight w:val="none"/>
                <w:u w:val="single" w:color="auto"/>
                <w:lang w:eastAsia="zh-CN"/>
              </w:rPr>
              <w:t>重金属</w:t>
            </w:r>
            <w:r>
              <w:rPr>
                <w:rFonts w:hint="default" w:ascii="Times New Roman" w:hAnsi="Times New Roman" w:cs="Times New Roman"/>
                <w:color w:val="auto"/>
                <w:sz w:val="21"/>
                <w:szCs w:val="21"/>
                <w:highlight w:val="none"/>
                <w:u w:val="single" w:color="auto"/>
              </w:rPr>
              <w:t>废水处理</w:t>
            </w:r>
            <w:r>
              <w:rPr>
                <w:rFonts w:hint="default" w:ascii="Times New Roman" w:hAnsi="Times New Roman" w:cs="Times New Roman"/>
                <w:color w:val="auto"/>
                <w:sz w:val="21"/>
                <w:szCs w:val="21"/>
                <w:highlight w:val="none"/>
                <w:u w:val="single" w:color="auto"/>
                <w:lang w:eastAsia="zh-CN"/>
              </w:rPr>
              <w:t>设施</w:t>
            </w:r>
            <w:r>
              <w:rPr>
                <w:rFonts w:hint="default" w:ascii="Times New Roman" w:hAnsi="Times New Roman" w:cs="Times New Roman"/>
                <w:color w:val="auto"/>
                <w:sz w:val="21"/>
                <w:szCs w:val="21"/>
                <w:highlight w:val="none"/>
                <w:u w:val="single" w:color="auto"/>
              </w:rPr>
              <w:t>以及</w:t>
            </w:r>
            <w:r>
              <w:rPr>
                <w:rFonts w:hint="default" w:ascii="Times New Roman" w:hAnsi="Times New Roman" w:cs="Times New Roman"/>
                <w:color w:val="auto"/>
                <w:sz w:val="21"/>
                <w:szCs w:val="21"/>
                <w:highlight w:val="none"/>
                <w:u w:val="single" w:color="auto"/>
                <w:lang w:val="en-US" w:eastAsia="zh-CN"/>
              </w:rPr>
              <w:t>三效蒸发器</w:t>
            </w:r>
            <w:r>
              <w:rPr>
                <w:rFonts w:hint="default" w:ascii="Times New Roman" w:hAnsi="Times New Roman" w:cs="Times New Roman"/>
                <w:color w:val="auto"/>
                <w:sz w:val="21"/>
                <w:szCs w:val="21"/>
                <w:highlight w:val="none"/>
                <w:u w:val="single" w:color="auto"/>
              </w:rPr>
              <w:t>）；</w:t>
            </w:r>
          </w:p>
          <w:p w14:paraId="40B544EA">
            <w:pPr>
              <w:pStyle w:val="56"/>
              <w:jc w:val="left"/>
              <w:rPr>
                <w:rFonts w:hint="default" w:ascii="Times New Roman" w:hAnsi="Times New Roman" w:eastAsia="宋体" w:cs="Times New Roman"/>
                <w:b/>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机加工</w:t>
            </w:r>
            <w:r>
              <w:rPr>
                <w:rFonts w:hint="default" w:ascii="Times New Roman" w:hAnsi="Times New Roman" w:eastAsia="宋体" w:cs="Times New Roman"/>
                <w:b/>
                <w:bCs/>
                <w:color w:val="auto"/>
                <w:sz w:val="21"/>
                <w:szCs w:val="21"/>
                <w:highlight w:val="none"/>
                <w:u w:val="single" w:color="auto"/>
              </w:rPr>
              <w:t>车间</w:t>
            </w:r>
            <w:r>
              <w:rPr>
                <w:rFonts w:hint="eastAsia" w:ascii="Times New Roman" w:hAnsi="Times New Roman" w:eastAsia="宋体" w:cs="Times New Roman"/>
                <w:b/>
                <w:bCs/>
                <w:color w:val="auto"/>
                <w:sz w:val="21"/>
                <w:szCs w:val="21"/>
                <w:highlight w:val="none"/>
                <w:u w:val="single" w:color="auto"/>
                <w:lang w:val="en-US" w:eastAsia="zh-CN"/>
              </w:rPr>
              <w:t>卫生废水、容器清洗废水、直接冷却废水：</w:t>
            </w:r>
            <w:r>
              <w:rPr>
                <w:rFonts w:hint="eastAsia" w:ascii="Times New Roman" w:hAnsi="Times New Roman" w:eastAsia="宋体" w:cs="Times New Roman"/>
                <w:color w:val="auto"/>
                <w:sz w:val="21"/>
                <w:szCs w:val="21"/>
                <w:highlight w:val="none"/>
                <w:u w:val="single" w:color="auto"/>
                <w:lang w:val="en-US" w:eastAsia="zh-CN"/>
              </w:rPr>
              <w:t>经沉淀池收集处理后</w:t>
            </w:r>
            <w:r>
              <w:rPr>
                <w:rFonts w:hint="default" w:ascii="Times New Roman" w:hAnsi="Times New Roman" w:eastAsia="宋体" w:cs="Times New Roman"/>
                <w:color w:val="auto"/>
                <w:sz w:val="21"/>
                <w:szCs w:val="21"/>
                <w:highlight w:val="none"/>
                <w:u w:val="single" w:color="auto"/>
              </w:rPr>
              <w:t>排至</w:t>
            </w:r>
            <w:r>
              <w:rPr>
                <w:rFonts w:hint="default" w:ascii="Times New Roman" w:hAnsi="Times New Roman" w:eastAsia="宋体" w:cs="Times New Roman"/>
                <w:color w:val="auto"/>
                <w:sz w:val="21"/>
                <w:szCs w:val="21"/>
                <w:highlight w:val="none"/>
                <w:u w:val="single" w:color="auto"/>
                <w:lang w:eastAsia="zh-CN"/>
              </w:rPr>
              <w:t>园区污水管网</w:t>
            </w:r>
            <w:r>
              <w:rPr>
                <w:rFonts w:hint="eastAsia" w:ascii="Times New Roman" w:hAnsi="Times New Roman" w:eastAsia="宋体" w:cs="Times New Roman"/>
                <w:color w:val="auto"/>
                <w:sz w:val="21"/>
                <w:szCs w:val="21"/>
                <w:highlight w:val="none"/>
                <w:u w:val="single" w:color="auto"/>
                <w:lang w:eastAsia="zh-CN"/>
              </w:rPr>
              <w:t>，</w:t>
            </w:r>
            <w:r>
              <w:rPr>
                <w:rFonts w:hint="eastAsia" w:ascii="Times New Roman" w:hAnsi="Times New Roman" w:eastAsia="宋体" w:cs="Times New Roman"/>
                <w:color w:val="auto"/>
                <w:sz w:val="21"/>
                <w:szCs w:val="21"/>
                <w:highlight w:val="none"/>
                <w:u w:val="none" w:color="auto"/>
                <w:lang w:val="en-US" w:eastAsia="zh-CN"/>
              </w:rPr>
              <w:t>沉淀池</w:t>
            </w:r>
            <w:r>
              <w:rPr>
                <w:rFonts w:hint="default" w:ascii="Times New Roman" w:hAnsi="Times New Roman" w:eastAsia="宋体" w:cs="Times New Roman"/>
                <w:color w:val="auto"/>
                <w:sz w:val="21"/>
                <w:szCs w:val="21"/>
                <w:highlight w:val="none"/>
                <w:u w:val="none" w:color="auto"/>
              </w:rPr>
              <w:t>设计处理规模为</w:t>
            </w:r>
            <w:r>
              <w:rPr>
                <w:rFonts w:hint="eastAsia" w:ascii="Times New Roman" w:hAnsi="Times New Roman" w:eastAsia="宋体" w:cs="Times New Roman"/>
                <w:color w:val="auto"/>
                <w:sz w:val="21"/>
                <w:szCs w:val="21"/>
                <w:highlight w:val="none"/>
                <w:u w:val="none" w:color="auto"/>
                <w:lang w:val="en-US" w:eastAsia="zh-CN"/>
              </w:rPr>
              <w:t>10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/d</w:t>
            </w:r>
            <w:r>
              <w:rPr>
                <w:rFonts w:hint="eastAsia" w:ascii="Times New Roman" w:hAnsi="Times New Roman" w:cs="Times New Roman"/>
                <w:color w:val="auto"/>
                <w:sz w:val="21"/>
                <w:szCs w:val="21"/>
                <w:highlight w:val="none"/>
                <w:u w:val="none" w:color="auto"/>
                <w:lang w:eastAsia="zh-CN"/>
              </w:rPr>
              <w:t>，</w:t>
            </w:r>
            <w:r>
              <w:rPr>
                <w:rFonts w:hint="eastAsia" w:ascii="Times New Roman" w:hAnsi="Times New Roman" w:cs="Times New Roman"/>
                <w:color w:val="auto"/>
                <w:sz w:val="21"/>
                <w:szCs w:val="21"/>
                <w:highlight w:val="none"/>
                <w:u w:val="none" w:color="auto"/>
                <w:lang w:val="en-US" w:eastAsia="zh-CN"/>
              </w:rPr>
              <w:t>同时</w:t>
            </w:r>
            <w:r>
              <w:rPr>
                <w:rFonts w:hint="eastAsia" w:ascii="Times New Roman" w:hAnsi="Times New Roman" w:eastAsia="宋体" w:cs="Times New Roman"/>
                <w:color w:val="auto"/>
                <w:sz w:val="21"/>
                <w:szCs w:val="21"/>
                <w:highlight w:val="none"/>
                <w:u w:val="single" w:color="auto"/>
                <w:lang w:eastAsia="zh-CN"/>
              </w:rPr>
              <w:t>排放口设置阀门及</w:t>
            </w:r>
            <w:r>
              <w:rPr>
                <w:rFonts w:hint="eastAsia" w:ascii="Times New Roman" w:hAnsi="Times New Roman" w:eastAsia="宋体" w:cs="Times New Roman"/>
                <w:bCs/>
                <w:color w:val="auto"/>
                <w:sz w:val="21"/>
                <w:szCs w:val="21"/>
                <w:highlight w:val="none"/>
                <w:u w:val="single" w:color="auto"/>
                <w:lang w:val="en-US" w:eastAsia="zh-CN" w:bidi="en-US"/>
              </w:rPr>
              <w:t>Ni在线监测装置</w:t>
            </w:r>
            <w:r>
              <w:rPr>
                <w:rFonts w:hint="eastAsia" w:ascii="Times New Roman" w:hAnsi="Times New Roman" w:eastAsia="宋体" w:cs="Times New Roman"/>
                <w:color w:val="auto"/>
                <w:sz w:val="21"/>
                <w:szCs w:val="21"/>
                <w:highlight w:val="none"/>
                <w:u w:val="single" w:color="auto"/>
                <w:lang w:eastAsia="zh-CN"/>
              </w:rPr>
              <w:t>；</w:t>
            </w:r>
          </w:p>
          <w:p w14:paraId="05324F68">
            <w:pPr>
              <w:pStyle w:val="56"/>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b/>
                <w:color w:val="auto"/>
                <w:sz w:val="21"/>
                <w:szCs w:val="21"/>
                <w:highlight w:val="none"/>
                <w:u w:val="single" w:color="auto"/>
              </w:rPr>
              <w:t>初期雨水</w:t>
            </w:r>
            <w:r>
              <w:rPr>
                <w:rFonts w:hint="default" w:ascii="Times New Roman" w:hAnsi="Times New Roman" w:eastAsia="宋体" w:cs="Times New Roman"/>
                <w:color w:val="auto"/>
                <w:sz w:val="21"/>
                <w:szCs w:val="21"/>
                <w:highlight w:val="none"/>
                <w:u w:val="single" w:color="auto"/>
              </w:rPr>
              <w:t>：厂区北侧地势较低处设置1个</w:t>
            </w:r>
            <w:r>
              <w:rPr>
                <w:rFonts w:hint="default" w:ascii="Times New Roman" w:hAnsi="Times New Roman" w:eastAsia="宋体" w:cs="Times New Roman"/>
                <w:color w:val="auto"/>
                <w:sz w:val="21"/>
                <w:szCs w:val="21"/>
                <w:highlight w:val="none"/>
                <w:u w:val="single" w:color="auto"/>
                <w:lang w:val="en-US" w:eastAsia="zh-CN"/>
              </w:rPr>
              <w:t>290</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的初期雨水池，经</w:t>
            </w:r>
            <w:r>
              <w:rPr>
                <w:rFonts w:hint="default" w:ascii="Times New Roman" w:hAnsi="Times New Roman" w:eastAsia="宋体" w:cs="Times New Roman"/>
                <w:color w:val="auto"/>
                <w:sz w:val="21"/>
                <w:szCs w:val="21"/>
                <w:highlight w:val="none"/>
                <w:u w:val="single" w:color="auto"/>
                <w:lang w:eastAsia="zh-CN"/>
              </w:rPr>
              <w:t>废水处理站处理后回用于生产</w:t>
            </w:r>
            <w:r>
              <w:rPr>
                <w:rFonts w:hint="default" w:ascii="Times New Roman" w:hAnsi="Times New Roman" w:eastAsia="宋体" w:cs="Times New Roman"/>
                <w:color w:val="auto"/>
                <w:sz w:val="21"/>
                <w:szCs w:val="21"/>
                <w:highlight w:val="none"/>
                <w:u w:val="single" w:color="auto"/>
                <w:lang w:val="en-US" w:eastAsia="zh-CN"/>
              </w:rPr>
              <w:t>，不外排</w:t>
            </w:r>
            <w:r>
              <w:rPr>
                <w:rFonts w:hint="default" w:ascii="Times New Roman" w:hAnsi="Times New Roman" w:eastAsia="宋体" w:cs="Times New Roman"/>
                <w:color w:val="auto"/>
                <w:sz w:val="21"/>
                <w:szCs w:val="21"/>
                <w:highlight w:val="none"/>
                <w:u w:val="single" w:color="auto"/>
              </w:rPr>
              <w:t>；</w:t>
            </w:r>
          </w:p>
          <w:p w14:paraId="44870C82">
            <w:pPr>
              <w:spacing w:line="240" w:lineRule="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b/>
                <w:color w:val="auto"/>
                <w:sz w:val="21"/>
                <w:szCs w:val="21"/>
                <w:highlight w:val="none"/>
                <w:u w:val="single" w:color="auto"/>
              </w:rPr>
              <w:t>生活污水</w:t>
            </w:r>
            <w:r>
              <w:rPr>
                <w:rFonts w:hint="default" w:ascii="Times New Roman" w:hAnsi="Times New Roman" w:eastAsia="宋体" w:cs="Times New Roman"/>
                <w:color w:val="auto"/>
                <w:sz w:val="21"/>
                <w:szCs w:val="21"/>
                <w:highlight w:val="none"/>
                <w:u w:val="single" w:color="auto"/>
              </w:rPr>
              <w:t>：设置</w:t>
            </w:r>
            <w:r>
              <w:rPr>
                <w:rFonts w:hint="eastAsia" w:ascii="Times New Roman" w:hAnsi="Times New Roman" w:eastAsia="宋体" w:cs="Times New Roman"/>
                <w:color w:val="auto"/>
                <w:sz w:val="21"/>
                <w:szCs w:val="21"/>
                <w:highlight w:val="none"/>
                <w:u w:val="single" w:color="auto"/>
                <w:lang w:val="en-US" w:eastAsia="zh-CN"/>
              </w:rPr>
              <w:t>50</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化粪池，经化粪池预处理后排至</w:t>
            </w:r>
            <w:r>
              <w:rPr>
                <w:rFonts w:hint="default" w:ascii="Times New Roman" w:hAnsi="Times New Roman" w:eastAsia="宋体" w:cs="Times New Roman"/>
                <w:color w:val="auto"/>
                <w:sz w:val="21"/>
                <w:szCs w:val="21"/>
                <w:highlight w:val="none"/>
                <w:u w:val="single" w:color="auto"/>
                <w:lang w:eastAsia="zh-CN"/>
              </w:rPr>
              <w:t>园区污水管网</w:t>
            </w:r>
          </w:p>
        </w:tc>
      </w:tr>
      <w:tr w14:paraId="11880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7D657797">
            <w:pPr>
              <w:pStyle w:val="56"/>
              <w:rPr>
                <w:rFonts w:hint="default" w:ascii="Times New Roman" w:hAnsi="Times New Roman" w:cs="Times New Roman"/>
                <w:color w:val="auto"/>
                <w:sz w:val="21"/>
                <w:szCs w:val="21"/>
                <w:highlight w:val="none"/>
                <w:u w:val="single" w:color="auto"/>
              </w:rPr>
            </w:pPr>
          </w:p>
        </w:tc>
        <w:tc>
          <w:tcPr>
            <w:tcW w:w="1217" w:type="dxa"/>
            <w:shd w:val="clear" w:color="auto" w:fill="FFFFFF"/>
            <w:vAlign w:val="center"/>
          </w:tcPr>
          <w:p w14:paraId="6A46E0DB">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废气</w:t>
            </w:r>
          </w:p>
        </w:tc>
        <w:tc>
          <w:tcPr>
            <w:tcW w:w="6526" w:type="dxa"/>
            <w:shd w:val="clear" w:color="auto" w:fill="FFFFFF"/>
            <w:vAlign w:val="center"/>
          </w:tcPr>
          <w:p w14:paraId="0BB01513">
            <w:pPr>
              <w:pStyle w:val="56"/>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eastAsia="zh-CN"/>
              </w:rPr>
              <w:t>电镀生产线产生的</w:t>
            </w:r>
            <w:r>
              <w:rPr>
                <w:rFonts w:hint="default" w:ascii="Times New Roman" w:hAnsi="Times New Roman" w:eastAsia="宋体" w:cs="Times New Roman"/>
                <w:color w:val="auto"/>
                <w:sz w:val="21"/>
                <w:szCs w:val="21"/>
                <w:highlight w:val="none"/>
                <w:u w:val="single" w:color="auto"/>
              </w:rPr>
              <w:t>盐酸雾、氨气、氮氧化物：</w:t>
            </w:r>
            <w:r>
              <w:rPr>
                <w:rFonts w:hint="default" w:ascii="Times New Roman" w:hAnsi="Times New Roman" w:cs="Times New Roman"/>
                <w:color w:val="auto"/>
                <w:sz w:val="21"/>
                <w:szCs w:val="21"/>
                <w:highlight w:val="none"/>
                <w:u w:val="single" w:color="auto"/>
                <w:lang w:val="en-US" w:eastAsia="zh-CN"/>
              </w:rPr>
              <w:t>6</w:t>
            </w:r>
            <w:r>
              <w:rPr>
                <w:rFonts w:hint="default" w:ascii="Times New Roman" w:hAnsi="Times New Roman" w:cs="Times New Roman"/>
                <w:color w:val="auto"/>
                <w:sz w:val="21"/>
                <w:szCs w:val="21"/>
                <w:highlight w:val="none"/>
                <w:u w:val="single" w:color="auto"/>
                <w:lang w:eastAsia="zh-CN"/>
              </w:rPr>
              <w:t>套三级</w:t>
            </w:r>
            <w:r>
              <w:rPr>
                <w:rFonts w:hint="default" w:ascii="Times New Roman" w:hAnsi="Times New Roman" w:eastAsia="宋体" w:cs="Times New Roman"/>
                <w:color w:val="auto"/>
                <w:sz w:val="21"/>
                <w:szCs w:val="21"/>
                <w:highlight w:val="none"/>
                <w:u w:val="single" w:color="auto"/>
              </w:rPr>
              <w:t>碱喷淋吸收法+25米高排气筒；</w:t>
            </w:r>
          </w:p>
          <w:p w14:paraId="0CC13AA5">
            <w:pPr>
              <w:pStyle w:val="56"/>
              <w:jc w:val="left"/>
              <w:rPr>
                <w:rFonts w:hint="default" w:ascii="Times New Roman" w:hAnsi="Times New Roman" w:eastAsia="宋体" w:cs="Times New Roman"/>
                <w:color w:val="auto"/>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烧结废气：</w:t>
            </w:r>
            <w:r>
              <w:rPr>
                <w:rFonts w:hint="default" w:ascii="Times New Roman" w:hAnsi="Times New Roman" w:cs="Times New Roman"/>
                <w:color w:val="auto"/>
                <w:sz w:val="21"/>
                <w:szCs w:val="21"/>
                <w:highlight w:val="none"/>
                <w:u w:val="single" w:color="auto"/>
                <w:lang w:val="en-US" w:eastAsia="zh-CN"/>
              </w:rPr>
              <w:t>1套</w:t>
            </w:r>
            <w:r>
              <w:rPr>
                <w:rFonts w:hint="eastAsia" w:ascii="Times New Roman" w:hAnsi="Times New Roman" w:eastAsia="宋体" w:cs="Times New Roman"/>
                <w:color w:val="auto"/>
                <w:sz w:val="21"/>
                <w:szCs w:val="21"/>
                <w:highlight w:val="none"/>
                <w:u w:val="single" w:color="auto"/>
                <w:lang w:val="en-US" w:eastAsia="zh-CN"/>
              </w:rPr>
              <w:t>冷却塔＋干湿过滤器＋活性炭</w:t>
            </w:r>
            <w:r>
              <w:rPr>
                <w:rFonts w:hint="default" w:ascii="Times New Roman" w:hAnsi="Times New Roman" w:eastAsia="宋体" w:cs="Times New Roman"/>
                <w:color w:val="auto"/>
                <w:sz w:val="21"/>
                <w:szCs w:val="21"/>
                <w:highlight w:val="none"/>
                <w:u w:val="single" w:color="auto"/>
                <w:lang w:val="en-US" w:eastAsia="zh-CN"/>
              </w:rPr>
              <w:t>+</w:t>
            </w:r>
            <w:r>
              <w:rPr>
                <w:rFonts w:hint="eastAsia" w:ascii="Times New Roman" w:hAnsi="Times New Roman" w:cs="Times New Roman"/>
                <w:color w:val="auto"/>
                <w:sz w:val="21"/>
                <w:szCs w:val="21"/>
                <w:highlight w:val="none"/>
                <w:u w:val="single" w:color="auto"/>
                <w:lang w:val="en-US" w:eastAsia="zh-CN"/>
              </w:rPr>
              <w:t>1</w:t>
            </w:r>
            <w:r>
              <w:rPr>
                <w:rFonts w:hint="default" w:ascii="Times New Roman" w:hAnsi="Times New Roman" w:eastAsia="宋体" w:cs="Times New Roman"/>
                <w:color w:val="auto"/>
                <w:sz w:val="21"/>
                <w:szCs w:val="21"/>
                <w:highlight w:val="none"/>
                <w:u w:val="single" w:color="auto"/>
                <w:lang w:val="en-US" w:eastAsia="zh-CN"/>
              </w:rPr>
              <w:t>5</w:t>
            </w:r>
            <w:r>
              <w:rPr>
                <w:rFonts w:hint="default" w:ascii="Times New Roman" w:hAnsi="Times New Roman" w:eastAsia="宋体" w:cs="Times New Roman"/>
                <w:color w:val="auto"/>
                <w:sz w:val="21"/>
                <w:szCs w:val="21"/>
                <w:highlight w:val="none"/>
                <w:u w:val="single" w:color="auto"/>
              </w:rPr>
              <w:t>米高排气筒</w:t>
            </w:r>
          </w:p>
        </w:tc>
      </w:tr>
      <w:tr w14:paraId="22813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5CD832FF">
            <w:pPr>
              <w:widowControl/>
              <w:spacing w:line="240" w:lineRule="auto"/>
              <w:rPr>
                <w:rFonts w:hint="default" w:ascii="Times New Roman" w:hAnsi="Times New Roman" w:cs="Times New Roman"/>
                <w:color w:val="auto"/>
                <w:kern w:val="0"/>
                <w:sz w:val="21"/>
                <w:szCs w:val="21"/>
                <w:highlight w:val="none"/>
                <w:u w:val="single" w:color="auto"/>
              </w:rPr>
            </w:pPr>
          </w:p>
        </w:tc>
        <w:tc>
          <w:tcPr>
            <w:tcW w:w="1217" w:type="dxa"/>
            <w:shd w:val="clear" w:color="auto" w:fill="FFFFFF"/>
            <w:vAlign w:val="center"/>
          </w:tcPr>
          <w:p w14:paraId="3C7AB67B">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噪声</w:t>
            </w:r>
          </w:p>
        </w:tc>
        <w:tc>
          <w:tcPr>
            <w:tcW w:w="6526" w:type="dxa"/>
            <w:shd w:val="clear" w:color="auto" w:fill="FFFFFF"/>
            <w:vAlign w:val="center"/>
          </w:tcPr>
          <w:p w14:paraId="0580F7DD">
            <w:pPr>
              <w:pStyle w:val="56"/>
              <w:jc w:val="both"/>
              <w:rPr>
                <w:rFonts w:hint="default" w:ascii="Times New Roman" w:hAnsi="Times New Roman" w:cs="Times New Roman"/>
                <w:color w:val="auto"/>
                <w:sz w:val="21"/>
                <w:szCs w:val="21"/>
                <w:highlight w:val="none"/>
                <w:u w:val="single" w:color="auto"/>
              </w:rPr>
            </w:pPr>
            <w:r>
              <w:rPr>
                <w:rFonts w:hint="default" w:ascii="Times New Roman" w:hAnsi="Times New Roman" w:cs="Times New Roman"/>
                <w:bCs/>
                <w:color w:val="auto"/>
                <w:sz w:val="21"/>
                <w:szCs w:val="21"/>
                <w:highlight w:val="none"/>
                <w:u w:val="single" w:color="auto"/>
              </w:rPr>
              <w:t>选用低噪声设备，采取基础减震、消声、室内隔声等降噪措施</w:t>
            </w:r>
          </w:p>
        </w:tc>
      </w:tr>
      <w:tr w14:paraId="7CFD4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2AFB342E">
            <w:pPr>
              <w:widowControl/>
              <w:spacing w:line="240" w:lineRule="auto"/>
              <w:rPr>
                <w:rFonts w:hint="default" w:ascii="Times New Roman" w:hAnsi="Times New Roman" w:cs="Times New Roman"/>
                <w:color w:val="auto"/>
                <w:kern w:val="0"/>
                <w:sz w:val="21"/>
                <w:szCs w:val="21"/>
                <w:highlight w:val="none"/>
                <w:u w:val="single" w:color="auto"/>
              </w:rPr>
            </w:pPr>
          </w:p>
        </w:tc>
        <w:tc>
          <w:tcPr>
            <w:tcW w:w="1217" w:type="dxa"/>
            <w:shd w:val="clear" w:color="auto" w:fill="FFFFFF"/>
            <w:vAlign w:val="center"/>
          </w:tcPr>
          <w:p w14:paraId="0456342C">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固废</w:t>
            </w:r>
          </w:p>
        </w:tc>
        <w:tc>
          <w:tcPr>
            <w:tcW w:w="6526" w:type="dxa"/>
            <w:shd w:val="clear" w:color="auto" w:fill="FFFFFF"/>
            <w:vAlign w:val="center"/>
          </w:tcPr>
          <w:p w14:paraId="15DD2505">
            <w:pPr>
              <w:pStyle w:val="56"/>
              <w:jc w:val="left"/>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1</w:t>
            </w:r>
            <w:r>
              <w:rPr>
                <w:rFonts w:hint="default" w:ascii="Times New Roman" w:hAnsi="Times New Roman" w:cs="Times New Roman"/>
                <w:color w:val="auto"/>
                <w:sz w:val="21"/>
                <w:szCs w:val="21"/>
                <w:highlight w:val="none"/>
                <w:u w:val="single" w:color="auto"/>
              </w:rPr>
              <w:t>#</w:t>
            </w:r>
            <w:r>
              <w:rPr>
                <w:rFonts w:hint="default" w:ascii="Times New Roman" w:hAnsi="Times New Roman" w:cs="Times New Roman"/>
                <w:color w:val="auto"/>
                <w:sz w:val="21"/>
                <w:szCs w:val="21"/>
                <w:highlight w:val="none"/>
                <w:u w:val="single" w:color="auto"/>
                <w:lang w:eastAsia="zh-CN"/>
              </w:rPr>
              <w:t>、</w:t>
            </w:r>
            <w:r>
              <w:rPr>
                <w:rFonts w:hint="default" w:ascii="Times New Roman" w:hAnsi="Times New Roman" w:cs="Times New Roman"/>
                <w:color w:val="auto"/>
                <w:sz w:val="21"/>
                <w:szCs w:val="21"/>
                <w:highlight w:val="none"/>
                <w:u w:val="single" w:color="auto"/>
                <w:lang w:val="en-US" w:eastAsia="zh-CN"/>
              </w:rPr>
              <w:t>2#</w:t>
            </w:r>
            <w:r>
              <w:rPr>
                <w:rFonts w:hint="default" w:ascii="Times New Roman" w:hAnsi="Times New Roman" w:cs="Times New Roman"/>
                <w:color w:val="auto"/>
                <w:sz w:val="21"/>
                <w:szCs w:val="21"/>
                <w:highlight w:val="none"/>
                <w:u w:val="single" w:color="auto"/>
              </w:rPr>
              <w:t>厂房</w:t>
            </w:r>
            <w:r>
              <w:rPr>
                <w:rFonts w:hint="default" w:ascii="Times New Roman" w:hAnsi="Times New Roman" w:cs="Times New Roman"/>
                <w:color w:val="auto"/>
                <w:sz w:val="21"/>
                <w:szCs w:val="21"/>
                <w:highlight w:val="none"/>
                <w:u w:val="single" w:color="auto"/>
                <w:lang w:eastAsia="zh-CN"/>
              </w:rPr>
              <w:t>各</w:t>
            </w:r>
            <w:r>
              <w:rPr>
                <w:rFonts w:hint="default" w:ascii="Times New Roman" w:hAnsi="Times New Roman" w:cs="Times New Roman"/>
                <w:color w:val="auto"/>
                <w:sz w:val="21"/>
                <w:szCs w:val="21"/>
                <w:highlight w:val="none"/>
                <w:u w:val="single" w:color="auto"/>
              </w:rPr>
              <w:t>设置1个</w:t>
            </w:r>
            <w:r>
              <w:rPr>
                <w:rFonts w:hint="default" w:ascii="Times New Roman" w:hAnsi="Times New Roman" w:cs="Times New Roman"/>
                <w:color w:val="auto"/>
                <w:sz w:val="21"/>
                <w:szCs w:val="21"/>
                <w:highlight w:val="none"/>
                <w:u w:val="single" w:color="auto"/>
                <w:lang w:val="en-US" w:eastAsia="zh-CN"/>
              </w:rPr>
              <w:t>20</w:t>
            </w:r>
            <w:r>
              <w:rPr>
                <w:rFonts w:hint="default" w:ascii="Times New Roman" w:hAnsi="Times New Roman" w:cs="Times New Roman"/>
                <w:color w:val="auto"/>
                <w:sz w:val="21"/>
                <w:szCs w:val="21"/>
                <w:highlight w:val="none"/>
                <w:u w:val="single" w:color="auto"/>
              </w:rPr>
              <w:t>0m</w:t>
            </w:r>
            <w:r>
              <w:rPr>
                <w:rFonts w:hint="default" w:ascii="Times New Roman" w:hAnsi="Times New Roman" w:cs="Times New Roman"/>
                <w:color w:val="auto"/>
                <w:sz w:val="21"/>
                <w:szCs w:val="21"/>
                <w:highlight w:val="none"/>
                <w:u w:val="single" w:color="auto"/>
                <w:vertAlign w:val="superscript"/>
              </w:rPr>
              <w:t>2</w:t>
            </w:r>
            <w:r>
              <w:rPr>
                <w:rFonts w:hint="default" w:ascii="Times New Roman" w:hAnsi="Times New Roman" w:cs="Times New Roman"/>
                <w:color w:val="auto"/>
                <w:sz w:val="21"/>
                <w:szCs w:val="21"/>
                <w:highlight w:val="none"/>
                <w:u w:val="single" w:color="auto"/>
              </w:rPr>
              <w:t>的</w:t>
            </w:r>
            <w:r>
              <w:rPr>
                <w:rFonts w:hint="default" w:ascii="Times New Roman" w:hAnsi="Times New Roman" w:cs="Times New Roman"/>
                <w:color w:val="auto"/>
                <w:sz w:val="21"/>
                <w:szCs w:val="21"/>
                <w:highlight w:val="none"/>
                <w:u w:val="single" w:color="auto"/>
                <w:lang w:eastAsia="zh-CN"/>
              </w:rPr>
              <w:t>一般固废暂存间</w:t>
            </w:r>
            <w:r>
              <w:rPr>
                <w:rFonts w:hint="default" w:ascii="Times New Roman" w:hAnsi="Times New Roman" w:cs="Times New Roman"/>
                <w:color w:val="auto"/>
                <w:sz w:val="21"/>
                <w:szCs w:val="21"/>
                <w:highlight w:val="none"/>
                <w:u w:val="single" w:color="auto"/>
              </w:rPr>
              <w:t>、</w:t>
            </w:r>
            <w:r>
              <w:rPr>
                <w:rFonts w:hint="default" w:ascii="Times New Roman" w:hAnsi="Times New Roman" w:cs="Times New Roman"/>
                <w:color w:val="auto"/>
                <w:sz w:val="21"/>
                <w:szCs w:val="21"/>
                <w:highlight w:val="none"/>
                <w:u w:val="single" w:color="auto"/>
                <w:lang w:eastAsia="zh-CN"/>
              </w:rPr>
              <w:t>废水处理站设置</w:t>
            </w:r>
            <w:r>
              <w:rPr>
                <w:rFonts w:hint="default" w:ascii="Times New Roman" w:hAnsi="Times New Roman" w:cs="Times New Roman"/>
                <w:color w:val="auto"/>
                <w:sz w:val="21"/>
                <w:szCs w:val="21"/>
                <w:highlight w:val="none"/>
                <w:u w:val="single" w:color="auto"/>
              </w:rPr>
              <w:t>1个20</w:t>
            </w:r>
            <w:r>
              <w:rPr>
                <w:rFonts w:hint="default" w:ascii="Times New Roman" w:hAnsi="Times New Roman" w:cs="Times New Roman"/>
                <w:color w:val="auto"/>
                <w:sz w:val="21"/>
                <w:szCs w:val="21"/>
                <w:highlight w:val="none"/>
                <w:u w:val="single" w:color="auto"/>
                <w:lang w:val="en-US" w:eastAsia="zh-CN"/>
              </w:rPr>
              <w:t>0</w:t>
            </w:r>
            <w:r>
              <w:rPr>
                <w:rFonts w:hint="default" w:ascii="Times New Roman" w:hAnsi="Times New Roman" w:cs="Times New Roman"/>
                <w:color w:val="auto"/>
                <w:sz w:val="21"/>
                <w:szCs w:val="21"/>
                <w:highlight w:val="none"/>
                <w:u w:val="single" w:color="auto"/>
              </w:rPr>
              <w:t>m</w:t>
            </w:r>
            <w:r>
              <w:rPr>
                <w:rFonts w:hint="default" w:ascii="Times New Roman" w:hAnsi="Times New Roman" w:cs="Times New Roman"/>
                <w:color w:val="auto"/>
                <w:sz w:val="21"/>
                <w:szCs w:val="21"/>
                <w:highlight w:val="none"/>
                <w:u w:val="single" w:color="auto"/>
                <w:vertAlign w:val="superscript"/>
              </w:rPr>
              <w:t>2</w:t>
            </w:r>
            <w:r>
              <w:rPr>
                <w:rFonts w:hint="default" w:ascii="Times New Roman" w:hAnsi="Times New Roman" w:cs="Times New Roman"/>
                <w:color w:val="auto"/>
                <w:sz w:val="21"/>
                <w:szCs w:val="21"/>
                <w:highlight w:val="none"/>
                <w:u w:val="single" w:color="auto"/>
              </w:rPr>
              <w:t>的</w:t>
            </w:r>
            <w:r>
              <w:rPr>
                <w:rFonts w:hint="default" w:ascii="Times New Roman" w:hAnsi="Times New Roman" w:cs="Times New Roman"/>
                <w:color w:val="auto"/>
                <w:sz w:val="21"/>
                <w:szCs w:val="21"/>
                <w:highlight w:val="none"/>
                <w:u w:val="single" w:color="auto"/>
                <w:lang w:eastAsia="zh-CN"/>
              </w:rPr>
              <w:t>危废暂存间</w:t>
            </w:r>
            <w:r>
              <w:rPr>
                <w:rFonts w:hint="default" w:ascii="Times New Roman" w:hAnsi="Times New Roman" w:cs="Times New Roman"/>
                <w:color w:val="auto"/>
                <w:sz w:val="21"/>
                <w:szCs w:val="21"/>
                <w:highlight w:val="none"/>
                <w:u w:val="single" w:color="auto"/>
              </w:rPr>
              <w:t>，危废暂存间的建设需符合《危险废物贮存污染控制标准》（GB18597-</w:t>
            </w:r>
            <w:r>
              <w:rPr>
                <w:rFonts w:hint="eastAsia" w:ascii="Times New Roman" w:hAnsi="Times New Roman" w:cs="Times New Roman"/>
                <w:color w:val="auto"/>
                <w:sz w:val="21"/>
                <w:szCs w:val="21"/>
                <w:highlight w:val="none"/>
                <w:u w:val="single" w:color="auto"/>
                <w:lang w:val="en-US" w:eastAsia="zh-CN"/>
              </w:rPr>
              <w:t>2023）</w:t>
            </w:r>
            <w:r>
              <w:rPr>
                <w:rFonts w:hint="default" w:ascii="Times New Roman" w:hAnsi="Times New Roman" w:cs="Times New Roman"/>
                <w:color w:val="auto"/>
                <w:sz w:val="21"/>
                <w:szCs w:val="21"/>
                <w:highlight w:val="none"/>
                <w:u w:val="single" w:color="auto"/>
              </w:rPr>
              <w:t>，一般固废暂存间的建设需符合《一般工业固体废物贮存和填埋污染控制标准》（GB18599-2020），项目产生的各类危废分区暂存于厂内危废暂存间，再委托有资质单位定期清运处置</w:t>
            </w:r>
          </w:p>
        </w:tc>
      </w:tr>
      <w:tr w14:paraId="7590E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51" w:type="dxa"/>
            <w:bottom w:w="0" w:type="dxa"/>
            <w:right w:w="51" w:type="dxa"/>
          </w:tblCellMar>
        </w:tblPrEx>
        <w:trPr>
          <w:trHeight w:val="340" w:hRule="atLeast"/>
          <w:jc w:val="center"/>
        </w:trPr>
        <w:tc>
          <w:tcPr>
            <w:tcW w:w="671" w:type="dxa"/>
            <w:vMerge w:val="continue"/>
            <w:shd w:val="clear" w:color="auto" w:fill="FFFFFF"/>
            <w:vAlign w:val="center"/>
          </w:tcPr>
          <w:p w14:paraId="10787465">
            <w:pPr>
              <w:widowControl/>
              <w:spacing w:line="240" w:lineRule="auto"/>
              <w:rPr>
                <w:rFonts w:hint="default" w:ascii="Times New Roman" w:hAnsi="Times New Roman" w:cs="Times New Roman"/>
                <w:color w:val="auto"/>
                <w:kern w:val="0"/>
                <w:sz w:val="21"/>
                <w:szCs w:val="21"/>
                <w:highlight w:val="none"/>
                <w:u w:val="single" w:color="auto"/>
              </w:rPr>
            </w:pPr>
          </w:p>
        </w:tc>
        <w:tc>
          <w:tcPr>
            <w:tcW w:w="1217" w:type="dxa"/>
            <w:shd w:val="clear" w:color="auto" w:fill="FFFFFF"/>
            <w:vAlign w:val="center"/>
          </w:tcPr>
          <w:p w14:paraId="7B131F2A">
            <w:pPr>
              <w:pStyle w:val="56"/>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风险</w:t>
            </w:r>
          </w:p>
        </w:tc>
        <w:tc>
          <w:tcPr>
            <w:tcW w:w="6526" w:type="dxa"/>
            <w:shd w:val="clear" w:color="auto" w:fill="FFFFFF"/>
            <w:vAlign w:val="center"/>
          </w:tcPr>
          <w:p w14:paraId="1896B0BE">
            <w:pPr>
              <w:pStyle w:val="56"/>
              <w:jc w:val="left"/>
              <w:rPr>
                <w:rFonts w:hint="default" w:ascii="Times New Roman" w:hAnsi="Times New Roman" w:cs="Times New Roman"/>
                <w:color w:val="auto"/>
                <w:sz w:val="21"/>
                <w:szCs w:val="21"/>
                <w:highlight w:val="none"/>
                <w:u w:val="single" w:color="auto"/>
              </w:rPr>
            </w:pPr>
            <w:r>
              <w:rPr>
                <w:rFonts w:hint="default" w:ascii="Times New Roman" w:hAnsi="Times New Roman" w:cs="Times New Roman"/>
                <w:b/>
                <w:color w:val="auto"/>
                <w:sz w:val="21"/>
                <w:szCs w:val="21"/>
                <w:highlight w:val="none"/>
                <w:u w:val="single" w:color="auto"/>
              </w:rPr>
              <w:t>车间事故应急池</w:t>
            </w:r>
            <w:r>
              <w:rPr>
                <w:rFonts w:hint="default" w:ascii="Times New Roman" w:hAnsi="Times New Roman" w:cs="Times New Roman"/>
                <w:color w:val="auto"/>
                <w:sz w:val="21"/>
                <w:szCs w:val="21"/>
                <w:highlight w:val="none"/>
                <w:u w:val="single" w:color="auto"/>
              </w:rPr>
              <w:t>：车间应急池容积不小于车间内最大镀槽/储槽的容积；</w:t>
            </w:r>
          </w:p>
          <w:p w14:paraId="22941FD7">
            <w:pPr>
              <w:spacing w:line="240" w:lineRule="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b/>
                <w:color w:val="auto"/>
                <w:sz w:val="21"/>
                <w:szCs w:val="21"/>
                <w:highlight w:val="none"/>
                <w:u w:val="single" w:color="auto"/>
              </w:rPr>
              <w:t>厂区事故应急池</w:t>
            </w:r>
            <w:r>
              <w:rPr>
                <w:rFonts w:hint="default" w:ascii="Times New Roman" w:hAnsi="Times New Roman" w:eastAsia="宋体" w:cs="Times New Roman"/>
                <w:color w:val="auto"/>
                <w:sz w:val="21"/>
                <w:szCs w:val="21"/>
                <w:highlight w:val="none"/>
                <w:u w:val="single" w:color="auto"/>
              </w:rPr>
              <w:t>：厂区设置1座</w:t>
            </w:r>
            <w:r>
              <w:rPr>
                <w:rFonts w:hint="default" w:ascii="Times New Roman" w:hAnsi="Times New Roman" w:eastAsia="宋体" w:cs="Times New Roman"/>
                <w:color w:val="auto"/>
                <w:sz w:val="21"/>
                <w:szCs w:val="21"/>
                <w:highlight w:val="none"/>
                <w:u w:val="single" w:color="auto"/>
                <w:lang w:val="en-US" w:eastAsia="zh-CN"/>
              </w:rPr>
              <w:t>600</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的应急事故池、1座</w:t>
            </w:r>
            <w:r>
              <w:rPr>
                <w:rFonts w:hint="default" w:ascii="Times New Roman" w:hAnsi="Times New Roman" w:eastAsia="宋体" w:cs="Times New Roman"/>
                <w:color w:val="auto"/>
                <w:sz w:val="21"/>
                <w:szCs w:val="21"/>
                <w:highlight w:val="none"/>
                <w:u w:val="single" w:color="auto"/>
                <w:lang w:val="en-US" w:eastAsia="zh-CN"/>
              </w:rPr>
              <w:t>29</w:t>
            </w:r>
            <w:r>
              <w:rPr>
                <w:rFonts w:hint="default" w:ascii="Times New Roman" w:hAnsi="Times New Roman" w:eastAsia="宋体" w:cs="Times New Roman"/>
                <w:color w:val="auto"/>
                <w:sz w:val="21"/>
                <w:szCs w:val="21"/>
                <w:highlight w:val="none"/>
                <w:u w:val="single" w:color="auto"/>
              </w:rPr>
              <w:t>0m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的初期雨水池，初期雨水收集池与事故应急池通过双电源应急泵连通</w:t>
            </w:r>
          </w:p>
        </w:tc>
      </w:tr>
    </w:tbl>
    <w:p w14:paraId="388087C9">
      <w:pPr>
        <w:pStyle w:val="3"/>
        <w:wordWrap/>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25" w:name="_Toc24330"/>
      <w:r>
        <w:rPr>
          <w:rFonts w:hint="default" w:ascii="Times New Roman" w:hAnsi="Times New Roman" w:eastAsia="宋体" w:cs="Times New Roman"/>
          <w:color w:val="auto"/>
          <w:sz w:val="28"/>
          <w:szCs w:val="28"/>
          <w:highlight w:val="none"/>
          <w:u w:val="none" w:color="auto"/>
          <w:lang w:val="en-US" w:eastAsia="zh-CN"/>
        </w:rPr>
        <w:t>3.3项目总平面布置</w:t>
      </w:r>
      <w:bookmarkEnd w:id="25"/>
    </w:p>
    <w:p w14:paraId="611F49B1">
      <w:pPr>
        <w:ind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本项目总平面布置满足城市规划要求，符合消防、卫生、环保等规范要求，满足生产和办公生活的要求，合理组织物流、人流路线，整体布局满足工厂需求。根据用地形状和生产生活及交通运输要求，项目厂房位于厂区中部，</w:t>
      </w:r>
      <w:r>
        <w:rPr>
          <w:rFonts w:hint="eastAsia" w:ascii="Times New Roman" w:hAnsi="Times New Roman" w:eastAsia="宋体" w:cs="Times New Roman"/>
          <w:color w:val="auto"/>
          <w:sz w:val="24"/>
          <w:szCs w:val="24"/>
          <w:highlight w:val="none"/>
          <w:u w:val="none" w:color="auto"/>
          <w:lang w:eastAsia="zh-CN"/>
        </w:rPr>
        <w:t>生产线置于</w:t>
      </w:r>
      <w:r>
        <w:rPr>
          <w:rFonts w:hint="eastAsia" w:ascii="Times New Roman" w:hAnsi="Times New Roman" w:eastAsia="宋体" w:cs="Times New Roman"/>
          <w:color w:val="auto"/>
          <w:sz w:val="24"/>
          <w:szCs w:val="24"/>
          <w:highlight w:val="none"/>
          <w:u w:val="none" w:color="auto"/>
          <w:lang w:val="en-US" w:eastAsia="zh-CN"/>
        </w:rPr>
        <w:t>2#、3#厂房，4#厂房</w:t>
      </w:r>
      <w:r>
        <w:rPr>
          <w:rFonts w:hint="default" w:ascii="Times New Roman" w:hAnsi="Times New Roman" w:eastAsia="宋体" w:cs="Times New Roman"/>
          <w:color w:val="auto"/>
          <w:sz w:val="24"/>
          <w:szCs w:val="24"/>
          <w:highlight w:val="none"/>
          <w:u w:val="none" w:color="auto"/>
          <w:lang w:val="en-US" w:eastAsia="zh-CN"/>
        </w:rPr>
        <w:t>设置废水处理站，生活区、办公区位于厂区北部</w:t>
      </w:r>
      <w:r>
        <w:rPr>
          <w:rFonts w:hint="eastAsia" w:ascii="Times New Roman" w:hAnsi="Times New Roman" w:eastAsia="宋体" w:cs="Times New Roman"/>
          <w:color w:val="auto"/>
          <w:sz w:val="24"/>
          <w:szCs w:val="24"/>
          <w:highlight w:val="none"/>
          <w:u w:val="none" w:color="auto"/>
          <w:lang w:val="en-US" w:eastAsia="zh-CN"/>
        </w:rPr>
        <w:t>1#综合楼</w:t>
      </w:r>
      <w:r>
        <w:rPr>
          <w:rFonts w:hint="default" w:ascii="Times New Roman" w:hAnsi="Times New Roman" w:eastAsia="宋体" w:cs="Times New Roman"/>
          <w:color w:val="auto"/>
          <w:sz w:val="24"/>
          <w:szCs w:val="24"/>
          <w:highlight w:val="none"/>
          <w:u w:val="none" w:color="auto"/>
          <w:lang w:eastAsia="zh-CN"/>
        </w:rPr>
        <w:t>。</w:t>
      </w:r>
    </w:p>
    <w:p w14:paraId="1671E2DF">
      <w:pPr>
        <w:ind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本项目平面布置详见附图3。</w:t>
      </w:r>
    </w:p>
    <w:p w14:paraId="6D6F51ED">
      <w:pPr>
        <w:pStyle w:val="3"/>
        <w:wordWrap/>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26" w:name="_Toc22500"/>
      <w:r>
        <w:rPr>
          <w:rFonts w:hint="default" w:ascii="Times New Roman" w:hAnsi="Times New Roman" w:eastAsia="宋体" w:cs="Times New Roman"/>
          <w:color w:val="auto"/>
          <w:sz w:val="28"/>
          <w:szCs w:val="28"/>
          <w:highlight w:val="none"/>
          <w:u w:val="none" w:color="auto"/>
          <w:lang w:val="en-US" w:eastAsia="zh-CN"/>
        </w:rPr>
        <w:t>3.4项目主要生产设备</w:t>
      </w:r>
      <w:bookmarkEnd w:id="26"/>
    </w:p>
    <w:p w14:paraId="5C553811">
      <w:pPr>
        <w:widowControl w:val="0"/>
        <w:wordWrap/>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项目共设</w:t>
      </w:r>
      <w:r>
        <w:rPr>
          <w:rFonts w:hint="default" w:ascii="Times New Roman" w:hAnsi="Times New Roman" w:eastAsia="宋体" w:cs="Times New Roman"/>
          <w:color w:val="auto"/>
          <w:sz w:val="24"/>
          <w:szCs w:val="24"/>
          <w:highlight w:val="none"/>
          <w:u w:val="none" w:color="auto"/>
          <w:lang w:val="en-US" w:eastAsia="zh-CN"/>
        </w:rPr>
        <w:t>5</w:t>
      </w:r>
      <w:r>
        <w:rPr>
          <w:rFonts w:hint="default" w:ascii="Times New Roman" w:hAnsi="Times New Roman" w:eastAsia="宋体" w:cs="Times New Roman"/>
          <w:color w:val="auto"/>
          <w:sz w:val="24"/>
          <w:szCs w:val="24"/>
          <w:highlight w:val="none"/>
          <w:u w:val="none" w:color="auto"/>
          <w:lang w:eastAsia="zh-CN"/>
        </w:rPr>
        <w:t>个生产区域</w:t>
      </w:r>
      <w:r>
        <w:rPr>
          <w:rFonts w:hint="default" w:ascii="Times New Roman" w:hAnsi="Times New Roman" w:eastAsia="宋体" w:cs="Times New Roman"/>
          <w:color w:val="auto"/>
          <w:sz w:val="24"/>
          <w:szCs w:val="24"/>
          <w:highlight w:val="none"/>
          <w:u w:val="none" w:color="auto"/>
        </w:rPr>
        <w:t>，包括</w:t>
      </w: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eastAsia="zh-CN"/>
        </w:rPr>
        <w:t>个金刚石划片刀生产区域</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1个超硬材料砂轮</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lang w:val="en-US" w:eastAsia="zh-CN"/>
        </w:rPr>
        <w:t>、1个超硬材料磨头</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lang w:val="en-US" w:eastAsia="zh-CN"/>
        </w:rPr>
        <w:t>、1个超硬材料套瓦刀及套孔钻</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lang w:val="en-US" w:eastAsia="zh-CN"/>
        </w:rPr>
        <w:t>、1个烧结超硬材料制品</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rPr>
        <w:t>。</w:t>
      </w:r>
    </w:p>
    <w:p w14:paraId="40D452E2">
      <w:pPr>
        <w:ind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本项目主要生产设备详见下表：</w:t>
      </w:r>
    </w:p>
    <w:p w14:paraId="6C67C4F6">
      <w:pPr>
        <w:jc w:val="center"/>
        <w:rPr>
          <w:rFonts w:hint="default" w:ascii="Times New Roman" w:hAnsi="Times New Roman" w:eastAsia="宋体" w:cs="Times New Roman"/>
          <w:b/>
          <w:color w:val="auto"/>
          <w:sz w:val="21"/>
          <w:szCs w:val="18"/>
          <w:highlight w:val="none"/>
          <w:u w:val="none" w:color="auto"/>
          <w:lang w:eastAsia="zh-CN"/>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3.4</w:t>
      </w:r>
      <w:r>
        <w:rPr>
          <w:rFonts w:hint="default" w:ascii="Times New Roman" w:hAnsi="Times New Roman" w:eastAsia="宋体" w:cs="Times New Roman"/>
          <w:b/>
          <w:color w:val="auto"/>
          <w:sz w:val="21"/>
          <w:szCs w:val="18"/>
          <w:highlight w:val="none"/>
          <w:u w:val="none" w:color="auto"/>
        </w:rPr>
        <w:t>-1本项目主要生产设备一览表</w:t>
      </w:r>
    </w:p>
    <w:tbl>
      <w:tblPr>
        <w:tblStyle w:val="22"/>
        <w:tblW w:w="81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22"/>
        <w:gridCol w:w="2765"/>
        <w:gridCol w:w="708"/>
        <w:gridCol w:w="728"/>
        <w:gridCol w:w="2258"/>
        <w:gridCol w:w="825"/>
      </w:tblGrid>
      <w:tr w14:paraId="56699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3513B6B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2765" w:type="dxa"/>
            <w:shd w:val="clear" w:color="auto" w:fill="FFFFFF"/>
            <w:vAlign w:val="center"/>
          </w:tcPr>
          <w:p w14:paraId="0FE3B6C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设备名称</w:t>
            </w:r>
          </w:p>
        </w:tc>
        <w:tc>
          <w:tcPr>
            <w:tcW w:w="708" w:type="dxa"/>
            <w:shd w:val="clear" w:color="auto" w:fill="FFFFFF"/>
            <w:vAlign w:val="center"/>
          </w:tcPr>
          <w:p w14:paraId="2A70FC7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单位</w:t>
            </w:r>
          </w:p>
        </w:tc>
        <w:tc>
          <w:tcPr>
            <w:tcW w:w="728" w:type="dxa"/>
            <w:shd w:val="clear" w:color="auto" w:fill="FFFFFF"/>
            <w:vAlign w:val="center"/>
          </w:tcPr>
          <w:p w14:paraId="5AA500D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数量</w:t>
            </w:r>
          </w:p>
        </w:tc>
        <w:tc>
          <w:tcPr>
            <w:tcW w:w="2258" w:type="dxa"/>
            <w:shd w:val="clear" w:color="auto" w:fill="FFFFFF"/>
            <w:vAlign w:val="center"/>
          </w:tcPr>
          <w:p w14:paraId="11C10FB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型号/规格</w:t>
            </w:r>
          </w:p>
        </w:tc>
        <w:tc>
          <w:tcPr>
            <w:tcW w:w="825" w:type="dxa"/>
            <w:shd w:val="clear" w:color="auto" w:fill="FFFFFF"/>
            <w:vAlign w:val="center"/>
          </w:tcPr>
          <w:p w14:paraId="3A73621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产地</w:t>
            </w:r>
          </w:p>
        </w:tc>
      </w:tr>
      <w:tr w14:paraId="4F36A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3125FA3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1</w:t>
            </w:r>
          </w:p>
        </w:tc>
        <w:tc>
          <w:tcPr>
            <w:tcW w:w="2765" w:type="dxa"/>
            <w:shd w:val="clear" w:color="auto" w:fill="FFFFFF"/>
            <w:vAlign w:val="center"/>
          </w:tcPr>
          <w:p w14:paraId="48451DB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数控车床</w:t>
            </w:r>
          </w:p>
        </w:tc>
        <w:tc>
          <w:tcPr>
            <w:tcW w:w="708" w:type="dxa"/>
            <w:shd w:val="clear" w:color="auto" w:fill="FFFFFF"/>
            <w:vAlign w:val="center"/>
          </w:tcPr>
          <w:p w14:paraId="12674A8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33A46C2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50</w:t>
            </w:r>
          </w:p>
        </w:tc>
        <w:tc>
          <w:tcPr>
            <w:tcW w:w="2258" w:type="dxa"/>
            <w:shd w:val="clear" w:color="auto" w:fill="FFFFFF"/>
            <w:vAlign w:val="center"/>
          </w:tcPr>
          <w:p w14:paraId="577C435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CNC6250*500</w:t>
            </w:r>
          </w:p>
        </w:tc>
        <w:tc>
          <w:tcPr>
            <w:tcW w:w="825" w:type="dxa"/>
            <w:shd w:val="clear" w:color="auto" w:fill="FFFFFF"/>
            <w:vAlign w:val="center"/>
          </w:tcPr>
          <w:p w14:paraId="5460FAE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沈阳</w:t>
            </w:r>
          </w:p>
        </w:tc>
      </w:tr>
      <w:tr w14:paraId="7C88C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822" w:type="dxa"/>
            <w:shd w:val="clear" w:color="auto" w:fill="FFFFFF"/>
            <w:vAlign w:val="center"/>
          </w:tcPr>
          <w:p w14:paraId="0CCD16D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2</w:t>
            </w:r>
          </w:p>
        </w:tc>
        <w:tc>
          <w:tcPr>
            <w:tcW w:w="2765" w:type="dxa"/>
            <w:shd w:val="clear" w:color="auto" w:fill="FFFFFF"/>
            <w:vAlign w:val="center"/>
          </w:tcPr>
          <w:p w14:paraId="4794224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数控车床</w:t>
            </w:r>
          </w:p>
        </w:tc>
        <w:tc>
          <w:tcPr>
            <w:tcW w:w="708" w:type="dxa"/>
            <w:shd w:val="clear" w:color="auto" w:fill="FFFFFF"/>
            <w:vAlign w:val="center"/>
          </w:tcPr>
          <w:p w14:paraId="35EB94B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3425F55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c>
          <w:tcPr>
            <w:tcW w:w="2258" w:type="dxa"/>
            <w:shd w:val="clear" w:color="auto" w:fill="FFFFFF"/>
            <w:vAlign w:val="center"/>
          </w:tcPr>
          <w:p w14:paraId="6CBBFDE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CNC6140</w:t>
            </w:r>
          </w:p>
        </w:tc>
        <w:tc>
          <w:tcPr>
            <w:tcW w:w="825" w:type="dxa"/>
            <w:shd w:val="clear" w:color="auto" w:fill="FFFFFF"/>
            <w:vAlign w:val="center"/>
          </w:tcPr>
          <w:p w14:paraId="643BB33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日本</w:t>
            </w:r>
          </w:p>
        </w:tc>
      </w:tr>
      <w:tr w14:paraId="4411D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1685D04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3</w:t>
            </w:r>
          </w:p>
        </w:tc>
        <w:tc>
          <w:tcPr>
            <w:tcW w:w="2765" w:type="dxa"/>
            <w:shd w:val="clear" w:color="auto" w:fill="FFFFFF"/>
            <w:vAlign w:val="center"/>
          </w:tcPr>
          <w:p w14:paraId="0C98969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数控车床</w:t>
            </w:r>
          </w:p>
        </w:tc>
        <w:tc>
          <w:tcPr>
            <w:tcW w:w="708" w:type="dxa"/>
            <w:shd w:val="clear" w:color="auto" w:fill="FFFFFF"/>
            <w:vAlign w:val="center"/>
          </w:tcPr>
          <w:p w14:paraId="58827FB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7197D6E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c>
          <w:tcPr>
            <w:tcW w:w="2258" w:type="dxa"/>
            <w:shd w:val="clear" w:color="auto" w:fill="FFFFFF"/>
            <w:vAlign w:val="center"/>
          </w:tcPr>
          <w:p w14:paraId="05A6939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CNC6140</w:t>
            </w:r>
          </w:p>
        </w:tc>
        <w:tc>
          <w:tcPr>
            <w:tcW w:w="825" w:type="dxa"/>
            <w:shd w:val="clear" w:color="auto" w:fill="FFFFFF"/>
            <w:vAlign w:val="center"/>
          </w:tcPr>
          <w:p w14:paraId="1CF4B33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浙江</w:t>
            </w:r>
          </w:p>
        </w:tc>
      </w:tr>
      <w:tr w14:paraId="44074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17D7ADC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4</w:t>
            </w:r>
          </w:p>
        </w:tc>
        <w:tc>
          <w:tcPr>
            <w:tcW w:w="2765" w:type="dxa"/>
            <w:shd w:val="clear" w:color="auto" w:fill="FFFFFF"/>
            <w:vAlign w:val="center"/>
          </w:tcPr>
          <w:p w14:paraId="3F27E23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磨床</w:t>
            </w:r>
          </w:p>
        </w:tc>
        <w:tc>
          <w:tcPr>
            <w:tcW w:w="708" w:type="dxa"/>
            <w:shd w:val="clear" w:color="auto" w:fill="FFFFFF"/>
            <w:vAlign w:val="center"/>
          </w:tcPr>
          <w:p w14:paraId="6D6E258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26FE009F">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2258" w:type="dxa"/>
            <w:shd w:val="clear" w:color="auto" w:fill="FFFFFF"/>
            <w:vAlign w:val="center"/>
          </w:tcPr>
          <w:p w14:paraId="72BDFCD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M618</w:t>
            </w:r>
          </w:p>
        </w:tc>
        <w:tc>
          <w:tcPr>
            <w:tcW w:w="825" w:type="dxa"/>
            <w:shd w:val="clear" w:color="auto" w:fill="FFFFFF"/>
            <w:vAlign w:val="center"/>
          </w:tcPr>
          <w:p w14:paraId="5BB9B53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江苏</w:t>
            </w:r>
          </w:p>
        </w:tc>
      </w:tr>
      <w:tr w14:paraId="4108E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353C64A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5</w:t>
            </w:r>
          </w:p>
        </w:tc>
        <w:tc>
          <w:tcPr>
            <w:tcW w:w="2765" w:type="dxa"/>
            <w:shd w:val="clear" w:color="auto" w:fill="FFFFFF"/>
            <w:vAlign w:val="center"/>
          </w:tcPr>
          <w:p w14:paraId="6DC95AC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电镀槽</w:t>
            </w:r>
          </w:p>
        </w:tc>
        <w:tc>
          <w:tcPr>
            <w:tcW w:w="708" w:type="dxa"/>
            <w:shd w:val="clear" w:color="auto" w:fill="FFFFFF"/>
            <w:vAlign w:val="center"/>
          </w:tcPr>
          <w:p w14:paraId="7EBD710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个</w:t>
            </w:r>
          </w:p>
        </w:tc>
        <w:tc>
          <w:tcPr>
            <w:tcW w:w="728" w:type="dxa"/>
            <w:shd w:val="clear" w:color="auto" w:fill="FFFFFF"/>
            <w:vAlign w:val="center"/>
          </w:tcPr>
          <w:p w14:paraId="6E1DC1C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1000</w:t>
            </w:r>
          </w:p>
        </w:tc>
        <w:tc>
          <w:tcPr>
            <w:tcW w:w="2258" w:type="dxa"/>
            <w:shd w:val="clear" w:color="auto" w:fill="FFFFFF"/>
            <w:vAlign w:val="center"/>
          </w:tcPr>
          <w:p w14:paraId="2654749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详见表3.4-2</w:t>
            </w:r>
          </w:p>
        </w:tc>
        <w:tc>
          <w:tcPr>
            <w:tcW w:w="825" w:type="dxa"/>
            <w:shd w:val="clear" w:color="auto" w:fill="FFFFFF"/>
            <w:vAlign w:val="center"/>
          </w:tcPr>
          <w:p w14:paraId="3C70DC0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自研</w:t>
            </w:r>
          </w:p>
        </w:tc>
      </w:tr>
      <w:tr w14:paraId="72293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3730D1F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w:t>
            </w:r>
          </w:p>
        </w:tc>
        <w:tc>
          <w:tcPr>
            <w:tcW w:w="2765" w:type="dxa"/>
            <w:shd w:val="clear" w:color="auto" w:fill="FFFFFF"/>
            <w:vAlign w:val="center"/>
          </w:tcPr>
          <w:p w14:paraId="6910080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烘箱</w:t>
            </w:r>
          </w:p>
        </w:tc>
        <w:tc>
          <w:tcPr>
            <w:tcW w:w="708" w:type="dxa"/>
            <w:shd w:val="clear" w:color="auto" w:fill="FFFFFF"/>
            <w:vAlign w:val="center"/>
          </w:tcPr>
          <w:p w14:paraId="16CFFC4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台</w:t>
            </w:r>
          </w:p>
        </w:tc>
        <w:tc>
          <w:tcPr>
            <w:tcW w:w="728" w:type="dxa"/>
            <w:shd w:val="clear" w:color="auto" w:fill="FFFFFF"/>
            <w:vAlign w:val="center"/>
          </w:tcPr>
          <w:p w14:paraId="5F10FF9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2258" w:type="dxa"/>
            <w:shd w:val="clear" w:color="auto" w:fill="FFFFFF"/>
            <w:vAlign w:val="center"/>
          </w:tcPr>
          <w:p w14:paraId="6999D0F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0~200℃</w:t>
            </w:r>
          </w:p>
        </w:tc>
        <w:tc>
          <w:tcPr>
            <w:tcW w:w="825" w:type="dxa"/>
            <w:shd w:val="clear" w:color="auto" w:fill="FFFFFF"/>
            <w:vAlign w:val="center"/>
          </w:tcPr>
          <w:p w14:paraId="18A11C2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广州</w:t>
            </w:r>
          </w:p>
        </w:tc>
      </w:tr>
      <w:tr w14:paraId="04480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3ABA2D0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w:t>
            </w:r>
          </w:p>
        </w:tc>
        <w:tc>
          <w:tcPr>
            <w:tcW w:w="2765" w:type="dxa"/>
            <w:shd w:val="clear" w:color="auto" w:fill="FFFFFF"/>
            <w:vAlign w:val="center"/>
          </w:tcPr>
          <w:p w14:paraId="028DF27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二次元影像仪</w:t>
            </w:r>
          </w:p>
        </w:tc>
        <w:tc>
          <w:tcPr>
            <w:tcW w:w="708" w:type="dxa"/>
            <w:shd w:val="clear" w:color="auto" w:fill="FFFFFF"/>
            <w:vAlign w:val="center"/>
          </w:tcPr>
          <w:p w14:paraId="6AA6127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735D54D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c>
          <w:tcPr>
            <w:tcW w:w="2258" w:type="dxa"/>
            <w:shd w:val="clear" w:color="auto" w:fill="FFFFFF"/>
            <w:vAlign w:val="center"/>
          </w:tcPr>
          <w:p w14:paraId="2C3225D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3020</w:t>
            </w:r>
          </w:p>
        </w:tc>
        <w:tc>
          <w:tcPr>
            <w:tcW w:w="825" w:type="dxa"/>
            <w:shd w:val="clear" w:color="auto" w:fill="FFFFFF"/>
            <w:vAlign w:val="center"/>
          </w:tcPr>
          <w:p w14:paraId="774F9B8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苏州</w:t>
            </w:r>
          </w:p>
        </w:tc>
      </w:tr>
      <w:tr w14:paraId="4BFA7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58D9D33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w:t>
            </w:r>
          </w:p>
        </w:tc>
        <w:tc>
          <w:tcPr>
            <w:tcW w:w="2765" w:type="dxa"/>
            <w:shd w:val="clear" w:color="auto" w:fill="FFFFFF"/>
            <w:vAlign w:val="center"/>
          </w:tcPr>
          <w:p w14:paraId="74A4978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三坐标</w:t>
            </w:r>
          </w:p>
        </w:tc>
        <w:tc>
          <w:tcPr>
            <w:tcW w:w="708" w:type="dxa"/>
            <w:shd w:val="clear" w:color="auto" w:fill="FFFFFF"/>
            <w:vAlign w:val="center"/>
          </w:tcPr>
          <w:p w14:paraId="75C5068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5F3B972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2258" w:type="dxa"/>
            <w:shd w:val="clear" w:color="auto" w:fill="FFFFFF"/>
            <w:vAlign w:val="center"/>
          </w:tcPr>
          <w:p w14:paraId="76BF7B6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龙门564</w:t>
            </w:r>
          </w:p>
        </w:tc>
        <w:tc>
          <w:tcPr>
            <w:tcW w:w="825" w:type="dxa"/>
            <w:shd w:val="clear" w:color="auto" w:fill="FFFFFF"/>
            <w:vAlign w:val="center"/>
          </w:tcPr>
          <w:p w14:paraId="3FC08A0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日本</w:t>
            </w:r>
          </w:p>
        </w:tc>
      </w:tr>
      <w:tr w14:paraId="7E689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4CA77CF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9</w:t>
            </w:r>
          </w:p>
        </w:tc>
        <w:tc>
          <w:tcPr>
            <w:tcW w:w="2765" w:type="dxa"/>
            <w:shd w:val="clear" w:color="auto" w:fill="FFFFFF"/>
            <w:vAlign w:val="center"/>
          </w:tcPr>
          <w:p w14:paraId="5C867EA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激光打标机</w:t>
            </w:r>
          </w:p>
        </w:tc>
        <w:tc>
          <w:tcPr>
            <w:tcW w:w="708" w:type="dxa"/>
            <w:shd w:val="clear" w:color="auto" w:fill="FFFFFF"/>
            <w:vAlign w:val="center"/>
          </w:tcPr>
          <w:p w14:paraId="0151AC1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4B412A9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2258" w:type="dxa"/>
            <w:shd w:val="clear" w:color="auto" w:fill="FFFFFF"/>
            <w:vAlign w:val="center"/>
          </w:tcPr>
          <w:p w14:paraId="5359A9E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40W</w:t>
            </w:r>
          </w:p>
        </w:tc>
        <w:tc>
          <w:tcPr>
            <w:tcW w:w="825" w:type="dxa"/>
            <w:shd w:val="clear" w:color="auto" w:fill="FFFFFF"/>
            <w:vAlign w:val="center"/>
          </w:tcPr>
          <w:p w14:paraId="04605FE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深圳</w:t>
            </w:r>
          </w:p>
        </w:tc>
      </w:tr>
      <w:tr w14:paraId="044BE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6CD6E16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c>
          <w:tcPr>
            <w:tcW w:w="2765" w:type="dxa"/>
            <w:shd w:val="clear" w:color="auto" w:fill="FFFFFF"/>
            <w:vAlign w:val="center"/>
          </w:tcPr>
          <w:p w14:paraId="7CD97EC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激光磨床</w:t>
            </w:r>
          </w:p>
        </w:tc>
        <w:tc>
          <w:tcPr>
            <w:tcW w:w="708" w:type="dxa"/>
            <w:shd w:val="clear" w:color="auto" w:fill="FFFFFF"/>
            <w:vAlign w:val="center"/>
          </w:tcPr>
          <w:p w14:paraId="07AF073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7310895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c>
          <w:tcPr>
            <w:tcW w:w="2258" w:type="dxa"/>
            <w:shd w:val="clear" w:color="auto" w:fill="FFFFFF"/>
            <w:vAlign w:val="center"/>
          </w:tcPr>
          <w:p w14:paraId="09707B6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200W</w:t>
            </w:r>
          </w:p>
        </w:tc>
        <w:tc>
          <w:tcPr>
            <w:tcW w:w="825" w:type="dxa"/>
            <w:shd w:val="clear" w:color="auto" w:fill="FFFFFF"/>
            <w:vAlign w:val="center"/>
          </w:tcPr>
          <w:p w14:paraId="3217C44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深圳</w:t>
            </w:r>
          </w:p>
        </w:tc>
      </w:tr>
      <w:tr w14:paraId="78E4F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6A8DBC9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w:t>
            </w:r>
          </w:p>
        </w:tc>
        <w:tc>
          <w:tcPr>
            <w:tcW w:w="2765" w:type="dxa"/>
            <w:shd w:val="clear" w:color="auto" w:fill="FFFFFF"/>
            <w:vAlign w:val="center"/>
          </w:tcPr>
          <w:p w14:paraId="0837CC6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坐标磨床</w:t>
            </w:r>
          </w:p>
        </w:tc>
        <w:tc>
          <w:tcPr>
            <w:tcW w:w="708" w:type="dxa"/>
            <w:shd w:val="clear" w:color="auto" w:fill="FFFFFF"/>
            <w:vAlign w:val="center"/>
          </w:tcPr>
          <w:p w14:paraId="0F3F7C0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58C89E2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w:t>
            </w:r>
          </w:p>
        </w:tc>
        <w:tc>
          <w:tcPr>
            <w:tcW w:w="2258" w:type="dxa"/>
            <w:shd w:val="clear" w:color="auto" w:fill="FFFFFF"/>
            <w:vAlign w:val="center"/>
          </w:tcPr>
          <w:p w14:paraId="54DB4E4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M6430</w:t>
            </w:r>
          </w:p>
        </w:tc>
        <w:tc>
          <w:tcPr>
            <w:tcW w:w="825" w:type="dxa"/>
            <w:shd w:val="clear" w:color="auto" w:fill="FFFFFF"/>
            <w:vAlign w:val="center"/>
          </w:tcPr>
          <w:p w14:paraId="746084A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日本</w:t>
            </w:r>
          </w:p>
        </w:tc>
      </w:tr>
      <w:tr w14:paraId="7E733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457F017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765" w:type="dxa"/>
            <w:shd w:val="clear" w:color="auto" w:fill="FFFFFF"/>
            <w:vAlign w:val="center"/>
          </w:tcPr>
          <w:p w14:paraId="6FB9247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液压压力机</w:t>
            </w:r>
          </w:p>
        </w:tc>
        <w:tc>
          <w:tcPr>
            <w:tcW w:w="708" w:type="dxa"/>
            <w:shd w:val="clear" w:color="auto" w:fill="FFFFFF"/>
            <w:vAlign w:val="center"/>
          </w:tcPr>
          <w:p w14:paraId="283B0C8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27512BFF">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2258" w:type="dxa"/>
            <w:shd w:val="clear" w:color="auto" w:fill="FFFFFF"/>
            <w:vAlign w:val="center"/>
          </w:tcPr>
          <w:p w14:paraId="304D1E1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30t</w:t>
            </w:r>
          </w:p>
        </w:tc>
        <w:tc>
          <w:tcPr>
            <w:tcW w:w="825" w:type="dxa"/>
            <w:shd w:val="clear" w:color="auto" w:fill="FFFFFF"/>
            <w:vAlign w:val="center"/>
          </w:tcPr>
          <w:p w14:paraId="0A22658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合肥</w:t>
            </w:r>
          </w:p>
        </w:tc>
      </w:tr>
      <w:tr w14:paraId="2E633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547ECF1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13</w:t>
            </w:r>
          </w:p>
        </w:tc>
        <w:tc>
          <w:tcPr>
            <w:tcW w:w="2765" w:type="dxa"/>
            <w:shd w:val="clear" w:color="auto" w:fill="FFFFFF"/>
            <w:vAlign w:val="center"/>
          </w:tcPr>
          <w:p w14:paraId="2BEB18E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液压压力机</w:t>
            </w:r>
          </w:p>
        </w:tc>
        <w:tc>
          <w:tcPr>
            <w:tcW w:w="708" w:type="dxa"/>
            <w:shd w:val="clear" w:color="auto" w:fill="FFFFFF"/>
            <w:vAlign w:val="center"/>
          </w:tcPr>
          <w:p w14:paraId="26E8D0E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25A1836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2258" w:type="dxa"/>
            <w:shd w:val="clear" w:color="auto" w:fill="FFFFFF"/>
            <w:vAlign w:val="center"/>
          </w:tcPr>
          <w:p w14:paraId="5B8885E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200</w:t>
            </w:r>
            <w:r>
              <w:rPr>
                <w:rFonts w:hint="default" w:ascii="Times New Roman" w:hAnsi="Times New Roman" w:eastAsia="宋体" w:cs="Times New Roman"/>
                <w:color w:val="auto"/>
                <w:sz w:val="21"/>
                <w:szCs w:val="21"/>
                <w:highlight w:val="none"/>
                <w:u w:val="none" w:color="auto"/>
                <w:lang w:val="en-US" w:eastAsia="zh-CN"/>
              </w:rPr>
              <w:t>t</w:t>
            </w:r>
          </w:p>
        </w:tc>
        <w:tc>
          <w:tcPr>
            <w:tcW w:w="825" w:type="dxa"/>
            <w:shd w:val="clear" w:color="auto" w:fill="FFFFFF"/>
            <w:vAlign w:val="center"/>
          </w:tcPr>
          <w:p w14:paraId="003969C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合肥</w:t>
            </w:r>
          </w:p>
        </w:tc>
      </w:tr>
      <w:tr w14:paraId="5A07C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3ECD9A5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14</w:t>
            </w:r>
          </w:p>
        </w:tc>
        <w:tc>
          <w:tcPr>
            <w:tcW w:w="2765" w:type="dxa"/>
            <w:shd w:val="clear" w:color="auto" w:fill="FFFFFF"/>
            <w:vAlign w:val="center"/>
          </w:tcPr>
          <w:p w14:paraId="4C0E9F3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液压压力机</w:t>
            </w:r>
          </w:p>
        </w:tc>
        <w:tc>
          <w:tcPr>
            <w:tcW w:w="708" w:type="dxa"/>
            <w:shd w:val="clear" w:color="auto" w:fill="FFFFFF"/>
            <w:vAlign w:val="center"/>
          </w:tcPr>
          <w:p w14:paraId="685EC74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1781748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2258" w:type="dxa"/>
            <w:shd w:val="clear" w:color="auto" w:fill="FFFFFF"/>
            <w:vAlign w:val="center"/>
          </w:tcPr>
          <w:p w14:paraId="1527C8B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100t</w:t>
            </w:r>
          </w:p>
        </w:tc>
        <w:tc>
          <w:tcPr>
            <w:tcW w:w="825" w:type="dxa"/>
            <w:shd w:val="clear" w:color="auto" w:fill="FFFFFF"/>
            <w:vAlign w:val="center"/>
          </w:tcPr>
          <w:p w14:paraId="0978D8E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合肥</w:t>
            </w:r>
          </w:p>
        </w:tc>
      </w:tr>
      <w:tr w14:paraId="4EF2F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7EB4366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2765" w:type="dxa"/>
            <w:shd w:val="clear" w:color="auto" w:fill="FFFFFF"/>
            <w:vAlign w:val="center"/>
          </w:tcPr>
          <w:p w14:paraId="251CEA1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液压压力机</w:t>
            </w:r>
          </w:p>
        </w:tc>
        <w:tc>
          <w:tcPr>
            <w:tcW w:w="708" w:type="dxa"/>
            <w:shd w:val="clear" w:color="auto" w:fill="FFFFFF"/>
            <w:vAlign w:val="center"/>
          </w:tcPr>
          <w:p w14:paraId="59BB8D8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7F61F6B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2258" w:type="dxa"/>
            <w:shd w:val="clear" w:color="auto" w:fill="FFFFFF"/>
            <w:vAlign w:val="center"/>
          </w:tcPr>
          <w:p w14:paraId="3188AD4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50t</w:t>
            </w:r>
          </w:p>
        </w:tc>
        <w:tc>
          <w:tcPr>
            <w:tcW w:w="825" w:type="dxa"/>
            <w:shd w:val="clear" w:color="auto" w:fill="FFFFFF"/>
            <w:vAlign w:val="center"/>
          </w:tcPr>
          <w:p w14:paraId="7A470BD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合肥</w:t>
            </w:r>
          </w:p>
        </w:tc>
      </w:tr>
      <w:tr w14:paraId="792F2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1E1350C8">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16</w:t>
            </w:r>
          </w:p>
        </w:tc>
        <w:tc>
          <w:tcPr>
            <w:tcW w:w="2765" w:type="dxa"/>
            <w:shd w:val="clear" w:color="auto" w:fill="FFFFFF"/>
            <w:vAlign w:val="center"/>
          </w:tcPr>
          <w:p w14:paraId="78B2F9E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液压压力机</w:t>
            </w:r>
          </w:p>
        </w:tc>
        <w:tc>
          <w:tcPr>
            <w:tcW w:w="708" w:type="dxa"/>
            <w:shd w:val="clear" w:color="auto" w:fill="FFFFFF"/>
            <w:vAlign w:val="center"/>
          </w:tcPr>
          <w:p w14:paraId="0E693B2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6F291AF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2258" w:type="dxa"/>
            <w:shd w:val="clear" w:color="auto" w:fill="FFFFFF"/>
            <w:vAlign w:val="center"/>
          </w:tcPr>
          <w:p w14:paraId="05B3D71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30t</w:t>
            </w:r>
          </w:p>
        </w:tc>
        <w:tc>
          <w:tcPr>
            <w:tcW w:w="825" w:type="dxa"/>
            <w:shd w:val="clear" w:color="auto" w:fill="FFFFFF"/>
            <w:vAlign w:val="center"/>
          </w:tcPr>
          <w:p w14:paraId="7EE330A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浙江</w:t>
            </w:r>
          </w:p>
        </w:tc>
      </w:tr>
      <w:tr w14:paraId="2B73F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346FA3C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17</w:t>
            </w:r>
          </w:p>
        </w:tc>
        <w:tc>
          <w:tcPr>
            <w:tcW w:w="2765" w:type="dxa"/>
            <w:shd w:val="clear" w:color="auto" w:fill="FFFFFF"/>
            <w:vAlign w:val="center"/>
          </w:tcPr>
          <w:p w14:paraId="059038D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低温三效蒸发器</w:t>
            </w:r>
          </w:p>
        </w:tc>
        <w:tc>
          <w:tcPr>
            <w:tcW w:w="708" w:type="dxa"/>
            <w:shd w:val="clear" w:color="auto" w:fill="FFFFFF"/>
            <w:vAlign w:val="center"/>
          </w:tcPr>
          <w:p w14:paraId="77278A3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4C1B8C3F">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2258" w:type="dxa"/>
            <w:shd w:val="clear" w:color="auto" w:fill="FFFFFF"/>
            <w:vAlign w:val="center"/>
          </w:tcPr>
          <w:p w14:paraId="028CD42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2t/h</w:t>
            </w:r>
          </w:p>
        </w:tc>
        <w:tc>
          <w:tcPr>
            <w:tcW w:w="825" w:type="dxa"/>
            <w:shd w:val="clear" w:color="auto" w:fill="FFFFFF"/>
            <w:vAlign w:val="center"/>
          </w:tcPr>
          <w:p w14:paraId="4D00DCB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浙江</w:t>
            </w:r>
          </w:p>
        </w:tc>
      </w:tr>
      <w:tr w14:paraId="66291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822" w:type="dxa"/>
            <w:shd w:val="clear" w:color="auto" w:fill="FFFFFF"/>
            <w:vAlign w:val="center"/>
          </w:tcPr>
          <w:p w14:paraId="1A3D597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18</w:t>
            </w:r>
          </w:p>
        </w:tc>
        <w:tc>
          <w:tcPr>
            <w:tcW w:w="2765" w:type="dxa"/>
            <w:shd w:val="clear" w:color="auto" w:fill="FFFFFF"/>
            <w:vAlign w:val="center"/>
          </w:tcPr>
          <w:p w14:paraId="2BA7C0E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钟罩炉</w:t>
            </w:r>
          </w:p>
        </w:tc>
        <w:tc>
          <w:tcPr>
            <w:tcW w:w="708" w:type="dxa"/>
            <w:shd w:val="clear" w:color="auto" w:fill="FFFFFF"/>
            <w:vAlign w:val="center"/>
          </w:tcPr>
          <w:p w14:paraId="73874AB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台</w:t>
            </w:r>
          </w:p>
        </w:tc>
        <w:tc>
          <w:tcPr>
            <w:tcW w:w="728" w:type="dxa"/>
            <w:shd w:val="clear" w:color="auto" w:fill="FFFFFF"/>
            <w:vAlign w:val="center"/>
          </w:tcPr>
          <w:p w14:paraId="4DA22FF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2258" w:type="dxa"/>
            <w:shd w:val="clear" w:color="auto" w:fill="FFFFFF"/>
            <w:vAlign w:val="center"/>
          </w:tcPr>
          <w:p w14:paraId="5046251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0~1000℃</w:t>
            </w:r>
          </w:p>
        </w:tc>
        <w:tc>
          <w:tcPr>
            <w:tcW w:w="825" w:type="dxa"/>
            <w:shd w:val="clear" w:color="auto" w:fill="FFFFFF"/>
            <w:vAlign w:val="center"/>
          </w:tcPr>
          <w:p w14:paraId="711B0FE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浙江</w:t>
            </w:r>
          </w:p>
        </w:tc>
      </w:tr>
    </w:tbl>
    <w:p w14:paraId="31F8C334">
      <w:pPr>
        <w:jc w:val="center"/>
        <w:rPr>
          <w:rFonts w:hint="default" w:ascii="Times New Roman" w:hAnsi="Times New Roman" w:eastAsia="宋体" w:cs="Times New Roman"/>
          <w:b/>
          <w:color w:val="auto"/>
          <w:sz w:val="21"/>
          <w:szCs w:val="18"/>
          <w:highlight w:val="none"/>
          <w:u w:val="none" w:color="auto"/>
          <w:lang w:eastAsia="zh-CN"/>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3.4</w:t>
      </w:r>
      <w:r>
        <w:rPr>
          <w:rFonts w:hint="default" w:ascii="Times New Roman" w:hAnsi="Times New Roman" w:eastAsia="宋体" w:cs="Times New Roman"/>
          <w:b/>
          <w:color w:val="auto"/>
          <w:sz w:val="21"/>
          <w:szCs w:val="18"/>
          <w:highlight w:val="none"/>
          <w:u w:val="none" w:color="auto"/>
        </w:rPr>
        <w:t>-</w:t>
      </w:r>
      <w:r>
        <w:rPr>
          <w:rFonts w:hint="default" w:ascii="Times New Roman" w:hAnsi="Times New Roman" w:eastAsia="宋体" w:cs="Times New Roman"/>
          <w:b/>
          <w:color w:val="auto"/>
          <w:sz w:val="21"/>
          <w:szCs w:val="18"/>
          <w:highlight w:val="none"/>
          <w:u w:val="none" w:color="auto"/>
          <w:lang w:val="en-US" w:eastAsia="zh-CN"/>
        </w:rPr>
        <w:t xml:space="preserve">2 </w:t>
      </w:r>
      <w:r>
        <w:rPr>
          <w:rFonts w:hint="default" w:ascii="Times New Roman" w:hAnsi="Times New Roman" w:eastAsia="宋体" w:cs="Times New Roman"/>
          <w:b/>
          <w:color w:val="auto"/>
          <w:sz w:val="21"/>
          <w:szCs w:val="18"/>
          <w:highlight w:val="none"/>
          <w:u w:val="none" w:color="auto"/>
        </w:rPr>
        <w:t>本项目</w:t>
      </w:r>
      <w:r>
        <w:rPr>
          <w:rFonts w:hint="default" w:ascii="Times New Roman" w:hAnsi="Times New Roman" w:eastAsia="宋体" w:cs="Times New Roman"/>
          <w:b/>
          <w:color w:val="auto"/>
          <w:sz w:val="21"/>
          <w:szCs w:val="18"/>
          <w:highlight w:val="none"/>
          <w:u w:val="none" w:color="auto"/>
          <w:lang w:eastAsia="zh-CN"/>
        </w:rPr>
        <w:t>各生产线镀槽</w:t>
      </w:r>
      <w:r>
        <w:rPr>
          <w:rFonts w:hint="default" w:ascii="Times New Roman" w:hAnsi="Times New Roman" w:eastAsia="宋体" w:cs="Times New Roman"/>
          <w:b/>
          <w:color w:val="auto"/>
          <w:sz w:val="21"/>
          <w:szCs w:val="18"/>
          <w:highlight w:val="none"/>
          <w:u w:val="none" w:color="auto"/>
        </w:rPr>
        <w:t>一览</w:t>
      </w:r>
      <w:r>
        <w:rPr>
          <w:rFonts w:hint="default" w:ascii="Times New Roman" w:hAnsi="Times New Roman" w:eastAsia="宋体" w:cs="Times New Roman"/>
          <w:b/>
          <w:color w:val="auto"/>
          <w:sz w:val="21"/>
          <w:szCs w:val="18"/>
          <w:highlight w:val="none"/>
          <w:u w:val="none" w:color="auto"/>
          <w:lang w:eastAsia="zh-CN"/>
        </w:rPr>
        <w:t>表</w:t>
      </w:r>
    </w:p>
    <w:tbl>
      <w:tblPr>
        <w:tblStyle w:val="22"/>
        <w:tblW w:w="81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13"/>
        <w:gridCol w:w="2274"/>
        <w:gridCol w:w="708"/>
        <w:gridCol w:w="709"/>
        <w:gridCol w:w="19"/>
        <w:gridCol w:w="2258"/>
        <w:gridCol w:w="825"/>
      </w:tblGrid>
      <w:tr w14:paraId="2A814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66F48853">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序号</w:t>
            </w:r>
          </w:p>
        </w:tc>
        <w:tc>
          <w:tcPr>
            <w:tcW w:w="2274" w:type="dxa"/>
            <w:shd w:val="clear" w:color="auto" w:fill="FFFFFF"/>
            <w:vAlign w:val="center"/>
          </w:tcPr>
          <w:p w14:paraId="74562531">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设备名称</w:t>
            </w:r>
          </w:p>
        </w:tc>
        <w:tc>
          <w:tcPr>
            <w:tcW w:w="708" w:type="dxa"/>
            <w:shd w:val="clear" w:color="auto" w:fill="FFFFFF"/>
            <w:vAlign w:val="center"/>
          </w:tcPr>
          <w:p w14:paraId="47C7107F">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单位</w:t>
            </w:r>
          </w:p>
        </w:tc>
        <w:tc>
          <w:tcPr>
            <w:tcW w:w="728" w:type="dxa"/>
            <w:gridSpan w:val="2"/>
            <w:shd w:val="clear" w:color="auto" w:fill="FFFFFF"/>
            <w:vAlign w:val="center"/>
          </w:tcPr>
          <w:p w14:paraId="0811EE7A">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数量</w:t>
            </w:r>
          </w:p>
        </w:tc>
        <w:tc>
          <w:tcPr>
            <w:tcW w:w="2258" w:type="dxa"/>
            <w:shd w:val="clear" w:color="auto" w:fill="FFFFFF"/>
            <w:vAlign w:val="center"/>
          </w:tcPr>
          <w:p w14:paraId="5EACFF6F">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型号/规格</w:t>
            </w:r>
          </w:p>
        </w:tc>
        <w:tc>
          <w:tcPr>
            <w:tcW w:w="825" w:type="dxa"/>
            <w:shd w:val="clear" w:color="auto" w:fill="FFFFFF"/>
            <w:vAlign w:val="center"/>
          </w:tcPr>
          <w:p w14:paraId="3C6458FB">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产地</w:t>
            </w:r>
          </w:p>
        </w:tc>
      </w:tr>
      <w:tr w14:paraId="58BC6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BCD53A8">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一</w:t>
            </w:r>
          </w:p>
        </w:tc>
        <w:tc>
          <w:tcPr>
            <w:tcW w:w="6793" w:type="dxa"/>
            <w:gridSpan w:val="6"/>
            <w:shd w:val="clear" w:color="auto" w:fill="FFFFFF"/>
            <w:vAlign w:val="center"/>
          </w:tcPr>
          <w:p w14:paraId="250BF8F1">
            <w:pPr>
              <w:pStyle w:val="56"/>
              <w:jc w:val="both"/>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金刚石划片刀生产线镀槽明细</w:t>
            </w:r>
          </w:p>
        </w:tc>
      </w:tr>
      <w:tr w14:paraId="76973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D08082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w:t>
            </w:r>
          </w:p>
        </w:tc>
        <w:tc>
          <w:tcPr>
            <w:tcW w:w="2274" w:type="dxa"/>
            <w:shd w:val="clear" w:color="auto" w:fill="FFFFFF"/>
            <w:vAlign w:val="center"/>
          </w:tcPr>
          <w:p w14:paraId="09CBEF8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超声波除油槽</w:t>
            </w:r>
          </w:p>
        </w:tc>
        <w:tc>
          <w:tcPr>
            <w:tcW w:w="708" w:type="dxa"/>
            <w:shd w:val="clear" w:color="auto" w:fill="FFFFFF"/>
            <w:vAlign w:val="center"/>
          </w:tcPr>
          <w:p w14:paraId="2FF4146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34415A1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0B83172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450*500*450</w:t>
            </w:r>
          </w:p>
        </w:tc>
        <w:tc>
          <w:tcPr>
            <w:tcW w:w="825" w:type="dxa"/>
            <w:shd w:val="clear" w:color="auto" w:fill="FFFFFF"/>
            <w:vAlign w:val="center"/>
          </w:tcPr>
          <w:p w14:paraId="320E027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10691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0E37C9B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p>
        </w:tc>
        <w:tc>
          <w:tcPr>
            <w:tcW w:w="2274" w:type="dxa"/>
            <w:shd w:val="clear" w:color="auto" w:fill="FFFFFF"/>
            <w:vAlign w:val="center"/>
          </w:tcPr>
          <w:p w14:paraId="591BFD4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碱蚀槽</w:t>
            </w:r>
          </w:p>
        </w:tc>
        <w:tc>
          <w:tcPr>
            <w:tcW w:w="708" w:type="dxa"/>
            <w:shd w:val="clear" w:color="auto" w:fill="FFFFFF"/>
            <w:vAlign w:val="center"/>
          </w:tcPr>
          <w:p w14:paraId="71FC718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700D836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625A0D9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450*500*450</w:t>
            </w:r>
          </w:p>
        </w:tc>
        <w:tc>
          <w:tcPr>
            <w:tcW w:w="825" w:type="dxa"/>
            <w:shd w:val="clear" w:color="auto" w:fill="FFFFFF"/>
            <w:vAlign w:val="center"/>
          </w:tcPr>
          <w:p w14:paraId="389014D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1141E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FDB6C7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3</w:t>
            </w:r>
          </w:p>
        </w:tc>
        <w:tc>
          <w:tcPr>
            <w:tcW w:w="2274" w:type="dxa"/>
            <w:shd w:val="clear" w:color="auto" w:fill="FFFFFF"/>
            <w:vAlign w:val="center"/>
          </w:tcPr>
          <w:p w14:paraId="6C350E2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出光槽</w:t>
            </w:r>
          </w:p>
        </w:tc>
        <w:tc>
          <w:tcPr>
            <w:tcW w:w="708" w:type="dxa"/>
            <w:shd w:val="clear" w:color="auto" w:fill="FFFFFF"/>
            <w:vAlign w:val="center"/>
          </w:tcPr>
          <w:p w14:paraId="1B9E097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1DEDFCD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5607F1B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450*500*450</w:t>
            </w:r>
          </w:p>
        </w:tc>
        <w:tc>
          <w:tcPr>
            <w:tcW w:w="825" w:type="dxa"/>
            <w:shd w:val="clear" w:color="auto" w:fill="FFFFFF"/>
            <w:vAlign w:val="center"/>
          </w:tcPr>
          <w:p w14:paraId="32DE1AB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44FC8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13BAB21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w:t>
            </w:r>
          </w:p>
        </w:tc>
        <w:tc>
          <w:tcPr>
            <w:tcW w:w="2274" w:type="dxa"/>
            <w:shd w:val="clear" w:color="auto" w:fill="FFFFFF"/>
            <w:vAlign w:val="center"/>
          </w:tcPr>
          <w:p w14:paraId="2934832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浸锌镍槽</w:t>
            </w:r>
          </w:p>
        </w:tc>
        <w:tc>
          <w:tcPr>
            <w:tcW w:w="708" w:type="dxa"/>
            <w:shd w:val="clear" w:color="auto" w:fill="FFFFFF"/>
            <w:vAlign w:val="center"/>
          </w:tcPr>
          <w:p w14:paraId="69CF4BC7">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5B4FF059">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30</w:t>
            </w:r>
          </w:p>
        </w:tc>
        <w:tc>
          <w:tcPr>
            <w:tcW w:w="2258" w:type="dxa"/>
            <w:shd w:val="clear" w:color="auto" w:fill="FFFFFF"/>
            <w:vAlign w:val="center"/>
          </w:tcPr>
          <w:p w14:paraId="20C5D8A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450*500*450</w:t>
            </w:r>
          </w:p>
        </w:tc>
        <w:tc>
          <w:tcPr>
            <w:tcW w:w="825" w:type="dxa"/>
            <w:shd w:val="clear" w:color="auto" w:fill="FFFFFF"/>
            <w:vAlign w:val="center"/>
          </w:tcPr>
          <w:p w14:paraId="65ACF48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7C2C0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6D68D60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2274" w:type="dxa"/>
            <w:shd w:val="clear" w:color="auto" w:fill="FFFFFF"/>
            <w:vAlign w:val="center"/>
          </w:tcPr>
          <w:p w14:paraId="15F5AE9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除油三联水洗槽</w:t>
            </w:r>
          </w:p>
        </w:tc>
        <w:tc>
          <w:tcPr>
            <w:tcW w:w="708" w:type="dxa"/>
            <w:shd w:val="clear" w:color="auto" w:fill="FFFFFF"/>
            <w:vAlign w:val="center"/>
          </w:tcPr>
          <w:p w14:paraId="674BCDD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02CA35E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w:t>
            </w:r>
          </w:p>
        </w:tc>
        <w:tc>
          <w:tcPr>
            <w:tcW w:w="2258" w:type="dxa"/>
            <w:shd w:val="clear" w:color="auto" w:fill="FFFFFF"/>
            <w:vAlign w:val="center"/>
          </w:tcPr>
          <w:p w14:paraId="743051B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1350*500*450</w:t>
            </w:r>
          </w:p>
        </w:tc>
        <w:tc>
          <w:tcPr>
            <w:tcW w:w="825" w:type="dxa"/>
            <w:shd w:val="clear" w:color="auto" w:fill="FFFFFF"/>
            <w:vAlign w:val="center"/>
          </w:tcPr>
          <w:p w14:paraId="60A959A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20CCE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40D210E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w:t>
            </w:r>
          </w:p>
        </w:tc>
        <w:tc>
          <w:tcPr>
            <w:tcW w:w="2274" w:type="dxa"/>
            <w:shd w:val="clear" w:color="auto" w:fill="FFFFFF"/>
            <w:vAlign w:val="center"/>
          </w:tcPr>
          <w:p w14:paraId="2FE7985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镀砂后水洗槽</w:t>
            </w:r>
          </w:p>
        </w:tc>
        <w:tc>
          <w:tcPr>
            <w:tcW w:w="708" w:type="dxa"/>
            <w:shd w:val="clear" w:color="auto" w:fill="FFFFFF"/>
            <w:vAlign w:val="center"/>
          </w:tcPr>
          <w:p w14:paraId="65BD8199">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7FED002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28C34BF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450*500*450</w:t>
            </w:r>
          </w:p>
        </w:tc>
        <w:tc>
          <w:tcPr>
            <w:tcW w:w="825" w:type="dxa"/>
            <w:shd w:val="clear" w:color="auto" w:fill="FFFFFF"/>
            <w:vAlign w:val="center"/>
          </w:tcPr>
          <w:p w14:paraId="6B2BB9F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0B0C5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1709BB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w:t>
            </w:r>
          </w:p>
        </w:tc>
        <w:tc>
          <w:tcPr>
            <w:tcW w:w="2274" w:type="dxa"/>
            <w:shd w:val="clear" w:color="auto" w:fill="FFFFFF"/>
            <w:vAlign w:val="center"/>
          </w:tcPr>
          <w:p w14:paraId="397B978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镀砂槽</w:t>
            </w:r>
          </w:p>
        </w:tc>
        <w:tc>
          <w:tcPr>
            <w:tcW w:w="708" w:type="dxa"/>
            <w:shd w:val="clear" w:color="auto" w:fill="FFFFFF"/>
            <w:vAlign w:val="center"/>
          </w:tcPr>
          <w:p w14:paraId="26A9CDD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4E0BE1C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lang w:val="en-US" w:eastAsia="zh-CN"/>
              </w:rPr>
              <w:t>80</w:t>
            </w:r>
          </w:p>
        </w:tc>
        <w:tc>
          <w:tcPr>
            <w:tcW w:w="2258" w:type="dxa"/>
            <w:shd w:val="clear" w:color="auto" w:fill="FFFFFF"/>
            <w:vAlign w:val="center"/>
          </w:tcPr>
          <w:p w14:paraId="4D6F2EB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450*500*450</w:t>
            </w:r>
          </w:p>
        </w:tc>
        <w:tc>
          <w:tcPr>
            <w:tcW w:w="825" w:type="dxa"/>
            <w:shd w:val="clear" w:color="auto" w:fill="FFFFFF"/>
            <w:vAlign w:val="center"/>
          </w:tcPr>
          <w:p w14:paraId="3AF6103F">
            <w:pPr>
              <w:spacing w:line="240" w:lineRule="auto"/>
              <w:ind w:firstLine="105" w:firstLineChars="50"/>
              <w:jc w:val="both"/>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2A8C5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CAEB29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8</w:t>
            </w:r>
          </w:p>
        </w:tc>
        <w:tc>
          <w:tcPr>
            <w:tcW w:w="2274" w:type="dxa"/>
            <w:shd w:val="clear" w:color="auto" w:fill="FFFFFF"/>
            <w:vAlign w:val="center"/>
          </w:tcPr>
          <w:p w14:paraId="759F3E0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碱蚀三联水洗槽</w:t>
            </w:r>
          </w:p>
        </w:tc>
        <w:tc>
          <w:tcPr>
            <w:tcW w:w="708" w:type="dxa"/>
            <w:shd w:val="clear" w:color="auto" w:fill="FFFFFF"/>
            <w:vAlign w:val="center"/>
          </w:tcPr>
          <w:p w14:paraId="6C558FE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个</w:t>
            </w:r>
          </w:p>
        </w:tc>
        <w:tc>
          <w:tcPr>
            <w:tcW w:w="728" w:type="dxa"/>
            <w:gridSpan w:val="2"/>
            <w:shd w:val="clear" w:color="auto" w:fill="FFFFFF"/>
            <w:vAlign w:val="center"/>
          </w:tcPr>
          <w:p w14:paraId="2251587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12</w:t>
            </w:r>
          </w:p>
        </w:tc>
        <w:tc>
          <w:tcPr>
            <w:tcW w:w="2258" w:type="dxa"/>
            <w:shd w:val="clear" w:color="auto" w:fill="FFFFFF"/>
            <w:vAlign w:val="center"/>
          </w:tcPr>
          <w:p w14:paraId="394AA9E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1350*500*450</w:t>
            </w:r>
          </w:p>
        </w:tc>
        <w:tc>
          <w:tcPr>
            <w:tcW w:w="825" w:type="dxa"/>
            <w:shd w:val="clear" w:color="auto" w:fill="FFFFFF"/>
            <w:vAlign w:val="center"/>
          </w:tcPr>
          <w:p w14:paraId="6822EEA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20E86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1BF6F833">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9</w:t>
            </w:r>
          </w:p>
        </w:tc>
        <w:tc>
          <w:tcPr>
            <w:tcW w:w="2274" w:type="dxa"/>
            <w:shd w:val="clear" w:color="auto" w:fill="FFFFFF"/>
            <w:vAlign w:val="center"/>
          </w:tcPr>
          <w:p w14:paraId="0F0D9C8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出光三联水洗槽</w:t>
            </w:r>
          </w:p>
        </w:tc>
        <w:tc>
          <w:tcPr>
            <w:tcW w:w="708" w:type="dxa"/>
            <w:shd w:val="clear" w:color="auto" w:fill="FFFFFF"/>
            <w:vAlign w:val="center"/>
          </w:tcPr>
          <w:p w14:paraId="2868342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个</w:t>
            </w:r>
          </w:p>
        </w:tc>
        <w:tc>
          <w:tcPr>
            <w:tcW w:w="728" w:type="dxa"/>
            <w:gridSpan w:val="2"/>
            <w:shd w:val="clear" w:color="auto" w:fill="FFFFFF"/>
            <w:vAlign w:val="center"/>
          </w:tcPr>
          <w:p w14:paraId="6DFCC36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12</w:t>
            </w:r>
          </w:p>
        </w:tc>
        <w:tc>
          <w:tcPr>
            <w:tcW w:w="2258" w:type="dxa"/>
            <w:shd w:val="clear" w:color="auto" w:fill="FFFFFF"/>
            <w:vAlign w:val="center"/>
          </w:tcPr>
          <w:p w14:paraId="519CCE7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1350*500*450</w:t>
            </w:r>
          </w:p>
        </w:tc>
        <w:tc>
          <w:tcPr>
            <w:tcW w:w="825" w:type="dxa"/>
            <w:shd w:val="clear" w:color="auto" w:fill="FFFFFF"/>
            <w:vAlign w:val="center"/>
          </w:tcPr>
          <w:p w14:paraId="2C22957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54852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2356322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c>
          <w:tcPr>
            <w:tcW w:w="2274" w:type="dxa"/>
            <w:shd w:val="clear" w:color="auto" w:fill="FFFFFF"/>
            <w:vAlign w:val="center"/>
          </w:tcPr>
          <w:p w14:paraId="0D206502">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浸锌镍三联水洗槽</w:t>
            </w:r>
          </w:p>
        </w:tc>
        <w:tc>
          <w:tcPr>
            <w:tcW w:w="708" w:type="dxa"/>
            <w:shd w:val="clear" w:color="auto" w:fill="FFFFFF"/>
            <w:vAlign w:val="center"/>
          </w:tcPr>
          <w:p w14:paraId="4D39EF41">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个</w:t>
            </w:r>
          </w:p>
        </w:tc>
        <w:tc>
          <w:tcPr>
            <w:tcW w:w="728" w:type="dxa"/>
            <w:gridSpan w:val="2"/>
            <w:shd w:val="clear" w:color="auto" w:fill="FFFFFF"/>
            <w:vAlign w:val="center"/>
          </w:tcPr>
          <w:p w14:paraId="40639A3A">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12</w:t>
            </w:r>
          </w:p>
        </w:tc>
        <w:tc>
          <w:tcPr>
            <w:tcW w:w="2258" w:type="dxa"/>
            <w:shd w:val="clear" w:color="auto" w:fill="FFFFFF"/>
            <w:vAlign w:val="center"/>
          </w:tcPr>
          <w:p w14:paraId="47F8A2AC">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1350*500*450</w:t>
            </w:r>
          </w:p>
        </w:tc>
        <w:tc>
          <w:tcPr>
            <w:tcW w:w="825" w:type="dxa"/>
            <w:shd w:val="clear" w:color="auto" w:fill="FFFFFF"/>
            <w:vAlign w:val="center"/>
          </w:tcPr>
          <w:p w14:paraId="0E3B0291">
            <w:pPr>
              <w:spacing w:line="240" w:lineRule="auto"/>
              <w:jc w:val="center"/>
              <w:rPr>
                <w:rFonts w:hint="default" w:ascii="Times New Roman" w:hAnsi="Times New Roman" w:eastAsia="仿宋_GB2312"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浙江</w:t>
            </w:r>
          </w:p>
        </w:tc>
      </w:tr>
      <w:tr w14:paraId="2B51B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00A2184">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11</w:t>
            </w:r>
          </w:p>
        </w:tc>
        <w:tc>
          <w:tcPr>
            <w:tcW w:w="2274" w:type="dxa"/>
            <w:shd w:val="clear" w:color="auto" w:fill="FFFFFF"/>
            <w:vAlign w:val="center"/>
          </w:tcPr>
          <w:p w14:paraId="125068B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镀砂槽</w:t>
            </w:r>
          </w:p>
        </w:tc>
        <w:tc>
          <w:tcPr>
            <w:tcW w:w="708" w:type="dxa"/>
            <w:shd w:val="clear" w:color="auto" w:fill="FFFFFF"/>
            <w:vAlign w:val="center"/>
          </w:tcPr>
          <w:p w14:paraId="6AB5DFF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0064C3E3">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w:t>
            </w:r>
          </w:p>
        </w:tc>
        <w:tc>
          <w:tcPr>
            <w:tcW w:w="2258" w:type="dxa"/>
            <w:shd w:val="clear" w:color="auto" w:fill="FFFFFF"/>
            <w:vAlign w:val="center"/>
          </w:tcPr>
          <w:p w14:paraId="617D084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Φ400*250</w:t>
            </w:r>
          </w:p>
        </w:tc>
        <w:tc>
          <w:tcPr>
            <w:tcW w:w="825" w:type="dxa"/>
            <w:shd w:val="clear" w:color="auto" w:fill="FFFFFF"/>
            <w:vAlign w:val="center"/>
          </w:tcPr>
          <w:p w14:paraId="6DC801C4">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207C1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26697B9B">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二</w:t>
            </w:r>
          </w:p>
        </w:tc>
        <w:tc>
          <w:tcPr>
            <w:tcW w:w="6793" w:type="dxa"/>
            <w:gridSpan w:val="6"/>
            <w:shd w:val="clear" w:color="auto" w:fill="FFFFFF"/>
            <w:vAlign w:val="center"/>
          </w:tcPr>
          <w:p w14:paraId="5DE210D6">
            <w:pPr>
              <w:pStyle w:val="56"/>
              <w:jc w:val="both"/>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超硬材料砂轮生产线</w:t>
            </w:r>
            <w:r>
              <w:rPr>
                <w:rFonts w:hint="default" w:ascii="Times New Roman" w:hAnsi="Times New Roman" w:eastAsia="宋体" w:cs="Times New Roman"/>
                <w:b/>
                <w:bCs/>
                <w:color w:val="auto"/>
                <w:kern w:val="2"/>
                <w:sz w:val="21"/>
                <w:szCs w:val="21"/>
                <w:highlight w:val="none"/>
                <w:u w:val="none" w:color="auto"/>
                <w:lang w:val="en-US" w:eastAsia="zh-CN" w:bidi="ar-SA"/>
              </w:rPr>
              <w:t>镀超硬材料</w:t>
            </w:r>
            <w:r>
              <w:rPr>
                <w:rFonts w:hint="eastAsia" w:ascii="Times New Roman" w:hAnsi="Times New Roman" w:cs="Times New Roman"/>
                <w:b/>
                <w:bCs/>
                <w:color w:val="auto"/>
                <w:kern w:val="2"/>
                <w:sz w:val="21"/>
                <w:szCs w:val="21"/>
                <w:highlight w:val="none"/>
                <w:u w:val="none" w:color="auto"/>
                <w:lang w:val="en-US" w:eastAsia="zh-CN" w:bidi="ar-SA"/>
              </w:rPr>
              <w:t>工序</w:t>
            </w:r>
            <w:r>
              <w:rPr>
                <w:rFonts w:hint="default" w:ascii="Times New Roman" w:hAnsi="Times New Roman" w:eastAsia="宋体" w:cs="Times New Roman"/>
                <w:b/>
                <w:bCs/>
                <w:color w:val="auto"/>
                <w:kern w:val="2"/>
                <w:sz w:val="21"/>
                <w:szCs w:val="21"/>
                <w:highlight w:val="none"/>
                <w:u w:val="none" w:color="auto"/>
                <w:lang w:val="en-US" w:eastAsia="zh-CN" w:bidi="ar-SA"/>
              </w:rPr>
              <w:t>渡槽明细</w:t>
            </w:r>
          </w:p>
        </w:tc>
      </w:tr>
      <w:tr w14:paraId="5A8DD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BD6576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w:t>
            </w:r>
          </w:p>
        </w:tc>
        <w:tc>
          <w:tcPr>
            <w:tcW w:w="2274" w:type="dxa"/>
            <w:shd w:val="clear" w:color="auto" w:fill="FFFFFF"/>
            <w:vAlign w:val="center"/>
          </w:tcPr>
          <w:p w14:paraId="0B9124C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超声波除油槽</w:t>
            </w:r>
          </w:p>
        </w:tc>
        <w:tc>
          <w:tcPr>
            <w:tcW w:w="708" w:type="dxa"/>
            <w:shd w:val="clear" w:color="auto" w:fill="FFFFFF"/>
            <w:vAlign w:val="center"/>
          </w:tcPr>
          <w:p w14:paraId="19E1E88C">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17A6437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78543ADC">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480*500*500</w:t>
            </w:r>
          </w:p>
        </w:tc>
        <w:tc>
          <w:tcPr>
            <w:tcW w:w="825" w:type="dxa"/>
            <w:shd w:val="clear" w:color="auto" w:fill="FFFFFF"/>
            <w:vAlign w:val="center"/>
          </w:tcPr>
          <w:p w14:paraId="0999CF2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10854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766C32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p>
        </w:tc>
        <w:tc>
          <w:tcPr>
            <w:tcW w:w="2274" w:type="dxa"/>
            <w:shd w:val="clear" w:color="auto" w:fill="FFFFFF"/>
            <w:vAlign w:val="center"/>
          </w:tcPr>
          <w:p w14:paraId="794EC8D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708" w:type="dxa"/>
            <w:shd w:val="clear" w:color="auto" w:fill="FFFFFF"/>
            <w:vAlign w:val="center"/>
          </w:tcPr>
          <w:p w14:paraId="28E2DB7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1AF8D1A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2C00A01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480*500*500</w:t>
            </w:r>
          </w:p>
        </w:tc>
        <w:tc>
          <w:tcPr>
            <w:tcW w:w="825" w:type="dxa"/>
            <w:shd w:val="clear" w:color="auto" w:fill="FFFFFF"/>
            <w:vAlign w:val="center"/>
          </w:tcPr>
          <w:p w14:paraId="4EA1D149">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2C2EB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06CC992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3</w:t>
            </w:r>
          </w:p>
        </w:tc>
        <w:tc>
          <w:tcPr>
            <w:tcW w:w="2274" w:type="dxa"/>
            <w:shd w:val="clear" w:color="auto" w:fill="FFFFFF"/>
            <w:vAlign w:val="center"/>
          </w:tcPr>
          <w:p w14:paraId="6AA8CB2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活化后三联水洗槽</w:t>
            </w:r>
          </w:p>
        </w:tc>
        <w:tc>
          <w:tcPr>
            <w:tcW w:w="708" w:type="dxa"/>
            <w:shd w:val="clear" w:color="auto" w:fill="FFFFFF"/>
            <w:vAlign w:val="center"/>
          </w:tcPr>
          <w:p w14:paraId="4B1B2E5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3E0BFC0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3977DC1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1440*500*500</w:t>
            </w:r>
          </w:p>
        </w:tc>
        <w:tc>
          <w:tcPr>
            <w:tcW w:w="825" w:type="dxa"/>
            <w:shd w:val="clear" w:color="auto" w:fill="FFFFFF"/>
            <w:vAlign w:val="center"/>
          </w:tcPr>
          <w:p w14:paraId="2C33C8C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459BD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02D807D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w:t>
            </w:r>
          </w:p>
        </w:tc>
        <w:tc>
          <w:tcPr>
            <w:tcW w:w="2274" w:type="dxa"/>
            <w:shd w:val="clear" w:color="auto" w:fill="FFFFFF"/>
            <w:vAlign w:val="center"/>
          </w:tcPr>
          <w:p w14:paraId="100408A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镀砂后水洗槽</w:t>
            </w:r>
          </w:p>
        </w:tc>
        <w:tc>
          <w:tcPr>
            <w:tcW w:w="708" w:type="dxa"/>
            <w:shd w:val="clear" w:color="auto" w:fill="FFFFFF"/>
            <w:vAlign w:val="center"/>
          </w:tcPr>
          <w:p w14:paraId="0262F43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5F000AB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6DF5D9E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480*500*500</w:t>
            </w:r>
          </w:p>
        </w:tc>
        <w:tc>
          <w:tcPr>
            <w:tcW w:w="825" w:type="dxa"/>
            <w:shd w:val="clear" w:color="auto" w:fill="FFFFFF"/>
            <w:vAlign w:val="center"/>
          </w:tcPr>
          <w:p w14:paraId="7887182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27B94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2990C7C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5</w:t>
            </w:r>
          </w:p>
        </w:tc>
        <w:tc>
          <w:tcPr>
            <w:tcW w:w="2274" w:type="dxa"/>
            <w:shd w:val="clear" w:color="auto" w:fill="FFFFFF"/>
            <w:vAlign w:val="center"/>
          </w:tcPr>
          <w:p w14:paraId="04C32CA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镀砂槽</w:t>
            </w:r>
          </w:p>
        </w:tc>
        <w:tc>
          <w:tcPr>
            <w:tcW w:w="708" w:type="dxa"/>
            <w:shd w:val="clear" w:color="auto" w:fill="FFFFFF"/>
            <w:vAlign w:val="center"/>
          </w:tcPr>
          <w:p w14:paraId="59A221C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2686406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220</w:t>
            </w:r>
          </w:p>
        </w:tc>
        <w:tc>
          <w:tcPr>
            <w:tcW w:w="2258" w:type="dxa"/>
            <w:shd w:val="clear" w:color="auto" w:fill="FFFFFF"/>
            <w:vAlign w:val="center"/>
          </w:tcPr>
          <w:p w14:paraId="00CB85B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480*500*500</w:t>
            </w:r>
          </w:p>
        </w:tc>
        <w:tc>
          <w:tcPr>
            <w:tcW w:w="825" w:type="dxa"/>
            <w:shd w:val="clear" w:color="auto" w:fill="FFFFFF"/>
            <w:vAlign w:val="center"/>
          </w:tcPr>
          <w:p w14:paraId="63D9578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05FE2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26A8265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6</w:t>
            </w:r>
          </w:p>
        </w:tc>
        <w:tc>
          <w:tcPr>
            <w:tcW w:w="2274" w:type="dxa"/>
            <w:shd w:val="clear" w:color="auto" w:fill="FFFFFF"/>
            <w:vAlign w:val="center"/>
          </w:tcPr>
          <w:p w14:paraId="60B189D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除油三联水洗槽</w:t>
            </w:r>
          </w:p>
        </w:tc>
        <w:tc>
          <w:tcPr>
            <w:tcW w:w="708" w:type="dxa"/>
            <w:shd w:val="clear" w:color="auto" w:fill="FFFFFF"/>
            <w:vAlign w:val="center"/>
          </w:tcPr>
          <w:p w14:paraId="49760AC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个</w:t>
            </w:r>
          </w:p>
        </w:tc>
        <w:tc>
          <w:tcPr>
            <w:tcW w:w="728" w:type="dxa"/>
            <w:gridSpan w:val="2"/>
            <w:shd w:val="clear" w:color="auto" w:fill="FFFFFF"/>
            <w:vAlign w:val="center"/>
          </w:tcPr>
          <w:p w14:paraId="10D66257">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w:t>
            </w:r>
          </w:p>
        </w:tc>
        <w:tc>
          <w:tcPr>
            <w:tcW w:w="2258" w:type="dxa"/>
            <w:shd w:val="clear" w:color="auto" w:fill="FFFFFF"/>
            <w:vAlign w:val="center"/>
          </w:tcPr>
          <w:p w14:paraId="08FFB43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1440*500*500</w:t>
            </w:r>
          </w:p>
        </w:tc>
        <w:tc>
          <w:tcPr>
            <w:tcW w:w="825" w:type="dxa"/>
            <w:shd w:val="clear" w:color="auto" w:fill="FFFFFF"/>
            <w:vAlign w:val="center"/>
          </w:tcPr>
          <w:p w14:paraId="69E941EC">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浙江</w:t>
            </w:r>
          </w:p>
        </w:tc>
      </w:tr>
      <w:tr w14:paraId="359DF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687D0AB3">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三</w:t>
            </w:r>
          </w:p>
        </w:tc>
        <w:tc>
          <w:tcPr>
            <w:tcW w:w="6793" w:type="dxa"/>
            <w:gridSpan w:val="6"/>
            <w:shd w:val="clear" w:color="auto" w:fill="FFFFFF"/>
            <w:vAlign w:val="center"/>
          </w:tcPr>
          <w:p w14:paraId="76E37547">
            <w:pPr>
              <w:pStyle w:val="56"/>
              <w:jc w:val="both"/>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超硬材料磨头生产线</w:t>
            </w:r>
            <w:r>
              <w:rPr>
                <w:rFonts w:hint="default" w:ascii="Times New Roman" w:hAnsi="Times New Roman" w:eastAsia="宋体" w:cs="Times New Roman"/>
                <w:b/>
                <w:bCs/>
                <w:color w:val="auto"/>
                <w:kern w:val="2"/>
                <w:sz w:val="21"/>
                <w:szCs w:val="21"/>
                <w:highlight w:val="none"/>
                <w:u w:val="none" w:color="auto"/>
                <w:lang w:val="en-US" w:eastAsia="zh-CN" w:bidi="ar-SA"/>
              </w:rPr>
              <w:t>镀超硬材料</w:t>
            </w:r>
            <w:r>
              <w:rPr>
                <w:rFonts w:hint="eastAsia" w:ascii="Times New Roman" w:hAnsi="Times New Roman" w:cs="Times New Roman"/>
                <w:b/>
                <w:bCs/>
                <w:color w:val="auto"/>
                <w:kern w:val="2"/>
                <w:sz w:val="21"/>
                <w:szCs w:val="21"/>
                <w:highlight w:val="none"/>
                <w:u w:val="none" w:color="auto"/>
                <w:lang w:val="en-US" w:eastAsia="zh-CN" w:bidi="ar-SA"/>
              </w:rPr>
              <w:t>工序</w:t>
            </w:r>
            <w:r>
              <w:rPr>
                <w:rFonts w:hint="default" w:ascii="Times New Roman" w:hAnsi="Times New Roman" w:eastAsia="宋体" w:cs="Times New Roman"/>
                <w:b/>
                <w:bCs/>
                <w:color w:val="auto"/>
                <w:kern w:val="2"/>
                <w:sz w:val="21"/>
                <w:szCs w:val="21"/>
                <w:highlight w:val="none"/>
                <w:u w:val="none" w:color="auto"/>
                <w:lang w:val="en-US" w:eastAsia="zh-CN" w:bidi="ar-SA"/>
              </w:rPr>
              <w:t>渡槽明细</w:t>
            </w:r>
          </w:p>
        </w:tc>
      </w:tr>
      <w:tr w14:paraId="768B8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4C03AA8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w:t>
            </w:r>
          </w:p>
        </w:tc>
        <w:tc>
          <w:tcPr>
            <w:tcW w:w="2274" w:type="dxa"/>
            <w:shd w:val="clear" w:color="auto" w:fill="FFFFFF"/>
            <w:vAlign w:val="center"/>
          </w:tcPr>
          <w:p w14:paraId="2F254D69">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超声波除油槽</w:t>
            </w:r>
          </w:p>
        </w:tc>
        <w:tc>
          <w:tcPr>
            <w:tcW w:w="708" w:type="dxa"/>
            <w:shd w:val="clear" w:color="auto" w:fill="FFFFFF"/>
            <w:vAlign w:val="center"/>
          </w:tcPr>
          <w:p w14:paraId="15B8B67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39ACF57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76124B4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400*500*400</w:t>
            </w:r>
          </w:p>
        </w:tc>
        <w:tc>
          <w:tcPr>
            <w:tcW w:w="825" w:type="dxa"/>
            <w:shd w:val="clear" w:color="auto" w:fill="FFFFFF"/>
            <w:vAlign w:val="center"/>
          </w:tcPr>
          <w:p w14:paraId="231B75C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5BCEE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1833A0B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p>
        </w:tc>
        <w:tc>
          <w:tcPr>
            <w:tcW w:w="2274" w:type="dxa"/>
            <w:shd w:val="clear" w:color="auto" w:fill="FFFFFF"/>
            <w:vAlign w:val="center"/>
          </w:tcPr>
          <w:p w14:paraId="1632FB2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708" w:type="dxa"/>
            <w:shd w:val="clear" w:color="auto" w:fill="FFFFFF"/>
            <w:vAlign w:val="center"/>
          </w:tcPr>
          <w:p w14:paraId="50DAF1C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45463B7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2395A42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400*500*400</w:t>
            </w:r>
          </w:p>
        </w:tc>
        <w:tc>
          <w:tcPr>
            <w:tcW w:w="825" w:type="dxa"/>
            <w:shd w:val="clear" w:color="auto" w:fill="FFFFFF"/>
            <w:vAlign w:val="center"/>
          </w:tcPr>
          <w:p w14:paraId="732B6CD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23228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0651933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3</w:t>
            </w:r>
          </w:p>
        </w:tc>
        <w:tc>
          <w:tcPr>
            <w:tcW w:w="2274" w:type="dxa"/>
            <w:shd w:val="clear" w:color="auto" w:fill="FFFFFF"/>
            <w:vAlign w:val="center"/>
          </w:tcPr>
          <w:p w14:paraId="115C7E3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活化后三联水洗槽</w:t>
            </w:r>
          </w:p>
        </w:tc>
        <w:tc>
          <w:tcPr>
            <w:tcW w:w="708" w:type="dxa"/>
            <w:shd w:val="clear" w:color="auto" w:fill="FFFFFF"/>
            <w:vAlign w:val="center"/>
          </w:tcPr>
          <w:p w14:paraId="0C593F3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02D5042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6DB9CCC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1200*500*400</w:t>
            </w:r>
          </w:p>
        </w:tc>
        <w:tc>
          <w:tcPr>
            <w:tcW w:w="825" w:type="dxa"/>
            <w:shd w:val="clear" w:color="auto" w:fill="FFFFFF"/>
            <w:vAlign w:val="center"/>
          </w:tcPr>
          <w:p w14:paraId="76E94323">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19023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073BAAF7">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w:t>
            </w:r>
          </w:p>
        </w:tc>
        <w:tc>
          <w:tcPr>
            <w:tcW w:w="2274" w:type="dxa"/>
            <w:shd w:val="clear" w:color="auto" w:fill="FFFFFF"/>
            <w:vAlign w:val="center"/>
          </w:tcPr>
          <w:p w14:paraId="64981E9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镀砂后水洗槽</w:t>
            </w:r>
          </w:p>
        </w:tc>
        <w:tc>
          <w:tcPr>
            <w:tcW w:w="708" w:type="dxa"/>
            <w:shd w:val="clear" w:color="auto" w:fill="FFFFFF"/>
            <w:vAlign w:val="center"/>
          </w:tcPr>
          <w:p w14:paraId="74798FB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519116F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w:t>
            </w:r>
          </w:p>
        </w:tc>
        <w:tc>
          <w:tcPr>
            <w:tcW w:w="2258" w:type="dxa"/>
            <w:shd w:val="clear" w:color="auto" w:fill="FFFFFF"/>
            <w:vAlign w:val="center"/>
          </w:tcPr>
          <w:p w14:paraId="45C3BB4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400*500*400</w:t>
            </w:r>
          </w:p>
        </w:tc>
        <w:tc>
          <w:tcPr>
            <w:tcW w:w="825" w:type="dxa"/>
            <w:shd w:val="clear" w:color="auto" w:fill="FFFFFF"/>
            <w:vAlign w:val="center"/>
          </w:tcPr>
          <w:p w14:paraId="3007547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5AE40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441FB2C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5</w:t>
            </w:r>
          </w:p>
        </w:tc>
        <w:tc>
          <w:tcPr>
            <w:tcW w:w="2274" w:type="dxa"/>
            <w:shd w:val="clear" w:color="auto" w:fill="FFFFFF"/>
            <w:vAlign w:val="center"/>
          </w:tcPr>
          <w:p w14:paraId="2D7D7F39">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镀砂槽</w:t>
            </w:r>
          </w:p>
        </w:tc>
        <w:tc>
          <w:tcPr>
            <w:tcW w:w="708" w:type="dxa"/>
            <w:shd w:val="clear" w:color="auto" w:fill="FFFFFF"/>
            <w:vAlign w:val="center"/>
          </w:tcPr>
          <w:p w14:paraId="7DB8BBD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443C551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180</w:t>
            </w:r>
          </w:p>
        </w:tc>
        <w:tc>
          <w:tcPr>
            <w:tcW w:w="2258" w:type="dxa"/>
            <w:shd w:val="clear" w:color="auto" w:fill="FFFFFF"/>
            <w:vAlign w:val="center"/>
          </w:tcPr>
          <w:p w14:paraId="7E78255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400*500*400</w:t>
            </w:r>
          </w:p>
        </w:tc>
        <w:tc>
          <w:tcPr>
            <w:tcW w:w="825" w:type="dxa"/>
            <w:shd w:val="clear" w:color="auto" w:fill="FFFFFF"/>
            <w:vAlign w:val="center"/>
          </w:tcPr>
          <w:p w14:paraId="27AC264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413B7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6E42B2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w:t>
            </w:r>
          </w:p>
        </w:tc>
        <w:tc>
          <w:tcPr>
            <w:tcW w:w="2274" w:type="dxa"/>
            <w:shd w:val="clear" w:color="auto" w:fill="FFFFFF"/>
            <w:vAlign w:val="center"/>
          </w:tcPr>
          <w:p w14:paraId="4EF6265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除油三联水洗槽</w:t>
            </w:r>
          </w:p>
        </w:tc>
        <w:tc>
          <w:tcPr>
            <w:tcW w:w="708" w:type="dxa"/>
            <w:shd w:val="clear" w:color="auto" w:fill="FFFFFF"/>
            <w:vAlign w:val="center"/>
          </w:tcPr>
          <w:p w14:paraId="22A109F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个</w:t>
            </w:r>
          </w:p>
        </w:tc>
        <w:tc>
          <w:tcPr>
            <w:tcW w:w="728" w:type="dxa"/>
            <w:gridSpan w:val="2"/>
            <w:shd w:val="clear" w:color="auto" w:fill="FFFFFF"/>
            <w:vAlign w:val="center"/>
          </w:tcPr>
          <w:p w14:paraId="44EBA86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w:t>
            </w:r>
          </w:p>
        </w:tc>
        <w:tc>
          <w:tcPr>
            <w:tcW w:w="2258" w:type="dxa"/>
            <w:shd w:val="clear" w:color="auto" w:fill="FFFFFF"/>
            <w:vAlign w:val="center"/>
          </w:tcPr>
          <w:p w14:paraId="73E4A57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1200*500*400</w:t>
            </w:r>
          </w:p>
        </w:tc>
        <w:tc>
          <w:tcPr>
            <w:tcW w:w="825" w:type="dxa"/>
            <w:shd w:val="clear" w:color="auto" w:fill="FFFFFF"/>
            <w:vAlign w:val="center"/>
          </w:tcPr>
          <w:p w14:paraId="0F268E5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浙江</w:t>
            </w:r>
          </w:p>
        </w:tc>
      </w:tr>
      <w:tr w14:paraId="2BA79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8C3F8A9">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四</w:t>
            </w:r>
          </w:p>
        </w:tc>
        <w:tc>
          <w:tcPr>
            <w:tcW w:w="6793" w:type="dxa"/>
            <w:gridSpan w:val="6"/>
            <w:shd w:val="clear" w:color="auto" w:fill="FFFFFF"/>
            <w:vAlign w:val="center"/>
          </w:tcPr>
          <w:p w14:paraId="149A9EF6">
            <w:pPr>
              <w:pStyle w:val="56"/>
              <w:jc w:val="both"/>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超硬材料套瓦刀及套孔钻生产线</w:t>
            </w:r>
            <w:r>
              <w:rPr>
                <w:rFonts w:hint="default" w:ascii="Times New Roman" w:hAnsi="Times New Roman" w:eastAsia="宋体" w:cs="Times New Roman"/>
                <w:b/>
                <w:bCs/>
                <w:color w:val="auto"/>
                <w:kern w:val="2"/>
                <w:sz w:val="21"/>
                <w:szCs w:val="21"/>
                <w:highlight w:val="none"/>
                <w:u w:val="none" w:color="auto"/>
                <w:lang w:val="en-US" w:eastAsia="zh-CN" w:bidi="ar-SA"/>
              </w:rPr>
              <w:t>镀超硬材料</w:t>
            </w:r>
            <w:r>
              <w:rPr>
                <w:rFonts w:hint="eastAsia" w:ascii="Times New Roman" w:hAnsi="Times New Roman" w:cs="Times New Roman"/>
                <w:b/>
                <w:bCs/>
                <w:color w:val="auto"/>
                <w:kern w:val="2"/>
                <w:sz w:val="21"/>
                <w:szCs w:val="21"/>
                <w:highlight w:val="none"/>
                <w:u w:val="none" w:color="auto"/>
                <w:lang w:val="en-US" w:eastAsia="zh-CN" w:bidi="ar-SA"/>
              </w:rPr>
              <w:t>工序</w:t>
            </w:r>
            <w:r>
              <w:rPr>
                <w:rFonts w:hint="default" w:ascii="Times New Roman" w:hAnsi="Times New Roman" w:eastAsia="宋体" w:cs="Times New Roman"/>
                <w:b/>
                <w:bCs/>
                <w:color w:val="auto"/>
                <w:kern w:val="2"/>
                <w:sz w:val="21"/>
                <w:szCs w:val="21"/>
                <w:highlight w:val="none"/>
                <w:u w:val="none" w:color="auto"/>
                <w:lang w:val="en-US" w:eastAsia="zh-CN" w:bidi="ar-SA"/>
              </w:rPr>
              <w:t>渡槽明细</w:t>
            </w:r>
          </w:p>
        </w:tc>
      </w:tr>
      <w:tr w14:paraId="6F1DC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64FFB82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w:t>
            </w:r>
          </w:p>
        </w:tc>
        <w:tc>
          <w:tcPr>
            <w:tcW w:w="2274" w:type="dxa"/>
            <w:shd w:val="clear" w:color="auto" w:fill="FFFFFF"/>
            <w:vAlign w:val="center"/>
          </w:tcPr>
          <w:p w14:paraId="452759B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超声波除油槽</w:t>
            </w:r>
          </w:p>
        </w:tc>
        <w:tc>
          <w:tcPr>
            <w:tcW w:w="708" w:type="dxa"/>
            <w:shd w:val="clear" w:color="auto" w:fill="FFFFFF"/>
            <w:vAlign w:val="center"/>
          </w:tcPr>
          <w:p w14:paraId="0207409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7433BD3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c>
          <w:tcPr>
            <w:tcW w:w="2258" w:type="dxa"/>
            <w:shd w:val="clear" w:color="auto" w:fill="FFFFFF"/>
            <w:vAlign w:val="center"/>
          </w:tcPr>
          <w:p w14:paraId="2D8132F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400*400*300</w:t>
            </w:r>
          </w:p>
        </w:tc>
        <w:tc>
          <w:tcPr>
            <w:tcW w:w="825" w:type="dxa"/>
            <w:shd w:val="clear" w:color="auto" w:fill="FFFFFF"/>
            <w:vAlign w:val="center"/>
          </w:tcPr>
          <w:p w14:paraId="6B4F598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04A7F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D09D24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p>
        </w:tc>
        <w:tc>
          <w:tcPr>
            <w:tcW w:w="2274" w:type="dxa"/>
            <w:shd w:val="clear" w:color="auto" w:fill="FFFFFF"/>
            <w:vAlign w:val="center"/>
          </w:tcPr>
          <w:p w14:paraId="0877DB1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708" w:type="dxa"/>
            <w:shd w:val="clear" w:color="auto" w:fill="FFFFFF"/>
            <w:vAlign w:val="center"/>
          </w:tcPr>
          <w:p w14:paraId="6965753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7DA3949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c>
          <w:tcPr>
            <w:tcW w:w="2258" w:type="dxa"/>
            <w:shd w:val="clear" w:color="auto" w:fill="FFFFFF"/>
            <w:vAlign w:val="center"/>
          </w:tcPr>
          <w:p w14:paraId="791989A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400*400*300</w:t>
            </w:r>
          </w:p>
        </w:tc>
        <w:tc>
          <w:tcPr>
            <w:tcW w:w="825" w:type="dxa"/>
            <w:shd w:val="clear" w:color="auto" w:fill="FFFFFF"/>
            <w:vAlign w:val="center"/>
          </w:tcPr>
          <w:p w14:paraId="43CCED0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613DB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23AF3B3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3</w:t>
            </w:r>
          </w:p>
        </w:tc>
        <w:tc>
          <w:tcPr>
            <w:tcW w:w="2274" w:type="dxa"/>
            <w:shd w:val="clear" w:color="auto" w:fill="FFFFFF"/>
            <w:vAlign w:val="center"/>
          </w:tcPr>
          <w:p w14:paraId="0708D91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活化后三联水洗槽</w:t>
            </w:r>
          </w:p>
        </w:tc>
        <w:tc>
          <w:tcPr>
            <w:tcW w:w="708" w:type="dxa"/>
            <w:shd w:val="clear" w:color="auto" w:fill="FFFFFF"/>
            <w:vAlign w:val="center"/>
          </w:tcPr>
          <w:p w14:paraId="77BF5BF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0EDCECD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c>
          <w:tcPr>
            <w:tcW w:w="2258" w:type="dxa"/>
            <w:shd w:val="clear" w:color="auto" w:fill="FFFFFF"/>
            <w:vAlign w:val="center"/>
          </w:tcPr>
          <w:p w14:paraId="1CBE3B6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1200*400*300</w:t>
            </w:r>
          </w:p>
        </w:tc>
        <w:tc>
          <w:tcPr>
            <w:tcW w:w="825" w:type="dxa"/>
            <w:shd w:val="clear" w:color="auto" w:fill="FFFFFF"/>
            <w:vAlign w:val="center"/>
          </w:tcPr>
          <w:p w14:paraId="3F6B5C3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06A8E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05AD80C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w:t>
            </w:r>
          </w:p>
        </w:tc>
        <w:tc>
          <w:tcPr>
            <w:tcW w:w="2274" w:type="dxa"/>
            <w:shd w:val="clear" w:color="auto" w:fill="FFFFFF"/>
            <w:vAlign w:val="center"/>
          </w:tcPr>
          <w:p w14:paraId="17BEA95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镀砂槽</w:t>
            </w:r>
          </w:p>
        </w:tc>
        <w:tc>
          <w:tcPr>
            <w:tcW w:w="708" w:type="dxa"/>
            <w:shd w:val="clear" w:color="auto" w:fill="FFFFFF"/>
            <w:vAlign w:val="center"/>
          </w:tcPr>
          <w:p w14:paraId="02A641A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16F0004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w:t>
            </w:r>
          </w:p>
        </w:tc>
        <w:tc>
          <w:tcPr>
            <w:tcW w:w="2258" w:type="dxa"/>
            <w:shd w:val="clear" w:color="auto" w:fill="FFFFFF"/>
            <w:vAlign w:val="center"/>
          </w:tcPr>
          <w:p w14:paraId="77C4571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620*320*450</w:t>
            </w:r>
          </w:p>
        </w:tc>
        <w:tc>
          <w:tcPr>
            <w:tcW w:w="825" w:type="dxa"/>
            <w:shd w:val="clear" w:color="auto" w:fill="FFFFFF"/>
            <w:vAlign w:val="center"/>
          </w:tcPr>
          <w:p w14:paraId="61235EF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29D72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67CD3D3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5</w:t>
            </w:r>
          </w:p>
        </w:tc>
        <w:tc>
          <w:tcPr>
            <w:tcW w:w="2274" w:type="dxa"/>
            <w:shd w:val="clear" w:color="auto" w:fill="FFFFFF"/>
            <w:vAlign w:val="center"/>
          </w:tcPr>
          <w:p w14:paraId="0392A91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镀砂槽</w:t>
            </w:r>
          </w:p>
        </w:tc>
        <w:tc>
          <w:tcPr>
            <w:tcW w:w="708" w:type="dxa"/>
            <w:shd w:val="clear" w:color="auto" w:fill="FFFFFF"/>
            <w:vAlign w:val="center"/>
          </w:tcPr>
          <w:p w14:paraId="5074542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3786FA9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w:t>
            </w:r>
          </w:p>
        </w:tc>
        <w:tc>
          <w:tcPr>
            <w:tcW w:w="2258" w:type="dxa"/>
            <w:shd w:val="clear" w:color="auto" w:fill="FFFFFF"/>
            <w:vAlign w:val="center"/>
          </w:tcPr>
          <w:p w14:paraId="515CD9D1">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620*420*270</w:t>
            </w:r>
          </w:p>
        </w:tc>
        <w:tc>
          <w:tcPr>
            <w:tcW w:w="825" w:type="dxa"/>
            <w:shd w:val="clear" w:color="auto" w:fill="FFFFFF"/>
            <w:vAlign w:val="center"/>
          </w:tcPr>
          <w:p w14:paraId="1235E65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778EF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5A65660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6</w:t>
            </w:r>
          </w:p>
        </w:tc>
        <w:tc>
          <w:tcPr>
            <w:tcW w:w="2274" w:type="dxa"/>
            <w:shd w:val="clear" w:color="auto" w:fill="FFFFFF"/>
            <w:vAlign w:val="center"/>
          </w:tcPr>
          <w:p w14:paraId="767F870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镀砂槽</w:t>
            </w:r>
          </w:p>
        </w:tc>
        <w:tc>
          <w:tcPr>
            <w:tcW w:w="708" w:type="dxa"/>
            <w:shd w:val="clear" w:color="auto" w:fill="FFFFFF"/>
            <w:vAlign w:val="center"/>
          </w:tcPr>
          <w:p w14:paraId="36E9F8E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04943AC3">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c>
          <w:tcPr>
            <w:tcW w:w="2258" w:type="dxa"/>
            <w:shd w:val="clear" w:color="auto" w:fill="FFFFFF"/>
            <w:vAlign w:val="center"/>
          </w:tcPr>
          <w:p w14:paraId="21C55AF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450*450*280</w:t>
            </w:r>
          </w:p>
        </w:tc>
        <w:tc>
          <w:tcPr>
            <w:tcW w:w="825" w:type="dxa"/>
            <w:shd w:val="clear" w:color="auto" w:fill="FFFFFF"/>
            <w:vAlign w:val="center"/>
          </w:tcPr>
          <w:p w14:paraId="1725207B">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7A59F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61E5FB1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7</w:t>
            </w:r>
          </w:p>
        </w:tc>
        <w:tc>
          <w:tcPr>
            <w:tcW w:w="2274" w:type="dxa"/>
            <w:shd w:val="clear" w:color="auto" w:fill="FFFFFF"/>
            <w:vAlign w:val="center"/>
          </w:tcPr>
          <w:p w14:paraId="28B543C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镀砂槽</w:t>
            </w:r>
          </w:p>
        </w:tc>
        <w:tc>
          <w:tcPr>
            <w:tcW w:w="708" w:type="dxa"/>
            <w:shd w:val="clear" w:color="auto" w:fill="FFFFFF"/>
            <w:vAlign w:val="center"/>
          </w:tcPr>
          <w:p w14:paraId="2E31DF92">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396AB489">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c>
          <w:tcPr>
            <w:tcW w:w="2258" w:type="dxa"/>
            <w:shd w:val="clear" w:color="auto" w:fill="FFFFFF"/>
            <w:vAlign w:val="center"/>
          </w:tcPr>
          <w:p w14:paraId="684D684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400*250*250</w:t>
            </w:r>
          </w:p>
        </w:tc>
        <w:tc>
          <w:tcPr>
            <w:tcW w:w="825" w:type="dxa"/>
            <w:shd w:val="clear" w:color="auto" w:fill="FFFFFF"/>
            <w:vAlign w:val="center"/>
          </w:tcPr>
          <w:p w14:paraId="05B7D31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4F642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4961FC39">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8</w:t>
            </w:r>
          </w:p>
        </w:tc>
        <w:tc>
          <w:tcPr>
            <w:tcW w:w="2274" w:type="dxa"/>
            <w:shd w:val="clear" w:color="auto" w:fill="FFFFFF"/>
            <w:vAlign w:val="center"/>
          </w:tcPr>
          <w:p w14:paraId="73312EE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除油后三联水洗槽</w:t>
            </w:r>
          </w:p>
        </w:tc>
        <w:tc>
          <w:tcPr>
            <w:tcW w:w="708" w:type="dxa"/>
            <w:shd w:val="clear" w:color="auto" w:fill="FFFFFF"/>
            <w:vAlign w:val="center"/>
          </w:tcPr>
          <w:p w14:paraId="46F8F66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个</w:t>
            </w:r>
          </w:p>
        </w:tc>
        <w:tc>
          <w:tcPr>
            <w:tcW w:w="728" w:type="dxa"/>
            <w:gridSpan w:val="2"/>
            <w:shd w:val="clear" w:color="auto" w:fill="FFFFFF"/>
            <w:vAlign w:val="center"/>
          </w:tcPr>
          <w:p w14:paraId="7DF8AF0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p>
        </w:tc>
        <w:tc>
          <w:tcPr>
            <w:tcW w:w="2258" w:type="dxa"/>
            <w:shd w:val="clear" w:color="auto" w:fill="FFFFFF"/>
            <w:vAlign w:val="center"/>
          </w:tcPr>
          <w:p w14:paraId="4C3071EA">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1200*400*300</w:t>
            </w:r>
          </w:p>
        </w:tc>
        <w:tc>
          <w:tcPr>
            <w:tcW w:w="825" w:type="dxa"/>
            <w:shd w:val="clear" w:color="auto" w:fill="FFFFFF"/>
            <w:vAlign w:val="center"/>
          </w:tcPr>
          <w:p w14:paraId="3D66138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浙江</w:t>
            </w:r>
          </w:p>
        </w:tc>
      </w:tr>
      <w:tr w14:paraId="19FD3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46AFA12F">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9</w:t>
            </w:r>
          </w:p>
        </w:tc>
        <w:tc>
          <w:tcPr>
            <w:tcW w:w="2274" w:type="dxa"/>
            <w:shd w:val="clear" w:color="auto" w:fill="FFFFFF"/>
            <w:vAlign w:val="center"/>
          </w:tcPr>
          <w:p w14:paraId="00159887">
            <w:pPr>
              <w:spacing w:line="240" w:lineRule="auto"/>
              <w:jc w:val="center"/>
              <w:rPr>
                <w:rFonts w:hint="default" w:ascii="Times New Roman" w:hAnsi="Times New Roman" w:eastAsia="仿宋_GB2312"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镀砂后水洗槽</w:t>
            </w:r>
          </w:p>
        </w:tc>
        <w:tc>
          <w:tcPr>
            <w:tcW w:w="708" w:type="dxa"/>
            <w:shd w:val="clear" w:color="auto" w:fill="FFFFFF"/>
            <w:vAlign w:val="center"/>
          </w:tcPr>
          <w:p w14:paraId="339B9F80">
            <w:pPr>
              <w:spacing w:line="240" w:lineRule="auto"/>
              <w:jc w:val="center"/>
              <w:rPr>
                <w:rFonts w:hint="default" w:ascii="Times New Roman" w:hAnsi="Times New Roman" w:eastAsia="仿宋_GB2312"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个</w:t>
            </w:r>
          </w:p>
        </w:tc>
        <w:tc>
          <w:tcPr>
            <w:tcW w:w="728" w:type="dxa"/>
            <w:gridSpan w:val="2"/>
            <w:shd w:val="clear" w:color="auto" w:fill="FFFFFF"/>
            <w:vAlign w:val="center"/>
          </w:tcPr>
          <w:p w14:paraId="37796B8F">
            <w:pPr>
              <w:spacing w:line="240" w:lineRule="auto"/>
              <w:jc w:val="center"/>
              <w:rPr>
                <w:rFonts w:hint="default" w:ascii="Times New Roman" w:hAnsi="Times New Roman" w:eastAsia="仿宋_GB2312"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10</w:t>
            </w:r>
          </w:p>
        </w:tc>
        <w:tc>
          <w:tcPr>
            <w:tcW w:w="2258" w:type="dxa"/>
            <w:shd w:val="clear" w:color="auto" w:fill="FFFFFF"/>
            <w:vAlign w:val="center"/>
          </w:tcPr>
          <w:p w14:paraId="47462A00">
            <w:pPr>
              <w:spacing w:line="240" w:lineRule="auto"/>
              <w:jc w:val="center"/>
              <w:rPr>
                <w:rFonts w:hint="default" w:ascii="Times New Roman" w:hAnsi="Times New Roman" w:eastAsia="仿宋_GB2312"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3</w:t>
            </w:r>
            <w:r>
              <w:rPr>
                <w:rFonts w:hint="default" w:ascii="Times New Roman" w:hAnsi="Times New Roman" w:eastAsia="宋体" w:cs="Times New Roman"/>
                <w:color w:val="auto"/>
                <w:sz w:val="21"/>
                <w:szCs w:val="21"/>
                <w:highlight w:val="none"/>
                <w:u w:val="none" w:color="auto"/>
              </w:rPr>
              <w:t>00*400*300</w:t>
            </w:r>
          </w:p>
        </w:tc>
        <w:tc>
          <w:tcPr>
            <w:tcW w:w="825" w:type="dxa"/>
            <w:shd w:val="clear" w:color="auto" w:fill="FFFFFF"/>
            <w:vAlign w:val="center"/>
          </w:tcPr>
          <w:p w14:paraId="2F76422F">
            <w:pPr>
              <w:spacing w:line="240" w:lineRule="auto"/>
              <w:jc w:val="center"/>
              <w:rPr>
                <w:rFonts w:hint="default" w:ascii="Times New Roman" w:hAnsi="Times New Roman" w:eastAsia="仿宋_GB2312"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浙江</w:t>
            </w:r>
          </w:p>
        </w:tc>
      </w:tr>
      <w:tr w14:paraId="5A758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5AC504C">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五</w:t>
            </w:r>
          </w:p>
        </w:tc>
        <w:tc>
          <w:tcPr>
            <w:tcW w:w="6793" w:type="dxa"/>
            <w:gridSpan w:val="6"/>
            <w:shd w:val="clear" w:color="auto" w:fill="FFFFFF"/>
            <w:vAlign w:val="center"/>
          </w:tcPr>
          <w:p w14:paraId="5612EAE0">
            <w:pPr>
              <w:pStyle w:val="56"/>
              <w:jc w:val="both"/>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实验室镀槽明细</w:t>
            </w:r>
          </w:p>
        </w:tc>
      </w:tr>
      <w:tr w14:paraId="2D315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EC3783B">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w:t>
            </w:r>
          </w:p>
        </w:tc>
        <w:tc>
          <w:tcPr>
            <w:tcW w:w="2274" w:type="dxa"/>
            <w:shd w:val="clear" w:color="auto" w:fill="FFFFFF"/>
            <w:vAlign w:val="center"/>
          </w:tcPr>
          <w:p w14:paraId="191EF7E8">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超声波除油槽</w:t>
            </w:r>
          </w:p>
        </w:tc>
        <w:tc>
          <w:tcPr>
            <w:tcW w:w="708" w:type="dxa"/>
            <w:shd w:val="clear" w:color="auto" w:fill="FFFFFF"/>
            <w:vAlign w:val="center"/>
          </w:tcPr>
          <w:p w14:paraId="57A88D64">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个</w:t>
            </w:r>
          </w:p>
        </w:tc>
        <w:tc>
          <w:tcPr>
            <w:tcW w:w="709" w:type="dxa"/>
            <w:shd w:val="clear" w:color="auto" w:fill="FFFFFF"/>
            <w:vAlign w:val="center"/>
          </w:tcPr>
          <w:p w14:paraId="60A65F03">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w:t>
            </w:r>
          </w:p>
        </w:tc>
        <w:tc>
          <w:tcPr>
            <w:tcW w:w="2277" w:type="dxa"/>
            <w:gridSpan w:val="2"/>
            <w:shd w:val="clear" w:color="auto" w:fill="FFFFFF"/>
            <w:vAlign w:val="center"/>
          </w:tcPr>
          <w:p w14:paraId="421B10C0">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450*450*450</w:t>
            </w:r>
          </w:p>
        </w:tc>
        <w:tc>
          <w:tcPr>
            <w:tcW w:w="825" w:type="dxa"/>
            <w:shd w:val="clear" w:color="auto" w:fill="FFFFFF"/>
            <w:vAlign w:val="center"/>
          </w:tcPr>
          <w:p w14:paraId="2366AD7B">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浙江</w:t>
            </w:r>
          </w:p>
        </w:tc>
      </w:tr>
      <w:tr w14:paraId="6C351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ABA5D6E">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2</w:t>
            </w:r>
          </w:p>
        </w:tc>
        <w:tc>
          <w:tcPr>
            <w:tcW w:w="2274" w:type="dxa"/>
            <w:shd w:val="clear" w:color="auto" w:fill="FFFFFF"/>
            <w:vAlign w:val="center"/>
          </w:tcPr>
          <w:p w14:paraId="3EF8DCA1">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活化槽</w:t>
            </w:r>
          </w:p>
        </w:tc>
        <w:tc>
          <w:tcPr>
            <w:tcW w:w="708" w:type="dxa"/>
            <w:shd w:val="clear" w:color="auto" w:fill="FFFFFF"/>
            <w:vAlign w:val="center"/>
          </w:tcPr>
          <w:p w14:paraId="27B7E946">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个</w:t>
            </w:r>
          </w:p>
        </w:tc>
        <w:tc>
          <w:tcPr>
            <w:tcW w:w="709" w:type="dxa"/>
            <w:shd w:val="clear" w:color="auto" w:fill="FFFFFF"/>
            <w:vAlign w:val="center"/>
          </w:tcPr>
          <w:p w14:paraId="422E8157">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w:t>
            </w:r>
          </w:p>
        </w:tc>
        <w:tc>
          <w:tcPr>
            <w:tcW w:w="2277" w:type="dxa"/>
            <w:gridSpan w:val="2"/>
            <w:shd w:val="clear" w:color="auto" w:fill="FFFFFF"/>
            <w:vAlign w:val="center"/>
          </w:tcPr>
          <w:p w14:paraId="1918900F">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450*450*450</w:t>
            </w:r>
          </w:p>
        </w:tc>
        <w:tc>
          <w:tcPr>
            <w:tcW w:w="825" w:type="dxa"/>
            <w:shd w:val="clear" w:color="auto" w:fill="FFFFFF"/>
            <w:vAlign w:val="center"/>
          </w:tcPr>
          <w:p w14:paraId="79A2A01E">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浙江</w:t>
            </w:r>
          </w:p>
        </w:tc>
      </w:tr>
      <w:tr w14:paraId="2632E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48963BD9">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3</w:t>
            </w:r>
          </w:p>
        </w:tc>
        <w:tc>
          <w:tcPr>
            <w:tcW w:w="2274" w:type="dxa"/>
            <w:shd w:val="clear" w:color="auto" w:fill="FFFFFF"/>
            <w:vAlign w:val="center"/>
          </w:tcPr>
          <w:p w14:paraId="661598E2">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除油后三联水洗槽</w:t>
            </w:r>
          </w:p>
        </w:tc>
        <w:tc>
          <w:tcPr>
            <w:tcW w:w="708" w:type="dxa"/>
            <w:shd w:val="clear" w:color="auto" w:fill="FFFFFF"/>
            <w:vAlign w:val="center"/>
          </w:tcPr>
          <w:p w14:paraId="02D5EDDF">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个</w:t>
            </w:r>
          </w:p>
        </w:tc>
        <w:tc>
          <w:tcPr>
            <w:tcW w:w="709" w:type="dxa"/>
            <w:shd w:val="clear" w:color="auto" w:fill="FFFFFF"/>
            <w:vAlign w:val="center"/>
          </w:tcPr>
          <w:p w14:paraId="4970AF90">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2</w:t>
            </w:r>
          </w:p>
        </w:tc>
        <w:tc>
          <w:tcPr>
            <w:tcW w:w="2277" w:type="dxa"/>
            <w:gridSpan w:val="2"/>
            <w:shd w:val="clear" w:color="auto" w:fill="FFFFFF"/>
            <w:vAlign w:val="center"/>
          </w:tcPr>
          <w:p w14:paraId="6423F530">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1350*450*450</w:t>
            </w:r>
          </w:p>
        </w:tc>
        <w:tc>
          <w:tcPr>
            <w:tcW w:w="825" w:type="dxa"/>
            <w:shd w:val="clear" w:color="auto" w:fill="FFFFFF"/>
            <w:vAlign w:val="center"/>
          </w:tcPr>
          <w:p w14:paraId="7290C05E">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浙江</w:t>
            </w:r>
          </w:p>
        </w:tc>
      </w:tr>
      <w:tr w14:paraId="36A9C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15FF5AFD">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w:t>
            </w:r>
          </w:p>
        </w:tc>
        <w:tc>
          <w:tcPr>
            <w:tcW w:w="2274" w:type="dxa"/>
            <w:shd w:val="clear" w:color="auto" w:fill="FFFFFF"/>
            <w:vAlign w:val="center"/>
          </w:tcPr>
          <w:p w14:paraId="26022597">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镀砂后水洗槽</w:t>
            </w:r>
          </w:p>
        </w:tc>
        <w:tc>
          <w:tcPr>
            <w:tcW w:w="708" w:type="dxa"/>
            <w:shd w:val="clear" w:color="auto" w:fill="FFFFFF"/>
            <w:vAlign w:val="center"/>
          </w:tcPr>
          <w:p w14:paraId="3440A828">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个</w:t>
            </w:r>
          </w:p>
        </w:tc>
        <w:tc>
          <w:tcPr>
            <w:tcW w:w="709" w:type="dxa"/>
            <w:shd w:val="clear" w:color="auto" w:fill="FFFFFF"/>
            <w:vAlign w:val="center"/>
          </w:tcPr>
          <w:p w14:paraId="6E3B179A">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4</w:t>
            </w:r>
          </w:p>
        </w:tc>
        <w:tc>
          <w:tcPr>
            <w:tcW w:w="2277" w:type="dxa"/>
            <w:gridSpan w:val="2"/>
            <w:shd w:val="clear" w:color="auto" w:fill="FFFFFF"/>
            <w:vAlign w:val="center"/>
          </w:tcPr>
          <w:p w14:paraId="501A4758">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1350*450*450</w:t>
            </w:r>
          </w:p>
        </w:tc>
        <w:tc>
          <w:tcPr>
            <w:tcW w:w="825" w:type="dxa"/>
            <w:shd w:val="clear" w:color="auto" w:fill="FFFFFF"/>
            <w:vAlign w:val="center"/>
          </w:tcPr>
          <w:p w14:paraId="5C46012E">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浙江</w:t>
            </w:r>
          </w:p>
        </w:tc>
      </w:tr>
      <w:tr w14:paraId="41476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535D7773">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5</w:t>
            </w:r>
          </w:p>
        </w:tc>
        <w:tc>
          <w:tcPr>
            <w:tcW w:w="2274" w:type="dxa"/>
            <w:shd w:val="clear" w:color="auto" w:fill="FFFFFF"/>
            <w:vAlign w:val="center"/>
          </w:tcPr>
          <w:p w14:paraId="5F74A50F">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镀砂槽</w:t>
            </w:r>
          </w:p>
        </w:tc>
        <w:tc>
          <w:tcPr>
            <w:tcW w:w="708" w:type="dxa"/>
            <w:shd w:val="clear" w:color="auto" w:fill="FFFFFF"/>
            <w:vAlign w:val="center"/>
          </w:tcPr>
          <w:p w14:paraId="56938599">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个</w:t>
            </w:r>
          </w:p>
        </w:tc>
        <w:tc>
          <w:tcPr>
            <w:tcW w:w="709" w:type="dxa"/>
            <w:shd w:val="clear" w:color="auto" w:fill="FFFFFF"/>
            <w:vAlign w:val="center"/>
          </w:tcPr>
          <w:p w14:paraId="144E057C">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30</w:t>
            </w:r>
          </w:p>
        </w:tc>
        <w:tc>
          <w:tcPr>
            <w:tcW w:w="2277" w:type="dxa"/>
            <w:gridSpan w:val="2"/>
            <w:shd w:val="clear" w:color="auto" w:fill="FFFFFF"/>
            <w:vAlign w:val="center"/>
          </w:tcPr>
          <w:p w14:paraId="536F86DD">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Φ700*200</w:t>
            </w:r>
          </w:p>
        </w:tc>
        <w:tc>
          <w:tcPr>
            <w:tcW w:w="825" w:type="dxa"/>
            <w:shd w:val="clear" w:color="auto" w:fill="FFFFFF"/>
            <w:vAlign w:val="center"/>
          </w:tcPr>
          <w:p w14:paraId="1B4A8496">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浙江</w:t>
            </w:r>
          </w:p>
        </w:tc>
      </w:tr>
      <w:tr w14:paraId="07861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1DE82C86">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6</w:t>
            </w:r>
          </w:p>
        </w:tc>
        <w:tc>
          <w:tcPr>
            <w:tcW w:w="2274" w:type="dxa"/>
            <w:shd w:val="clear" w:color="auto" w:fill="FFFFFF"/>
            <w:vAlign w:val="center"/>
          </w:tcPr>
          <w:p w14:paraId="7B4D4C45">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镀砂槽</w:t>
            </w:r>
          </w:p>
        </w:tc>
        <w:tc>
          <w:tcPr>
            <w:tcW w:w="708" w:type="dxa"/>
            <w:shd w:val="clear" w:color="auto" w:fill="FFFFFF"/>
            <w:vAlign w:val="center"/>
          </w:tcPr>
          <w:p w14:paraId="439BE425">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个</w:t>
            </w:r>
          </w:p>
        </w:tc>
        <w:tc>
          <w:tcPr>
            <w:tcW w:w="709" w:type="dxa"/>
            <w:shd w:val="clear" w:color="auto" w:fill="FFFFFF"/>
            <w:vAlign w:val="center"/>
          </w:tcPr>
          <w:p w14:paraId="62500D8E">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50</w:t>
            </w:r>
          </w:p>
        </w:tc>
        <w:tc>
          <w:tcPr>
            <w:tcW w:w="2277" w:type="dxa"/>
            <w:gridSpan w:val="2"/>
            <w:shd w:val="clear" w:color="auto" w:fill="FFFFFF"/>
            <w:vAlign w:val="center"/>
          </w:tcPr>
          <w:p w14:paraId="2EB57C1D">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Φ400*250</w:t>
            </w:r>
          </w:p>
        </w:tc>
        <w:tc>
          <w:tcPr>
            <w:tcW w:w="825" w:type="dxa"/>
            <w:shd w:val="clear" w:color="auto" w:fill="FFFFFF"/>
            <w:vAlign w:val="center"/>
          </w:tcPr>
          <w:p w14:paraId="0C619EC7">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浙江</w:t>
            </w:r>
          </w:p>
        </w:tc>
      </w:tr>
      <w:tr w14:paraId="60225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DF8015C">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7</w:t>
            </w:r>
          </w:p>
        </w:tc>
        <w:tc>
          <w:tcPr>
            <w:tcW w:w="2274" w:type="dxa"/>
            <w:shd w:val="clear" w:color="auto" w:fill="FFFFFF"/>
            <w:vAlign w:val="center"/>
          </w:tcPr>
          <w:p w14:paraId="4676DA63">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镀砂槽</w:t>
            </w:r>
          </w:p>
        </w:tc>
        <w:tc>
          <w:tcPr>
            <w:tcW w:w="708" w:type="dxa"/>
            <w:shd w:val="clear" w:color="auto" w:fill="FFFFFF"/>
            <w:vAlign w:val="center"/>
          </w:tcPr>
          <w:p w14:paraId="1BD461A4">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个</w:t>
            </w:r>
          </w:p>
        </w:tc>
        <w:tc>
          <w:tcPr>
            <w:tcW w:w="709" w:type="dxa"/>
            <w:shd w:val="clear" w:color="auto" w:fill="FFFFFF"/>
            <w:vAlign w:val="center"/>
          </w:tcPr>
          <w:p w14:paraId="702AE14E">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20</w:t>
            </w:r>
          </w:p>
        </w:tc>
        <w:tc>
          <w:tcPr>
            <w:tcW w:w="2277" w:type="dxa"/>
            <w:gridSpan w:val="2"/>
            <w:shd w:val="clear" w:color="auto" w:fill="FFFFFF"/>
            <w:vAlign w:val="center"/>
          </w:tcPr>
          <w:p w14:paraId="7F7DA660">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600*300*250</w:t>
            </w:r>
          </w:p>
        </w:tc>
        <w:tc>
          <w:tcPr>
            <w:tcW w:w="825" w:type="dxa"/>
            <w:shd w:val="clear" w:color="auto" w:fill="FFFFFF"/>
            <w:vAlign w:val="center"/>
          </w:tcPr>
          <w:p w14:paraId="00FF84AE">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浙江</w:t>
            </w:r>
          </w:p>
        </w:tc>
      </w:tr>
      <w:tr w14:paraId="425F9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618DF688">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8</w:t>
            </w:r>
          </w:p>
        </w:tc>
        <w:tc>
          <w:tcPr>
            <w:tcW w:w="2274" w:type="dxa"/>
            <w:shd w:val="clear" w:color="auto" w:fill="FFFFFF"/>
            <w:vAlign w:val="center"/>
          </w:tcPr>
          <w:p w14:paraId="4820F18E">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活化后三联水洗槽</w:t>
            </w:r>
          </w:p>
        </w:tc>
        <w:tc>
          <w:tcPr>
            <w:tcW w:w="708" w:type="dxa"/>
            <w:shd w:val="clear" w:color="auto" w:fill="FFFFFF"/>
            <w:vAlign w:val="center"/>
          </w:tcPr>
          <w:p w14:paraId="6A420F1C">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个</w:t>
            </w:r>
          </w:p>
        </w:tc>
        <w:tc>
          <w:tcPr>
            <w:tcW w:w="709" w:type="dxa"/>
            <w:shd w:val="clear" w:color="auto" w:fill="FFFFFF"/>
            <w:vAlign w:val="center"/>
          </w:tcPr>
          <w:p w14:paraId="5D516F7D">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2</w:t>
            </w:r>
          </w:p>
        </w:tc>
        <w:tc>
          <w:tcPr>
            <w:tcW w:w="2277" w:type="dxa"/>
            <w:gridSpan w:val="2"/>
            <w:shd w:val="clear" w:color="auto" w:fill="FFFFFF"/>
            <w:vAlign w:val="center"/>
          </w:tcPr>
          <w:p w14:paraId="11D46DE3">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1350*450*450</w:t>
            </w:r>
          </w:p>
        </w:tc>
        <w:tc>
          <w:tcPr>
            <w:tcW w:w="825" w:type="dxa"/>
            <w:shd w:val="clear" w:color="auto" w:fill="FFFFFF"/>
            <w:vAlign w:val="center"/>
          </w:tcPr>
          <w:p w14:paraId="72DCBBEB">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浙江</w:t>
            </w:r>
          </w:p>
        </w:tc>
      </w:tr>
      <w:tr w14:paraId="3A63B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4B63415">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六</w:t>
            </w:r>
          </w:p>
        </w:tc>
        <w:tc>
          <w:tcPr>
            <w:tcW w:w="6793" w:type="dxa"/>
            <w:gridSpan w:val="6"/>
            <w:shd w:val="clear" w:color="auto" w:fill="FFFFFF"/>
            <w:vAlign w:val="center"/>
          </w:tcPr>
          <w:p w14:paraId="27F9A954">
            <w:pPr>
              <w:pStyle w:val="56"/>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退镀区</w:t>
            </w:r>
          </w:p>
        </w:tc>
      </w:tr>
      <w:tr w14:paraId="5D30E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1D241C2C">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w:t>
            </w:r>
          </w:p>
        </w:tc>
        <w:tc>
          <w:tcPr>
            <w:tcW w:w="2274" w:type="dxa"/>
            <w:shd w:val="clear" w:color="auto" w:fill="FFFFFF"/>
            <w:vAlign w:val="center"/>
          </w:tcPr>
          <w:p w14:paraId="2E33EE57">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超声波除油槽</w:t>
            </w:r>
          </w:p>
        </w:tc>
        <w:tc>
          <w:tcPr>
            <w:tcW w:w="708" w:type="dxa"/>
            <w:shd w:val="clear" w:color="auto" w:fill="FFFFFF"/>
            <w:vAlign w:val="center"/>
          </w:tcPr>
          <w:p w14:paraId="111D071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个</w:t>
            </w:r>
          </w:p>
        </w:tc>
        <w:tc>
          <w:tcPr>
            <w:tcW w:w="709" w:type="dxa"/>
            <w:shd w:val="clear" w:color="auto" w:fill="FFFFFF"/>
            <w:vAlign w:val="center"/>
          </w:tcPr>
          <w:p w14:paraId="28A53997">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p>
        </w:tc>
        <w:tc>
          <w:tcPr>
            <w:tcW w:w="2277" w:type="dxa"/>
            <w:gridSpan w:val="2"/>
            <w:shd w:val="clear" w:color="auto" w:fill="FFFFFF"/>
            <w:vAlign w:val="center"/>
          </w:tcPr>
          <w:p w14:paraId="6F50B94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450*450*450</w:t>
            </w:r>
          </w:p>
        </w:tc>
        <w:tc>
          <w:tcPr>
            <w:tcW w:w="825" w:type="dxa"/>
            <w:shd w:val="clear" w:color="auto" w:fill="FFFFFF"/>
            <w:vAlign w:val="center"/>
          </w:tcPr>
          <w:p w14:paraId="7060E13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55589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5C890F1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p>
        </w:tc>
        <w:tc>
          <w:tcPr>
            <w:tcW w:w="2274" w:type="dxa"/>
            <w:shd w:val="clear" w:color="auto" w:fill="FFFFFF"/>
            <w:vAlign w:val="center"/>
          </w:tcPr>
          <w:p w14:paraId="4B21AFB9">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化学退镀槽</w:t>
            </w:r>
          </w:p>
        </w:tc>
        <w:tc>
          <w:tcPr>
            <w:tcW w:w="708" w:type="dxa"/>
            <w:shd w:val="clear" w:color="auto" w:fill="FFFFFF"/>
            <w:vAlign w:val="center"/>
          </w:tcPr>
          <w:p w14:paraId="7F4F0AF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个</w:t>
            </w:r>
          </w:p>
        </w:tc>
        <w:tc>
          <w:tcPr>
            <w:tcW w:w="709" w:type="dxa"/>
            <w:shd w:val="clear" w:color="auto" w:fill="FFFFFF"/>
            <w:vAlign w:val="center"/>
          </w:tcPr>
          <w:p w14:paraId="4D5458E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40</w:t>
            </w:r>
          </w:p>
        </w:tc>
        <w:tc>
          <w:tcPr>
            <w:tcW w:w="2277" w:type="dxa"/>
            <w:gridSpan w:val="2"/>
            <w:shd w:val="clear" w:color="auto" w:fill="FFFFFF"/>
            <w:vAlign w:val="center"/>
          </w:tcPr>
          <w:p w14:paraId="1078B10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450*450*450</w:t>
            </w:r>
          </w:p>
        </w:tc>
        <w:tc>
          <w:tcPr>
            <w:tcW w:w="825" w:type="dxa"/>
            <w:shd w:val="clear" w:color="auto" w:fill="FFFFFF"/>
            <w:vAlign w:val="center"/>
          </w:tcPr>
          <w:p w14:paraId="02DB2317">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3667E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4145B77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3</w:t>
            </w:r>
          </w:p>
        </w:tc>
        <w:tc>
          <w:tcPr>
            <w:tcW w:w="2274" w:type="dxa"/>
            <w:shd w:val="clear" w:color="auto" w:fill="FFFFFF"/>
            <w:vAlign w:val="center"/>
          </w:tcPr>
          <w:p w14:paraId="05EAF647">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电解退镀槽</w:t>
            </w:r>
          </w:p>
        </w:tc>
        <w:tc>
          <w:tcPr>
            <w:tcW w:w="708" w:type="dxa"/>
            <w:shd w:val="clear" w:color="auto" w:fill="FFFFFF"/>
            <w:vAlign w:val="center"/>
          </w:tcPr>
          <w:p w14:paraId="7D39ADAE">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个</w:t>
            </w:r>
          </w:p>
        </w:tc>
        <w:tc>
          <w:tcPr>
            <w:tcW w:w="709" w:type="dxa"/>
            <w:shd w:val="clear" w:color="auto" w:fill="FFFFFF"/>
            <w:vAlign w:val="center"/>
          </w:tcPr>
          <w:p w14:paraId="0541B07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20</w:t>
            </w:r>
          </w:p>
        </w:tc>
        <w:tc>
          <w:tcPr>
            <w:tcW w:w="2277" w:type="dxa"/>
            <w:gridSpan w:val="2"/>
            <w:shd w:val="clear" w:color="auto" w:fill="FFFFFF"/>
            <w:vAlign w:val="center"/>
          </w:tcPr>
          <w:p w14:paraId="4F2DD750">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450*450*450</w:t>
            </w:r>
          </w:p>
        </w:tc>
        <w:tc>
          <w:tcPr>
            <w:tcW w:w="825" w:type="dxa"/>
            <w:shd w:val="clear" w:color="auto" w:fill="FFFFFF"/>
            <w:vAlign w:val="center"/>
          </w:tcPr>
          <w:p w14:paraId="192573BC">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50720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179843A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w:t>
            </w:r>
          </w:p>
        </w:tc>
        <w:tc>
          <w:tcPr>
            <w:tcW w:w="2274" w:type="dxa"/>
            <w:shd w:val="clear" w:color="auto" w:fill="FFFFFF"/>
            <w:vAlign w:val="center"/>
          </w:tcPr>
          <w:p w14:paraId="60369A95">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退镀后三联水洗槽</w:t>
            </w:r>
          </w:p>
        </w:tc>
        <w:tc>
          <w:tcPr>
            <w:tcW w:w="708" w:type="dxa"/>
            <w:shd w:val="clear" w:color="auto" w:fill="FFFFFF"/>
            <w:vAlign w:val="center"/>
          </w:tcPr>
          <w:p w14:paraId="1B7EF27D">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个</w:t>
            </w:r>
          </w:p>
        </w:tc>
        <w:tc>
          <w:tcPr>
            <w:tcW w:w="709" w:type="dxa"/>
            <w:shd w:val="clear" w:color="auto" w:fill="FFFFFF"/>
            <w:vAlign w:val="center"/>
          </w:tcPr>
          <w:p w14:paraId="5ED9B479">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4</w:t>
            </w:r>
          </w:p>
        </w:tc>
        <w:tc>
          <w:tcPr>
            <w:tcW w:w="2277" w:type="dxa"/>
            <w:gridSpan w:val="2"/>
            <w:shd w:val="clear" w:color="auto" w:fill="FFFFFF"/>
            <w:vAlign w:val="center"/>
          </w:tcPr>
          <w:p w14:paraId="4CE8C56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1350*450*450</w:t>
            </w:r>
          </w:p>
        </w:tc>
        <w:tc>
          <w:tcPr>
            <w:tcW w:w="825" w:type="dxa"/>
            <w:shd w:val="clear" w:color="auto" w:fill="FFFFFF"/>
            <w:vAlign w:val="center"/>
          </w:tcPr>
          <w:p w14:paraId="4D1EFD3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1D47B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5E2D9D8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5</w:t>
            </w:r>
          </w:p>
        </w:tc>
        <w:tc>
          <w:tcPr>
            <w:tcW w:w="2274" w:type="dxa"/>
            <w:shd w:val="clear" w:color="auto" w:fill="FFFFFF"/>
            <w:vAlign w:val="center"/>
          </w:tcPr>
          <w:p w14:paraId="719A468F">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除油三联水洗槽</w:t>
            </w:r>
          </w:p>
        </w:tc>
        <w:tc>
          <w:tcPr>
            <w:tcW w:w="708" w:type="dxa"/>
            <w:shd w:val="clear" w:color="auto" w:fill="FFFFFF"/>
            <w:vAlign w:val="center"/>
          </w:tcPr>
          <w:p w14:paraId="6D9F59F6">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个</w:t>
            </w:r>
          </w:p>
        </w:tc>
        <w:tc>
          <w:tcPr>
            <w:tcW w:w="709" w:type="dxa"/>
            <w:shd w:val="clear" w:color="auto" w:fill="FFFFFF"/>
            <w:vAlign w:val="center"/>
          </w:tcPr>
          <w:p w14:paraId="2D7B1FE8">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p>
        </w:tc>
        <w:tc>
          <w:tcPr>
            <w:tcW w:w="2277" w:type="dxa"/>
            <w:gridSpan w:val="2"/>
            <w:shd w:val="clear" w:color="auto" w:fill="FFFFFF"/>
            <w:vAlign w:val="center"/>
          </w:tcPr>
          <w:p w14:paraId="029F95E7">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1350*450*450</w:t>
            </w:r>
          </w:p>
        </w:tc>
        <w:tc>
          <w:tcPr>
            <w:tcW w:w="825" w:type="dxa"/>
            <w:shd w:val="clear" w:color="auto" w:fill="FFFFFF"/>
            <w:vAlign w:val="center"/>
          </w:tcPr>
          <w:p w14:paraId="32FD6374">
            <w:pPr>
              <w:spacing w:line="240"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浙江</w:t>
            </w:r>
          </w:p>
        </w:tc>
      </w:tr>
      <w:tr w14:paraId="10628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F486C7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七</w:t>
            </w:r>
          </w:p>
        </w:tc>
        <w:tc>
          <w:tcPr>
            <w:tcW w:w="6793" w:type="dxa"/>
            <w:gridSpan w:val="6"/>
            <w:shd w:val="clear" w:color="auto" w:fill="FFFFFF"/>
            <w:vAlign w:val="center"/>
          </w:tcPr>
          <w:p w14:paraId="710FB5F6">
            <w:pPr>
              <w:spacing w:line="240" w:lineRule="auto"/>
              <w:jc w:val="both"/>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超硬材料砂轮、超硬材料磨头、超硬材料套瓦刀及套孔钻生产线</w:t>
            </w:r>
            <w:r>
              <w:rPr>
                <w:rFonts w:hint="default" w:ascii="Times New Roman" w:hAnsi="Times New Roman" w:eastAsia="宋体" w:cs="Times New Roman"/>
                <w:b/>
                <w:bCs/>
                <w:color w:val="auto"/>
                <w:kern w:val="2"/>
                <w:sz w:val="21"/>
                <w:szCs w:val="21"/>
                <w:highlight w:val="none"/>
                <w:u w:val="none" w:color="auto"/>
                <w:lang w:val="en-US" w:eastAsia="zh-CN" w:bidi="ar-SA"/>
              </w:rPr>
              <w:t>装饰镀渡槽明细</w:t>
            </w:r>
          </w:p>
        </w:tc>
      </w:tr>
      <w:tr w14:paraId="6C47B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C03493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2274" w:type="dxa"/>
            <w:shd w:val="clear" w:color="auto" w:fill="FFFFFF"/>
            <w:vAlign w:val="center"/>
          </w:tcPr>
          <w:p w14:paraId="149988B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超声波除油槽</w:t>
            </w:r>
          </w:p>
        </w:tc>
        <w:tc>
          <w:tcPr>
            <w:tcW w:w="708" w:type="dxa"/>
            <w:shd w:val="clear" w:color="auto" w:fill="FFFFFF"/>
            <w:vAlign w:val="center"/>
          </w:tcPr>
          <w:p w14:paraId="2F686E5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个</w:t>
            </w:r>
          </w:p>
        </w:tc>
        <w:tc>
          <w:tcPr>
            <w:tcW w:w="709" w:type="dxa"/>
            <w:shd w:val="clear" w:color="auto" w:fill="FFFFFF"/>
            <w:vAlign w:val="center"/>
          </w:tcPr>
          <w:p w14:paraId="293B5D2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277" w:type="dxa"/>
            <w:gridSpan w:val="2"/>
            <w:shd w:val="clear" w:color="auto" w:fill="FFFFFF"/>
            <w:vAlign w:val="center"/>
          </w:tcPr>
          <w:p w14:paraId="04913CB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300*900*800</w:t>
            </w:r>
          </w:p>
        </w:tc>
        <w:tc>
          <w:tcPr>
            <w:tcW w:w="825" w:type="dxa"/>
            <w:shd w:val="clear" w:color="auto" w:fill="FFFFFF"/>
            <w:vAlign w:val="center"/>
          </w:tcPr>
          <w:p w14:paraId="172020C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浙江</w:t>
            </w:r>
          </w:p>
        </w:tc>
      </w:tr>
      <w:tr w14:paraId="4CB6C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3EF9C90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274" w:type="dxa"/>
            <w:shd w:val="clear" w:color="auto" w:fill="FFFFFF"/>
            <w:vAlign w:val="center"/>
          </w:tcPr>
          <w:p w14:paraId="3951423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除油后三联水洗槽</w:t>
            </w:r>
          </w:p>
        </w:tc>
        <w:tc>
          <w:tcPr>
            <w:tcW w:w="708" w:type="dxa"/>
            <w:shd w:val="clear" w:color="auto" w:fill="FFFFFF"/>
            <w:vAlign w:val="center"/>
          </w:tcPr>
          <w:p w14:paraId="5131EC9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个</w:t>
            </w:r>
          </w:p>
        </w:tc>
        <w:tc>
          <w:tcPr>
            <w:tcW w:w="709" w:type="dxa"/>
            <w:shd w:val="clear" w:color="auto" w:fill="FFFFFF"/>
            <w:vAlign w:val="center"/>
          </w:tcPr>
          <w:p w14:paraId="5E52A32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277" w:type="dxa"/>
            <w:gridSpan w:val="2"/>
            <w:shd w:val="clear" w:color="auto" w:fill="FFFFFF"/>
            <w:vAlign w:val="center"/>
          </w:tcPr>
          <w:p w14:paraId="4C83D9C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900*900*800</w:t>
            </w:r>
          </w:p>
        </w:tc>
        <w:tc>
          <w:tcPr>
            <w:tcW w:w="825" w:type="dxa"/>
            <w:shd w:val="clear" w:color="auto" w:fill="FFFFFF"/>
            <w:vAlign w:val="center"/>
          </w:tcPr>
          <w:p w14:paraId="6A617EA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浙江</w:t>
            </w:r>
          </w:p>
        </w:tc>
      </w:tr>
      <w:tr w14:paraId="67F11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7551534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2274" w:type="dxa"/>
            <w:shd w:val="clear" w:color="auto" w:fill="FFFFFF"/>
            <w:vAlign w:val="center"/>
          </w:tcPr>
          <w:p w14:paraId="6F58EF2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w:t>
            </w:r>
            <w:r>
              <w:rPr>
                <w:rFonts w:hint="default" w:ascii="Times New Roman" w:hAnsi="Times New Roman" w:eastAsia="宋体" w:cs="Times New Roman"/>
                <w:color w:val="auto"/>
                <w:sz w:val="21"/>
                <w:szCs w:val="21"/>
                <w:highlight w:val="none"/>
                <w:u w:val="none" w:color="auto"/>
              </w:rPr>
              <w:t>槽</w:t>
            </w:r>
          </w:p>
        </w:tc>
        <w:tc>
          <w:tcPr>
            <w:tcW w:w="708" w:type="dxa"/>
            <w:shd w:val="clear" w:color="auto" w:fill="FFFFFF"/>
            <w:vAlign w:val="center"/>
          </w:tcPr>
          <w:p w14:paraId="30AACB2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个</w:t>
            </w:r>
          </w:p>
        </w:tc>
        <w:tc>
          <w:tcPr>
            <w:tcW w:w="709" w:type="dxa"/>
            <w:shd w:val="clear" w:color="auto" w:fill="FFFFFF"/>
            <w:vAlign w:val="center"/>
          </w:tcPr>
          <w:p w14:paraId="5507042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277" w:type="dxa"/>
            <w:gridSpan w:val="2"/>
            <w:shd w:val="clear" w:color="auto" w:fill="FFFFFF"/>
            <w:vAlign w:val="center"/>
          </w:tcPr>
          <w:p w14:paraId="1EFEAB1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300*900*800</w:t>
            </w:r>
          </w:p>
        </w:tc>
        <w:tc>
          <w:tcPr>
            <w:tcW w:w="825" w:type="dxa"/>
            <w:shd w:val="clear" w:color="auto" w:fill="FFFFFF"/>
            <w:vAlign w:val="center"/>
          </w:tcPr>
          <w:p w14:paraId="058E9DB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浙江</w:t>
            </w:r>
          </w:p>
        </w:tc>
      </w:tr>
      <w:tr w14:paraId="3CF5B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27A237E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2274" w:type="dxa"/>
            <w:shd w:val="clear" w:color="auto" w:fill="FFFFFF"/>
            <w:vAlign w:val="center"/>
          </w:tcPr>
          <w:p w14:paraId="3BAEB7E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w:t>
            </w:r>
            <w:r>
              <w:rPr>
                <w:rFonts w:hint="eastAsia" w:ascii="Times New Roman" w:hAnsi="Times New Roman" w:eastAsia="宋体" w:cs="Times New Roman"/>
                <w:color w:val="auto"/>
                <w:sz w:val="21"/>
                <w:szCs w:val="21"/>
                <w:highlight w:val="none"/>
                <w:u w:val="none" w:color="auto"/>
                <w:lang w:eastAsia="zh-CN"/>
              </w:rPr>
              <w:t>后</w:t>
            </w:r>
            <w:r>
              <w:rPr>
                <w:rFonts w:hint="default" w:ascii="Times New Roman" w:hAnsi="Times New Roman" w:eastAsia="宋体" w:cs="Times New Roman"/>
                <w:color w:val="auto"/>
                <w:sz w:val="21"/>
                <w:szCs w:val="21"/>
                <w:highlight w:val="none"/>
                <w:u w:val="none" w:color="auto"/>
              </w:rPr>
              <w:t>三联水洗槽</w:t>
            </w:r>
          </w:p>
        </w:tc>
        <w:tc>
          <w:tcPr>
            <w:tcW w:w="708" w:type="dxa"/>
            <w:shd w:val="clear" w:color="auto" w:fill="FFFFFF"/>
            <w:vAlign w:val="center"/>
          </w:tcPr>
          <w:p w14:paraId="373827B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个</w:t>
            </w:r>
          </w:p>
        </w:tc>
        <w:tc>
          <w:tcPr>
            <w:tcW w:w="709" w:type="dxa"/>
            <w:shd w:val="clear" w:color="auto" w:fill="FFFFFF"/>
            <w:vAlign w:val="center"/>
          </w:tcPr>
          <w:p w14:paraId="18D8E0E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277" w:type="dxa"/>
            <w:gridSpan w:val="2"/>
            <w:shd w:val="clear" w:color="auto" w:fill="FFFFFF"/>
            <w:vAlign w:val="center"/>
          </w:tcPr>
          <w:p w14:paraId="763A87A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900*900*800</w:t>
            </w:r>
          </w:p>
        </w:tc>
        <w:tc>
          <w:tcPr>
            <w:tcW w:w="825" w:type="dxa"/>
            <w:shd w:val="clear" w:color="auto" w:fill="FFFFFF"/>
            <w:vAlign w:val="center"/>
          </w:tcPr>
          <w:p w14:paraId="53088F2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浙江</w:t>
            </w:r>
          </w:p>
        </w:tc>
      </w:tr>
      <w:tr w14:paraId="16FDB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59C63C7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2274" w:type="dxa"/>
            <w:shd w:val="clear" w:color="auto" w:fill="FFFFFF"/>
            <w:vAlign w:val="center"/>
          </w:tcPr>
          <w:p w14:paraId="4A7594E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镀光亮镍槽</w:t>
            </w:r>
          </w:p>
        </w:tc>
        <w:tc>
          <w:tcPr>
            <w:tcW w:w="708" w:type="dxa"/>
            <w:shd w:val="clear" w:color="auto" w:fill="FFFFFF"/>
            <w:vAlign w:val="center"/>
          </w:tcPr>
          <w:p w14:paraId="42BBBFD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个</w:t>
            </w:r>
          </w:p>
        </w:tc>
        <w:tc>
          <w:tcPr>
            <w:tcW w:w="709" w:type="dxa"/>
            <w:shd w:val="clear" w:color="auto" w:fill="FFFFFF"/>
            <w:vAlign w:val="center"/>
          </w:tcPr>
          <w:p w14:paraId="42888DE5">
            <w:pPr>
              <w:spacing w:line="240" w:lineRule="auto"/>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r>
              <w:rPr>
                <w:rFonts w:hint="eastAsia" w:ascii="Times New Roman" w:hAnsi="Times New Roman" w:eastAsia="宋体" w:cs="Times New Roman"/>
                <w:color w:val="auto"/>
                <w:sz w:val="21"/>
                <w:szCs w:val="21"/>
                <w:highlight w:val="none"/>
                <w:u w:val="none" w:color="auto"/>
                <w:lang w:val="en-US" w:eastAsia="zh-CN"/>
              </w:rPr>
              <w:t>0</w:t>
            </w:r>
          </w:p>
        </w:tc>
        <w:tc>
          <w:tcPr>
            <w:tcW w:w="2277" w:type="dxa"/>
            <w:gridSpan w:val="2"/>
            <w:shd w:val="clear" w:color="auto" w:fill="FFFFFF"/>
            <w:vAlign w:val="center"/>
          </w:tcPr>
          <w:p w14:paraId="2350322A">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rPr>
              <w:t>500*900*800</w:t>
            </w:r>
          </w:p>
        </w:tc>
        <w:tc>
          <w:tcPr>
            <w:tcW w:w="825" w:type="dxa"/>
            <w:shd w:val="clear" w:color="auto" w:fill="FFFFFF"/>
            <w:vAlign w:val="center"/>
          </w:tcPr>
          <w:p w14:paraId="1ED86BE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浙江</w:t>
            </w:r>
          </w:p>
        </w:tc>
      </w:tr>
      <w:tr w14:paraId="170AF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2C7B892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w:t>
            </w:r>
          </w:p>
        </w:tc>
        <w:tc>
          <w:tcPr>
            <w:tcW w:w="2274" w:type="dxa"/>
            <w:shd w:val="clear" w:color="auto" w:fill="FFFFFF"/>
            <w:vAlign w:val="center"/>
          </w:tcPr>
          <w:p w14:paraId="304B099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镀</w:t>
            </w:r>
            <w:r>
              <w:rPr>
                <w:rFonts w:hint="default" w:ascii="Times New Roman" w:hAnsi="Times New Roman" w:eastAsia="宋体" w:cs="Times New Roman"/>
                <w:color w:val="auto"/>
                <w:sz w:val="21"/>
                <w:szCs w:val="21"/>
                <w:highlight w:val="none"/>
                <w:u w:val="none" w:color="auto"/>
                <w:lang w:eastAsia="zh-CN"/>
              </w:rPr>
              <w:t>镍</w:t>
            </w:r>
            <w:r>
              <w:rPr>
                <w:rFonts w:hint="default" w:ascii="Times New Roman" w:hAnsi="Times New Roman" w:eastAsia="宋体" w:cs="Times New Roman"/>
                <w:color w:val="auto"/>
                <w:sz w:val="21"/>
                <w:szCs w:val="21"/>
                <w:highlight w:val="none"/>
                <w:u w:val="none" w:color="auto"/>
              </w:rPr>
              <w:t>后水洗槽</w:t>
            </w:r>
          </w:p>
        </w:tc>
        <w:tc>
          <w:tcPr>
            <w:tcW w:w="708" w:type="dxa"/>
            <w:shd w:val="clear" w:color="auto" w:fill="FFFFFF"/>
            <w:vAlign w:val="center"/>
          </w:tcPr>
          <w:p w14:paraId="6568466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个</w:t>
            </w:r>
          </w:p>
        </w:tc>
        <w:tc>
          <w:tcPr>
            <w:tcW w:w="709" w:type="dxa"/>
            <w:shd w:val="clear" w:color="auto" w:fill="FFFFFF"/>
            <w:vAlign w:val="center"/>
          </w:tcPr>
          <w:p w14:paraId="695FEF7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277" w:type="dxa"/>
            <w:gridSpan w:val="2"/>
            <w:shd w:val="clear" w:color="auto" w:fill="FFFFFF"/>
            <w:vAlign w:val="center"/>
          </w:tcPr>
          <w:p w14:paraId="5C5862E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300*900*800</w:t>
            </w:r>
          </w:p>
        </w:tc>
        <w:tc>
          <w:tcPr>
            <w:tcW w:w="825" w:type="dxa"/>
            <w:shd w:val="clear" w:color="auto" w:fill="FFFFFF"/>
            <w:vAlign w:val="center"/>
          </w:tcPr>
          <w:p w14:paraId="13BEAAD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浙江</w:t>
            </w:r>
          </w:p>
        </w:tc>
      </w:tr>
      <w:tr w14:paraId="4C52D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1A3D15D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2274" w:type="dxa"/>
            <w:shd w:val="clear" w:color="auto" w:fill="FFFFFF"/>
            <w:vAlign w:val="center"/>
          </w:tcPr>
          <w:p w14:paraId="3575F50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镀铜槽</w:t>
            </w:r>
          </w:p>
        </w:tc>
        <w:tc>
          <w:tcPr>
            <w:tcW w:w="708" w:type="dxa"/>
            <w:shd w:val="clear" w:color="auto" w:fill="FFFFFF"/>
            <w:vAlign w:val="center"/>
          </w:tcPr>
          <w:p w14:paraId="6BDC74E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个</w:t>
            </w:r>
          </w:p>
        </w:tc>
        <w:tc>
          <w:tcPr>
            <w:tcW w:w="709" w:type="dxa"/>
            <w:shd w:val="clear" w:color="auto" w:fill="FFFFFF"/>
            <w:vAlign w:val="center"/>
          </w:tcPr>
          <w:p w14:paraId="36B1B3F5">
            <w:pPr>
              <w:spacing w:line="240" w:lineRule="auto"/>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2</w:t>
            </w:r>
            <w:r>
              <w:rPr>
                <w:rFonts w:hint="eastAsia" w:ascii="Times New Roman" w:hAnsi="Times New Roman" w:eastAsia="宋体" w:cs="Times New Roman"/>
                <w:color w:val="auto"/>
                <w:sz w:val="21"/>
                <w:szCs w:val="21"/>
                <w:highlight w:val="none"/>
                <w:u w:val="none" w:color="auto"/>
                <w:lang w:val="en-US" w:eastAsia="zh-CN"/>
              </w:rPr>
              <w:t>0</w:t>
            </w:r>
          </w:p>
        </w:tc>
        <w:tc>
          <w:tcPr>
            <w:tcW w:w="2277" w:type="dxa"/>
            <w:gridSpan w:val="2"/>
            <w:shd w:val="clear" w:color="auto" w:fill="FFFFFF"/>
            <w:vAlign w:val="center"/>
          </w:tcPr>
          <w:p w14:paraId="4DD3CFEC">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rPr>
              <w:t>500*900*800</w:t>
            </w:r>
          </w:p>
        </w:tc>
        <w:tc>
          <w:tcPr>
            <w:tcW w:w="825" w:type="dxa"/>
            <w:shd w:val="clear" w:color="auto" w:fill="FFFFFF"/>
            <w:vAlign w:val="center"/>
          </w:tcPr>
          <w:p w14:paraId="1B17C30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浙江</w:t>
            </w:r>
          </w:p>
        </w:tc>
      </w:tr>
      <w:tr w14:paraId="3F346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3" w:type="dxa"/>
            <w:shd w:val="clear" w:color="auto" w:fill="FFFFFF"/>
            <w:vAlign w:val="center"/>
          </w:tcPr>
          <w:p w14:paraId="2F807F3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2274" w:type="dxa"/>
            <w:shd w:val="clear" w:color="auto" w:fill="FFFFFF"/>
            <w:vAlign w:val="center"/>
          </w:tcPr>
          <w:p w14:paraId="0E14C82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镀铜后三联水洗槽</w:t>
            </w:r>
          </w:p>
        </w:tc>
        <w:tc>
          <w:tcPr>
            <w:tcW w:w="708" w:type="dxa"/>
            <w:shd w:val="clear" w:color="auto" w:fill="FFFFFF"/>
            <w:vAlign w:val="center"/>
          </w:tcPr>
          <w:p w14:paraId="68468B0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个</w:t>
            </w:r>
          </w:p>
        </w:tc>
        <w:tc>
          <w:tcPr>
            <w:tcW w:w="709" w:type="dxa"/>
            <w:shd w:val="clear" w:color="auto" w:fill="FFFFFF"/>
            <w:vAlign w:val="center"/>
          </w:tcPr>
          <w:p w14:paraId="2BCC0D1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2277" w:type="dxa"/>
            <w:gridSpan w:val="2"/>
            <w:shd w:val="clear" w:color="auto" w:fill="FFFFFF"/>
            <w:vAlign w:val="center"/>
          </w:tcPr>
          <w:p w14:paraId="08ED78D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300*900*800</w:t>
            </w:r>
          </w:p>
        </w:tc>
        <w:tc>
          <w:tcPr>
            <w:tcW w:w="825" w:type="dxa"/>
            <w:shd w:val="clear" w:color="auto" w:fill="FFFFFF"/>
            <w:vAlign w:val="center"/>
          </w:tcPr>
          <w:p w14:paraId="650CE0D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浙江</w:t>
            </w:r>
          </w:p>
        </w:tc>
      </w:tr>
    </w:tbl>
    <w:p w14:paraId="5770EE4D">
      <w:pPr>
        <w:pStyle w:val="3"/>
        <w:wordWrap/>
        <w:spacing w:before="0" w:after="0" w:line="360" w:lineRule="auto"/>
        <w:rPr>
          <w:rFonts w:hint="default" w:ascii="Times New Roman" w:hAnsi="Times New Roman" w:eastAsia="宋体" w:cs="Times New Roman"/>
          <w:color w:val="auto"/>
          <w:sz w:val="28"/>
          <w:szCs w:val="28"/>
          <w:highlight w:val="none"/>
          <w:u w:val="single" w:color="auto"/>
          <w:lang w:val="en-US" w:eastAsia="zh-CN"/>
        </w:rPr>
      </w:pPr>
      <w:bookmarkStart w:id="27" w:name="_Toc9013"/>
      <w:r>
        <w:rPr>
          <w:rFonts w:hint="default" w:ascii="Times New Roman" w:hAnsi="Times New Roman" w:eastAsia="宋体" w:cs="Times New Roman"/>
          <w:color w:val="auto"/>
          <w:sz w:val="28"/>
          <w:szCs w:val="28"/>
          <w:highlight w:val="none"/>
          <w:u w:val="single" w:color="auto"/>
          <w:lang w:val="en-US" w:eastAsia="zh-CN"/>
        </w:rPr>
        <w:t>3.5项目主要原辅料及能耗</w:t>
      </w:r>
      <w:bookmarkEnd w:id="27"/>
    </w:p>
    <w:p w14:paraId="2168F3A1">
      <w:pPr>
        <w:widowControl w:val="0"/>
        <w:wordWrap/>
        <w:adjustRightInd/>
        <w:snapToGrid/>
        <w:ind w:firstLine="480" w:firstLineChars="200"/>
        <w:textAlignment w:val="auto"/>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rPr>
        <w:t>（1）主要原辅料</w:t>
      </w:r>
      <w:r>
        <w:rPr>
          <w:rFonts w:hint="default" w:ascii="Times New Roman" w:hAnsi="Times New Roman" w:eastAsia="宋体" w:cs="Times New Roman"/>
          <w:color w:val="auto"/>
          <w:sz w:val="24"/>
          <w:szCs w:val="24"/>
          <w:highlight w:val="none"/>
          <w:u w:val="single" w:color="auto"/>
          <w:lang w:eastAsia="zh-CN"/>
        </w:rPr>
        <w:t>及能耗</w:t>
      </w:r>
    </w:p>
    <w:p w14:paraId="0A2D336C">
      <w:pPr>
        <w:widowControl w:val="0"/>
        <w:wordWrap/>
        <w:adjustRightInd/>
        <w:snapToGrid/>
        <w:ind w:firstLine="480" w:firstLineChars="200"/>
        <w:textAlignment w:val="auto"/>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rPr>
        <w:t>本项目主要原辅料包括：45#圆钢</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铝棒</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铝锭</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金刚石</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镍板</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硫酸镍</w:t>
      </w:r>
      <w:r>
        <w:rPr>
          <w:rFonts w:hint="default" w:ascii="Times New Roman" w:hAnsi="Times New Roman" w:eastAsia="宋体" w:cs="Times New Roman"/>
          <w:color w:val="auto"/>
          <w:sz w:val="24"/>
          <w:szCs w:val="24"/>
          <w:highlight w:val="none"/>
          <w:u w:val="single" w:color="auto"/>
          <w:lang w:eastAsia="zh-CN"/>
        </w:rPr>
        <w:t>、氨基磺酸镍、</w:t>
      </w:r>
      <w:r>
        <w:rPr>
          <w:rFonts w:hint="default" w:ascii="Times New Roman" w:hAnsi="Times New Roman" w:eastAsia="宋体" w:cs="Times New Roman"/>
          <w:color w:val="auto"/>
          <w:sz w:val="24"/>
          <w:szCs w:val="24"/>
          <w:highlight w:val="none"/>
          <w:u w:val="single" w:color="auto"/>
        </w:rPr>
        <w:t>氯化镍</w:t>
      </w:r>
      <w:r>
        <w:rPr>
          <w:rFonts w:hint="default" w:ascii="Times New Roman" w:hAnsi="Times New Roman" w:eastAsia="宋体" w:cs="Times New Roman"/>
          <w:color w:val="auto"/>
          <w:sz w:val="24"/>
          <w:szCs w:val="24"/>
          <w:highlight w:val="none"/>
          <w:u w:val="single" w:color="auto"/>
          <w:lang w:eastAsia="zh-CN"/>
        </w:rPr>
        <w:t>、硅酸钠</w:t>
      </w:r>
      <w:r>
        <w:rPr>
          <w:rFonts w:hint="default"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rPr>
        <w:t>活性炭</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糖精</w:t>
      </w:r>
      <w:r>
        <w:rPr>
          <w:rFonts w:hint="default"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rPr>
        <w:t>光亮剂</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lang w:val="en-US" w:eastAsia="zh-CN"/>
        </w:rPr>
        <w:t>硫酸铜</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氯化钠</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硼酸</w:t>
      </w:r>
      <w:r>
        <w:rPr>
          <w:rFonts w:hint="default"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rPr>
        <w:t>盐酸</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硫酸</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硝酸</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氢氧化钠</w:t>
      </w:r>
      <w:r>
        <w:rPr>
          <w:rFonts w:hint="default" w:ascii="Times New Roman" w:hAnsi="Times New Roman" w:eastAsia="宋体" w:cs="Times New Roman"/>
          <w:color w:val="auto"/>
          <w:sz w:val="24"/>
          <w:szCs w:val="24"/>
          <w:highlight w:val="none"/>
          <w:u w:val="single" w:color="auto"/>
          <w:lang w:eastAsia="zh-CN"/>
        </w:rPr>
        <w:t>、碳酸钠</w:t>
      </w:r>
      <w:r>
        <w:rPr>
          <w:rFonts w:hint="default"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rPr>
        <w:t>硝酸钠</w:t>
      </w:r>
      <w:r>
        <w:rPr>
          <w:rFonts w:hint="default"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rPr>
        <w:t>十二烷基硫酸钠</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1-4丁炔二醇</w:t>
      </w:r>
      <w:r>
        <w:rPr>
          <w:rFonts w:hint="default"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rPr>
        <w:t>切削液</w:t>
      </w:r>
      <w:r>
        <w:rPr>
          <w:rFonts w:hint="default" w:ascii="Times New Roman" w:hAnsi="Times New Roman" w:eastAsia="宋体" w:cs="Times New Roman"/>
          <w:color w:val="auto"/>
          <w:sz w:val="24"/>
          <w:szCs w:val="24"/>
          <w:highlight w:val="none"/>
          <w:u w:val="single" w:color="auto"/>
          <w:lang w:val="en-US" w:eastAsia="zh-CN"/>
        </w:rPr>
        <w:t>、铜板、立方氮化硼、硼酸、磷酸三钠、酒石酸钾钠、酚醛树脂、铜粉、镍粉、锡粉、氧化锌</w:t>
      </w:r>
      <w:r>
        <w:rPr>
          <w:rFonts w:hint="default" w:ascii="Times New Roman" w:hAnsi="Times New Roman" w:eastAsia="宋体" w:cs="Times New Roman"/>
          <w:color w:val="auto"/>
          <w:sz w:val="24"/>
          <w:szCs w:val="24"/>
          <w:highlight w:val="none"/>
          <w:u w:val="single" w:color="auto"/>
        </w:rPr>
        <w:t>等</w:t>
      </w:r>
      <w:r>
        <w:rPr>
          <w:rFonts w:hint="default" w:ascii="Times New Roman" w:hAnsi="Times New Roman" w:eastAsia="宋体" w:cs="Times New Roman"/>
          <w:color w:val="auto"/>
          <w:sz w:val="24"/>
          <w:szCs w:val="24"/>
          <w:highlight w:val="none"/>
          <w:u w:val="single" w:color="auto"/>
          <w:lang w:eastAsia="zh-CN"/>
        </w:rPr>
        <w:t>。</w:t>
      </w:r>
    </w:p>
    <w:p w14:paraId="361B78ED">
      <w:pPr>
        <w:widowControl w:val="0"/>
        <w:wordWrap/>
        <w:adjustRightInd/>
        <w:snapToGrid/>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lang w:eastAsia="zh-CN"/>
        </w:rPr>
        <w:t>其中</w:t>
      </w:r>
      <w:r>
        <w:rPr>
          <w:rFonts w:hint="default" w:ascii="Times New Roman" w:hAnsi="Times New Roman" w:eastAsia="宋体" w:cs="Times New Roman"/>
          <w:color w:val="auto"/>
          <w:sz w:val="24"/>
          <w:szCs w:val="24"/>
          <w:highlight w:val="none"/>
          <w:u w:val="single" w:color="auto"/>
        </w:rPr>
        <w:t>45#圆钢</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铝棒</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铝锭</w:t>
      </w:r>
      <w:r>
        <w:rPr>
          <w:rFonts w:hint="default" w:ascii="Times New Roman" w:hAnsi="Times New Roman" w:eastAsia="宋体" w:cs="Times New Roman"/>
          <w:color w:val="auto"/>
          <w:sz w:val="24"/>
          <w:szCs w:val="24"/>
          <w:highlight w:val="none"/>
          <w:u w:val="single" w:color="auto"/>
          <w:lang w:eastAsia="zh-CN"/>
        </w:rPr>
        <w:t>存储于</w:t>
      </w:r>
      <w:r>
        <w:rPr>
          <w:rFonts w:hint="eastAsia" w:ascii="Times New Roman" w:hAnsi="Times New Roman" w:eastAsia="宋体" w:cs="Times New Roman"/>
          <w:color w:val="auto"/>
          <w:sz w:val="24"/>
          <w:szCs w:val="24"/>
          <w:highlight w:val="none"/>
          <w:u w:val="single" w:color="auto"/>
          <w:lang w:val="en-US" w:eastAsia="zh-CN"/>
        </w:rPr>
        <w:t>2</w:t>
      </w:r>
      <w:r>
        <w:rPr>
          <w:rFonts w:hint="default" w:ascii="Times New Roman" w:hAnsi="Times New Roman" w:eastAsia="宋体" w:cs="Times New Roman"/>
          <w:color w:val="auto"/>
          <w:sz w:val="24"/>
          <w:szCs w:val="24"/>
          <w:highlight w:val="none"/>
          <w:u w:val="single" w:color="auto"/>
          <w:lang w:val="en-US" w:eastAsia="zh-CN"/>
        </w:rPr>
        <w:t>、</w:t>
      </w:r>
      <w:r>
        <w:rPr>
          <w:rFonts w:hint="eastAsia" w:ascii="Times New Roman" w:hAnsi="Times New Roman" w:eastAsia="宋体" w:cs="Times New Roman"/>
          <w:color w:val="auto"/>
          <w:sz w:val="24"/>
          <w:szCs w:val="24"/>
          <w:highlight w:val="none"/>
          <w:u w:val="single" w:color="auto"/>
          <w:lang w:val="en-US" w:eastAsia="zh-CN"/>
        </w:rPr>
        <w:t>3</w:t>
      </w:r>
      <w:r>
        <w:rPr>
          <w:rFonts w:hint="default" w:ascii="Times New Roman" w:hAnsi="Times New Roman" w:eastAsia="宋体" w:cs="Times New Roman"/>
          <w:color w:val="auto"/>
          <w:sz w:val="24"/>
          <w:szCs w:val="24"/>
          <w:highlight w:val="none"/>
          <w:u w:val="single" w:color="auto"/>
          <w:lang w:val="en-US" w:eastAsia="zh-CN"/>
        </w:rPr>
        <w:t>#厂房一楼下料间，盐酸、硫酸、硝酸均储存于</w:t>
      </w:r>
      <w:r>
        <w:rPr>
          <w:rFonts w:hint="eastAsia" w:ascii="Times New Roman" w:hAnsi="Times New Roman" w:eastAsia="宋体" w:cs="Times New Roman"/>
          <w:color w:val="auto"/>
          <w:sz w:val="24"/>
          <w:szCs w:val="24"/>
          <w:highlight w:val="none"/>
          <w:u w:val="single" w:color="auto"/>
          <w:lang w:val="en-US" w:eastAsia="zh-CN"/>
        </w:rPr>
        <w:t>5#</w:t>
      </w:r>
      <w:r>
        <w:rPr>
          <w:rFonts w:hint="default" w:ascii="Times New Roman" w:hAnsi="Times New Roman" w:eastAsia="宋体" w:cs="Times New Roman"/>
          <w:color w:val="auto"/>
          <w:sz w:val="24"/>
          <w:szCs w:val="24"/>
          <w:highlight w:val="none"/>
          <w:u w:val="single" w:color="auto"/>
          <w:lang w:val="en-US" w:eastAsia="zh-CN"/>
        </w:rPr>
        <w:t>易制毒易制爆化学品仓库，塑料桶盛装，仓库内配有灭火器、防爆灯、设置负压抽风装置（跟</w:t>
      </w:r>
      <w:r>
        <w:rPr>
          <w:rFonts w:hint="eastAsia" w:ascii="Times New Roman" w:hAnsi="Times New Roman" w:eastAsia="宋体" w:cs="Times New Roman"/>
          <w:color w:val="auto"/>
          <w:sz w:val="24"/>
          <w:szCs w:val="24"/>
          <w:highlight w:val="none"/>
          <w:u w:val="single" w:color="auto"/>
          <w:lang w:val="en-US" w:eastAsia="zh-CN"/>
        </w:rPr>
        <w:t>三级</w:t>
      </w:r>
      <w:r>
        <w:rPr>
          <w:rFonts w:hint="default" w:ascii="Times New Roman" w:hAnsi="Times New Roman" w:eastAsia="宋体" w:cs="Times New Roman"/>
          <w:color w:val="auto"/>
          <w:sz w:val="24"/>
          <w:szCs w:val="24"/>
          <w:highlight w:val="none"/>
          <w:u w:val="single" w:color="auto"/>
          <w:lang w:val="en-US" w:eastAsia="zh-CN"/>
        </w:rPr>
        <w:t>喷淋塔连接），其余化学品均分区储存于</w:t>
      </w:r>
      <w:r>
        <w:rPr>
          <w:rFonts w:hint="eastAsia" w:ascii="Times New Roman" w:hAnsi="Times New Roman" w:eastAsia="宋体" w:cs="Times New Roman"/>
          <w:color w:val="auto"/>
          <w:sz w:val="24"/>
          <w:szCs w:val="24"/>
          <w:highlight w:val="none"/>
          <w:u w:val="single" w:color="auto"/>
          <w:lang w:val="en-US" w:eastAsia="zh-CN"/>
        </w:rPr>
        <w:t>厂房</w:t>
      </w:r>
      <w:r>
        <w:rPr>
          <w:rFonts w:hint="default" w:ascii="Times New Roman" w:hAnsi="Times New Roman" w:eastAsia="宋体" w:cs="Times New Roman"/>
          <w:color w:val="auto"/>
          <w:sz w:val="24"/>
          <w:szCs w:val="24"/>
          <w:highlight w:val="none"/>
          <w:u w:val="single" w:color="auto"/>
          <w:lang w:val="en-US" w:eastAsia="zh-CN"/>
        </w:rPr>
        <w:t>一般化学品仓库</w:t>
      </w:r>
      <w:r>
        <w:rPr>
          <w:rFonts w:hint="default" w:ascii="Times New Roman" w:hAnsi="Times New Roman" w:eastAsia="宋体" w:cs="Times New Roman"/>
          <w:color w:val="auto"/>
          <w:sz w:val="24"/>
          <w:szCs w:val="24"/>
          <w:highlight w:val="none"/>
          <w:u w:val="single" w:color="auto"/>
        </w:rPr>
        <w:t>。</w:t>
      </w:r>
    </w:p>
    <w:p w14:paraId="149F4A9C">
      <w:pPr>
        <w:widowControl w:val="0"/>
        <w:wordWrap/>
        <w:adjustRightInd/>
        <w:snapToGrid/>
        <w:ind w:firstLine="480" w:firstLineChars="200"/>
        <w:textAlignment w:val="auto"/>
        <w:rPr>
          <w:rFonts w:hint="default" w:ascii="Times New Roman" w:hAnsi="Times New Roman" w:eastAsia="宋体" w:cs="Times New Roman"/>
          <w:color w:val="auto"/>
          <w:u w:val="single" w:color="auto"/>
          <w:lang w:eastAsia="zh-CN"/>
        </w:rPr>
      </w:pPr>
      <w:r>
        <w:rPr>
          <w:rFonts w:hint="default" w:ascii="Times New Roman" w:hAnsi="Times New Roman" w:eastAsia="宋体" w:cs="Times New Roman"/>
          <w:color w:val="auto"/>
          <w:sz w:val="24"/>
          <w:szCs w:val="24"/>
          <w:highlight w:val="none"/>
          <w:u w:val="single" w:color="auto"/>
          <w:lang w:eastAsia="zh-CN"/>
        </w:rPr>
        <w:t>本项目主要能耗为电能。</w:t>
      </w:r>
    </w:p>
    <w:p w14:paraId="0B7273AC">
      <w:pPr>
        <w:widowControl w:val="0"/>
        <w:wordWrap/>
        <w:adjustRightInd/>
        <w:snapToGrid/>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项目主要原辅料消耗情况详见表</w:t>
      </w:r>
      <w:r>
        <w:rPr>
          <w:rFonts w:hint="default" w:ascii="Times New Roman" w:hAnsi="Times New Roman" w:eastAsia="宋体" w:cs="Times New Roman"/>
          <w:color w:val="auto"/>
          <w:sz w:val="24"/>
          <w:szCs w:val="24"/>
          <w:highlight w:val="none"/>
          <w:u w:val="single" w:color="auto"/>
          <w:lang w:val="en-US" w:eastAsia="zh-CN"/>
        </w:rPr>
        <w:t>3.5-1，主要原辅料物化性质见表3.5-2</w:t>
      </w:r>
      <w:r>
        <w:rPr>
          <w:rFonts w:hint="default" w:ascii="Times New Roman" w:hAnsi="Times New Roman" w:eastAsia="宋体" w:cs="Times New Roman"/>
          <w:color w:val="auto"/>
          <w:sz w:val="24"/>
          <w:szCs w:val="24"/>
          <w:highlight w:val="none"/>
          <w:u w:val="single" w:color="auto"/>
        </w:rPr>
        <w:t>：</w:t>
      </w:r>
    </w:p>
    <w:p w14:paraId="69342B8C">
      <w:pPr>
        <w:jc w:val="center"/>
        <w:rPr>
          <w:rFonts w:hint="default" w:ascii="Times New Roman" w:hAnsi="Times New Roman" w:eastAsia="宋体" w:cs="Times New Roman"/>
          <w:b/>
          <w:color w:val="auto"/>
          <w:sz w:val="21"/>
          <w:szCs w:val="18"/>
          <w:highlight w:val="none"/>
          <w:u w:val="single" w:color="auto"/>
          <w:lang w:eastAsia="zh-CN"/>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3.5</w:t>
      </w:r>
      <w:r>
        <w:rPr>
          <w:rFonts w:hint="default" w:ascii="Times New Roman" w:hAnsi="Times New Roman" w:eastAsia="宋体" w:cs="Times New Roman"/>
          <w:b/>
          <w:color w:val="auto"/>
          <w:sz w:val="21"/>
          <w:szCs w:val="18"/>
          <w:highlight w:val="none"/>
          <w:u w:val="single" w:color="auto"/>
        </w:rPr>
        <w:t>-1 本项目原辅材料消耗情况一览表</w:t>
      </w:r>
    </w:p>
    <w:tbl>
      <w:tblPr>
        <w:tblStyle w:val="22"/>
        <w:tblW w:w="87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014"/>
        <w:gridCol w:w="1030"/>
        <w:gridCol w:w="1041"/>
        <w:gridCol w:w="750"/>
        <w:gridCol w:w="991"/>
        <w:gridCol w:w="979"/>
        <w:gridCol w:w="2377"/>
      </w:tblGrid>
      <w:tr w14:paraId="4C964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94" w:type="dxa"/>
            <w:vAlign w:val="center"/>
          </w:tcPr>
          <w:p w14:paraId="1E6AD2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序号</w:t>
            </w:r>
          </w:p>
        </w:tc>
        <w:tc>
          <w:tcPr>
            <w:tcW w:w="1014" w:type="dxa"/>
            <w:vAlign w:val="center"/>
          </w:tcPr>
          <w:p w14:paraId="30B9C9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原辅材料</w:t>
            </w:r>
          </w:p>
        </w:tc>
        <w:tc>
          <w:tcPr>
            <w:tcW w:w="1030" w:type="dxa"/>
            <w:vAlign w:val="center"/>
          </w:tcPr>
          <w:p w14:paraId="619220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规格含量</w:t>
            </w:r>
          </w:p>
        </w:tc>
        <w:tc>
          <w:tcPr>
            <w:tcW w:w="1041" w:type="dxa"/>
            <w:vAlign w:val="center"/>
          </w:tcPr>
          <w:p w14:paraId="239DB9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用量（t</w:t>
            </w:r>
            <w:r>
              <w:rPr>
                <w:rFonts w:hint="default" w:ascii="Times New Roman" w:hAnsi="Times New Roman" w:eastAsia="宋体" w:cs="Times New Roman"/>
                <w:color w:val="auto"/>
                <w:sz w:val="21"/>
                <w:szCs w:val="21"/>
                <w:highlight w:val="none"/>
                <w:u w:val="single" w:color="auto"/>
                <w:lang w:val="en-US" w:eastAsia="zh-CN"/>
              </w:rPr>
              <w:t>/a</w:t>
            </w:r>
            <w:r>
              <w:rPr>
                <w:rFonts w:hint="default" w:ascii="Times New Roman" w:hAnsi="Times New Roman" w:eastAsia="宋体" w:cs="Times New Roman"/>
                <w:color w:val="auto"/>
                <w:sz w:val="21"/>
                <w:szCs w:val="21"/>
                <w:highlight w:val="none"/>
                <w:u w:val="single" w:color="auto"/>
                <w:lang w:eastAsia="zh-CN"/>
              </w:rPr>
              <w:t>）</w:t>
            </w:r>
          </w:p>
        </w:tc>
        <w:tc>
          <w:tcPr>
            <w:tcW w:w="750" w:type="dxa"/>
            <w:vAlign w:val="center"/>
          </w:tcPr>
          <w:p w14:paraId="786B91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最大存储量（</w:t>
            </w:r>
            <w:r>
              <w:rPr>
                <w:rFonts w:hint="default" w:ascii="Times New Roman" w:hAnsi="Times New Roman" w:eastAsia="宋体" w:cs="Times New Roman"/>
                <w:color w:val="auto"/>
                <w:sz w:val="21"/>
                <w:szCs w:val="21"/>
                <w:highlight w:val="none"/>
                <w:u w:val="single" w:color="auto"/>
                <w:lang w:val="en-US" w:eastAsia="zh-CN"/>
              </w:rPr>
              <w:t>t</w:t>
            </w:r>
            <w:r>
              <w:rPr>
                <w:rFonts w:hint="default" w:ascii="Times New Roman" w:hAnsi="Times New Roman" w:eastAsia="宋体" w:cs="Times New Roman"/>
                <w:color w:val="auto"/>
                <w:sz w:val="21"/>
                <w:szCs w:val="21"/>
                <w:highlight w:val="none"/>
                <w:u w:val="single" w:color="auto"/>
                <w:lang w:eastAsia="zh-CN"/>
              </w:rPr>
              <w:t>）</w:t>
            </w:r>
          </w:p>
        </w:tc>
        <w:tc>
          <w:tcPr>
            <w:tcW w:w="991" w:type="dxa"/>
            <w:vAlign w:val="center"/>
          </w:tcPr>
          <w:p w14:paraId="2517B0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物料状态</w:t>
            </w:r>
          </w:p>
        </w:tc>
        <w:tc>
          <w:tcPr>
            <w:tcW w:w="979" w:type="dxa"/>
            <w:vAlign w:val="center"/>
          </w:tcPr>
          <w:p w14:paraId="278302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来源</w:t>
            </w:r>
          </w:p>
        </w:tc>
        <w:tc>
          <w:tcPr>
            <w:tcW w:w="2377" w:type="dxa"/>
            <w:vAlign w:val="center"/>
          </w:tcPr>
          <w:p w14:paraId="03503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存储位置及方式</w:t>
            </w:r>
          </w:p>
        </w:tc>
      </w:tr>
      <w:tr w14:paraId="6008D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0DA814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p>
        </w:tc>
        <w:tc>
          <w:tcPr>
            <w:tcW w:w="1014" w:type="dxa"/>
            <w:vAlign w:val="center"/>
          </w:tcPr>
          <w:p w14:paraId="4B9409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45#圆钢</w:t>
            </w:r>
          </w:p>
        </w:tc>
        <w:tc>
          <w:tcPr>
            <w:tcW w:w="1030" w:type="dxa"/>
            <w:vAlign w:val="center"/>
          </w:tcPr>
          <w:p w14:paraId="5019B5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3~300</w:t>
            </w:r>
            <w:r>
              <w:rPr>
                <w:rFonts w:hint="default" w:ascii="Times New Roman" w:hAnsi="Times New Roman" w:eastAsia="宋体" w:cs="Times New Roman"/>
                <w:color w:val="auto"/>
                <w:sz w:val="21"/>
                <w:szCs w:val="21"/>
                <w:highlight w:val="none"/>
                <w:u w:val="single" w:color="auto"/>
                <w:lang w:val="en-US" w:eastAsia="zh-CN"/>
              </w:rPr>
              <w:t>mm</w:t>
            </w:r>
          </w:p>
        </w:tc>
        <w:tc>
          <w:tcPr>
            <w:tcW w:w="1041" w:type="dxa"/>
            <w:vAlign w:val="center"/>
          </w:tcPr>
          <w:p w14:paraId="37F515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3000</w:t>
            </w:r>
          </w:p>
        </w:tc>
        <w:tc>
          <w:tcPr>
            <w:tcW w:w="750" w:type="dxa"/>
            <w:vAlign w:val="center"/>
          </w:tcPr>
          <w:p w14:paraId="61C2E2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400</w:t>
            </w:r>
          </w:p>
        </w:tc>
        <w:tc>
          <w:tcPr>
            <w:tcW w:w="991" w:type="dxa"/>
            <w:vAlign w:val="center"/>
          </w:tcPr>
          <w:p w14:paraId="78DC2A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09BE86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1E9EC0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sz w:val="21"/>
                <w:szCs w:val="21"/>
                <w:highlight w:val="none"/>
                <w:u w:val="none" w:color="auto"/>
                <w:lang w:val="en-US" w:eastAsia="zh-CN"/>
              </w:rPr>
              <w:t>2#、3#厂房一楼下料间</w:t>
            </w:r>
          </w:p>
        </w:tc>
      </w:tr>
      <w:tr w14:paraId="2DFDE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1584B4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2</w:t>
            </w:r>
          </w:p>
        </w:tc>
        <w:tc>
          <w:tcPr>
            <w:tcW w:w="1014" w:type="dxa"/>
            <w:vAlign w:val="center"/>
          </w:tcPr>
          <w:p w14:paraId="2F6576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铝棒</w:t>
            </w:r>
          </w:p>
        </w:tc>
        <w:tc>
          <w:tcPr>
            <w:tcW w:w="1030" w:type="dxa"/>
            <w:vAlign w:val="center"/>
          </w:tcPr>
          <w:p w14:paraId="06CA62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80mm</w:t>
            </w:r>
          </w:p>
        </w:tc>
        <w:tc>
          <w:tcPr>
            <w:tcW w:w="1041" w:type="dxa"/>
            <w:vAlign w:val="center"/>
          </w:tcPr>
          <w:p w14:paraId="1E53FB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200</w:t>
            </w:r>
          </w:p>
        </w:tc>
        <w:tc>
          <w:tcPr>
            <w:tcW w:w="750" w:type="dxa"/>
            <w:vAlign w:val="center"/>
          </w:tcPr>
          <w:p w14:paraId="14556A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w:t>
            </w:r>
          </w:p>
        </w:tc>
        <w:tc>
          <w:tcPr>
            <w:tcW w:w="991" w:type="dxa"/>
            <w:vAlign w:val="center"/>
          </w:tcPr>
          <w:p w14:paraId="73DEE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6F448A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44579F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2#、3#厂房一楼下料间</w:t>
            </w:r>
          </w:p>
        </w:tc>
      </w:tr>
      <w:tr w14:paraId="1CE80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1F3BC7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3</w:t>
            </w:r>
          </w:p>
        </w:tc>
        <w:tc>
          <w:tcPr>
            <w:tcW w:w="1014" w:type="dxa"/>
            <w:vAlign w:val="center"/>
          </w:tcPr>
          <w:p w14:paraId="0ADB53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铝锭</w:t>
            </w:r>
          </w:p>
        </w:tc>
        <w:tc>
          <w:tcPr>
            <w:tcW w:w="1030" w:type="dxa"/>
            <w:vAlign w:val="center"/>
          </w:tcPr>
          <w:p w14:paraId="61CA5A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30~300</w:t>
            </w:r>
            <w:r>
              <w:rPr>
                <w:rFonts w:hint="default" w:ascii="Times New Roman" w:hAnsi="Times New Roman" w:eastAsia="宋体" w:cs="Times New Roman"/>
                <w:color w:val="auto"/>
                <w:sz w:val="21"/>
                <w:szCs w:val="21"/>
                <w:highlight w:val="none"/>
                <w:u w:val="single" w:color="auto"/>
                <w:lang w:val="en-US" w:eastAsia="zh-CN"/>
              </w:rPr>
              <w:t>mm</w:t>
            </w:r>
          </w:p>
        </w:tc>
        <w:tc>
          <w:tcPr>
            <w:tcW w:w="1041" w:type="dxa"/>
            <w:vAlign w:val="center"/>
          </w:tcPr>
          <w:p w14:paraId="2E6D25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100</w:t>
            </w:r>
          </w:p>
        </w:tc>
        <w:tc>
          <w:tcPr>
            <w:tcW w:w="750" w:type="dxa"/>
            <w:vAlign w:val="center"/>
          </w:tcPr>
          <w:p w14:paraId="42297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w:t>
            </w:r>
          </w:p>
        </w:tc>
        <w:tc>
          <w:tcPr>
            <w:tcW w:w="991" w:type="dxa"/>
            <w:vAlign w:val="center"/>
          </w:tcPr>
          <w:p w14:paraId="6FAD44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5E675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720C87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2#、3#厂房一楼下料间</w:t>
            </w:r>
          </w:p>
        </w:tc>
      </w:tr>
      <w:tr w14:paraId="648EA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4" w:type="dxa"/>
            <w:vAlign w:val="center"/>
          </w:tcPr>
          <w:p w14:paraId="2B1EB1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4</w:t>
            </w:r>
          </w:p>
        </w:tc>
        <w:tc>
          <w:tcPr>
            <w:tcW w:w="1014" w:type="dxa"/>
            <w:vAlign w:val="center"/>
          </w:tcPr>
          <w:p w14:paraId="2767EF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金刚石</w:t>
            </w:r>
          </w:p>
        </w:tc>
        <w:tc>
          <w:tcPr>
            <w:tcW w:w="1030" w:type="dxa"/>
            <w:vAlign w:val="center"/>
          </w:tcPr>
          <w:p w14:paraId="76E98E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16#~3000#</w:t>
            </w:r>
          </w:p>
        </w:tc>
        <w:tc>
          <w:tcPr>
            <w:tcW w:w="1041" w:type="dxa"/>
            <w:vAlign w:val="center"/>
          </w:tcPr>
          <w:p w14:paraId="448DFD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w:t>
            </w:r>
          </w:p>
        </w:tc>
        <w:tc>
          <w:tcPr>
            <w:tcW w:w="750" w:type="dxa"/>
            <w:vAlign w:val="center"/>
          </w:tcPr>
          <w:p w14:paraId="45B2F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991" w:type="dxa"/>
            <w:vAlign w:val="center"/>
          </w:tcPr>
          <w:p w14:paraId="61BB65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0EAB82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384C7C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p>
        </w:tc>
      </w:tr>
      <w:tr w14:paraId="13E84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50F065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1014" w:type="dxa"/>
            <w:vAlign w:val="center"/>
          </w:tcPr>
          <w:p w14:paraId="300F3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镍板</w:t>
            </w:r>
          </w:p>
        </w:tc>
        <w:tc>
          <w:tcPr>
            <w:tcW w:w="1030" w:type="dxa"/>
            <w:vAlign w:val="center"/>
          </w:tcPr>
          <w:p w14:paraId="78C44C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200*200</w:t>
            </w:r>
          </w:p>
        </w:tc>
        <w:tc>
          <w:tcPr>
            <w:tcW w:w="1041" w:type="dxa"/>
            <w:vAlign w:val="center"/>
          </w:tcPr>
          <w:p w14:paraId="2FF6F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w:t>
            </w:r>
          </w:p>
        </w:tc>
        <w:tc>
          <w:tcPr>
            <w:tcW w:w="750" w:type="dxa"/>
            <w:vAlign w:val="center"/>
          </w:tcPr>
          <w:p w14:paraId="67794B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w:t>
            </w:r>
          </w:p>
        </w:tc>
        <w:tc>
          <w:tcPr>
            <w:tcW w:w="991" w:type="dxa"/>
            <w:vAlign w:val="center"/>
          </w:tcPr>
          <w:p w14:paraId="2CEB40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7CF8D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62B0BF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p>
        </w:tc>
      </w:tr>
      <w:tr w14:paraId="412DA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740228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w:t>
            </w:r>
          </w:p>
        </w:tc>
        <w:tc>
          <w:tcPr>
            <w:tcW w:w="1014" w:type="dxa"/>
            <w:vAlign w:val="center"/>
          </w:tcPr>
          <w:p w14:paraId="626A7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硫酸镍</w:t>
            </w:r>
          </w:p>
        </w:tc>
        <w:tc>
          <w:tcPr>
            <w:tcW w:w="1030" w:type="dxa"/>
            <w:vAlign w:val="center"/>
          </w:tcPr>
          <w:p w14:paraId="28AAC16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sz w:val="21"/>
                <w:szCs w:val="21"/>
                <w:highlight w:val="none"/>
                <w:u w:val="none" w:color="auto"/>
                <w:lang w:val="en-US" w:eastAsia="zh-CN"/>
              </w:rPr>
              <w:t>22.27%</w:t>
            </w:r>
          </w:p>
        </w:tc>
        <w:tc>
          <w:tcPr>
            <w:tcW w:w="1041" w:type="dxa"/>
            <w:vAlign w:val="center"/>
          </w:tcPr>
          <w:p w14:paraId="484159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130</w:t>
            </w:r>
          </w:p>
        </w:tc>
        <w:tc>
          <w:tcPr>
            <w:tcW w:w="750" w:type="dxa"/>
            <w:vAlign w:val="center"/>
          </w:tcPr>
          <w:p w14:paraId="2ADDBD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16</w:t>
            </w:r>
          </w:p>
        </w:tc>
        <w:tc>
          <w:tcPr>
            <w:tcW w:w="991" w:type="dxa"/>
            <w:vAlign w:val="center"/>
          </w:tcPr>
          <w:p w14:paraId="07EBA8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782EB1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290620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中间仓库，25kg/包</w:t>
            </w:r>
          </w:p>
        </w:tc>
      </w:tr>
      <w:tr w14:paraId="3A825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121332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7</w:t>
            </w:r>
          </w:p>
        </w:tc>
        <w:tc>
          <w:tcPr>
            <w:tcW w:w="1014" w:type="dxa"/>
            <w:vAlign w:val="center"/>
          </w:tcPr>
          <w:p w14:paraId="71C16D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氨基磺酸镍</w:t>
            </w:r>
          </w:p>
        </w:tc>
        <w:tc>
          <w:tcPr>
            <w:tcW w:w="1030" w:type="dxa"/>
            <w:vAlign w:val="center"/>
          </w:tcPr>
          <w:p w14:paraId="09F7107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sz w:val="21"/>
                <w:szCs w:val="21"/>
                <w:highlight w:val="none"/>
                <w:u w:val="none" w:color="auto"/>
                <w:lang w:val="en-US" w:eastAsia="zh-CN"/>
              </w:rPr>
              <w:t>22.27%</w:t>
            </w:r>
          </w:p>
        </w:tc>
        <w:tc>
          <w:tcPr>
            <w:tcW w:w="1041" w:type="dxa"/>
            <w:vAlign w:val="center"/>
          </w:tcPr>
          <w:p w14:paraId="7E7D7A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60</w:t>
            </w:r>
          </w:p>
        </w:tc>
        <w:tc>
          <w:tcPr>
            <w:tcW w:w="750" w:type="dxa"/>
            <w:vAlign w:val="center"/>
          </w:tcPr>
          <w:p w14:paraId="3CF034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991" w:type="dxa"/>
            <w:vAlign w:val="center"/>
          </w:tcPr>
          <w:p w14:paraId="7656ED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液态</w:t>
            </w:r>
          </w:p>
        </w:tc>
        <w:tc>
          <w:tcPr>
            <w:tcW w:w="979" w:type="dxa"/>
            <w:vAlign w:val="center"/>
          </w:tcPr>
          <w:p w14:paraId="4FCAB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691B4E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25</w:t>
            </w:r>
            <w:r>
              <w:rPr>
                <w:rFonts w:hint="default" w:ascii="Times New Roman" w:hAnsi="Times New Roman" w:eastAsia="宋体" w:cs="Times New Roman"/>
                <w:sz w:val="21"/>
                <w:szCs w:val="21"/>
                <w:highlight w:val="none"/>
                <w:u w:val="none" w:color="auto"/>
                <w:lang w:eastAsia="zh-CN"/>
              </w:rPr>
              <w:t>kg/包</w:t>
            </w:r>
          </w:p>
        </w:tc>
      </w:tr>
      <w:tr w14:paraId="63834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5ADF64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w:t>
            </w:r>
          </w:p>
        </w:tc>
        <w:tc>
          <w:tcPr>
            <w:tcW w:w="1014" w:type="dxa"/>
            <w:vAlign w:val="center"/>
          </w:tcPr>
          <w:p w14:paraId="560CC4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氯化镍</w:t>
            </w:r>
          </w:p>
        </w:tc>
        <w:tc>
          <w:tcPr>
            <w:tcW w:w="1030" w:type="dxa"/>
            <w:vAlign w:val="center"/>
          </w:tcPr>
          <w:p w14:paraId="2BBEE9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24.05%</w:t>
            </w:r>
          </w:p>
        </w:tc>
        <w:tc>
          <w:tcPr>
            <w:tcW w:w="1041" w:type="dxa"/>
            <w:vAlign w:val="center"/>
          </w:tcPr>
          <w:p w14:paraId="10FA8A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15</w:t>
            </w:r>
          </w:p>
        </w:tc>
        <w:tc>
          <w:tcPr>
            <w:tcW w:w="750" w:type="dxa"/>
            <w:vAlign w:val="center"/>
          </w:tcPr>
          <w:p w14:paraId="3C52E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w:t>
            </w:r>
          </w:p>
        </w:tc>
        <w:tc>
          <w:tcPr>
            <w:tcW w:w="991" w:type="dxa"/>
            <w:vAlign w:val="center"/>
          </w:tcPr>
          <w:p w14:paraId="242C3B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064518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494C7F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中间仓库，25kg/包</w:t>
            </w:r>
          </w:p>
        </w:tc>
      </w:tr>
      <w:tr w14:paraId="1CA59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14CA8F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w:t>
            </w:r>
          </w:p>
        </w:tc>
        <w:tc>
          <w:tcPr>
            <w:tcW w:w="1014" w:type="dxa"/>
            <w:vAlign w:val="center"/>
          </w:tcPr>
          <w:p w14:paraId="331C7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硅酸钠</w:t>
            </w:r>
          </w:p>
        </w:tc>
        <w:tc>
          <w:tcPr>
            <w:tcW w:w="1030" w:type="dxa"/>
            <w:vAlign w:val="center"/>
          </w:tcPr>
          <w:p w14:paraId="285736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0283B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750" w:type="dxa"/>
            <w:vAlign w:val="center"/>
          </w:tcPr>
          <w:p w14:paraId="468ACE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991" w:type="dxa"/>
            <w:vAlign w:val="center"/>
          </w:tcPr>
          <w:p w14:paraId="124F4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6C3FAF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69A4E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中间仓库，25kg/包</w:t>
            </w:r>
          </w:p>
        </w:tc>
      </w:tr>
      <w:tr w14:paraId="33093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65F3BE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w:t>
            </w:r>
          </w:p>
        </w:tc>
        <w:tc>
          <w:tcPr>
            <w:tcW w:w="1014" w:type="dxa"/>
            <w:vAlign w:val="center"/>
          </w:tcPr>
          <w:p w14:paraId="51E28E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活性炭</w:t>
            </w:r>
          </w:p>
        </w:tc>
        <w:tc>
          <w:tcPr>
            <w:tcW w:w="1030" w:type="dxa"/>
            <w:vAlign w:val="center"/>
          </w:tcPr>
          <w:p w14:paraId="4C2BF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99%</w:t>
            </w:r>
          </w:p>
        </w:tc>
        <w:tc>
          <w:tcPr>
            <w:tcW w:w="1041" w:type="dxa"/>
            <w:vAlign w:val="center"/>
          </w:tcPr>
          <w:p w14:paraId="274DC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750" w:type="dxa"/>
            <w:vAlign w:val="center"/>
          </w:tcPr>
          <w:p w14:paraId="100C09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991" w:type="dxa"/>
            <w:vAlign w:val="center"/>
          </w:tcPr>
          <w:p w14:paraId="1FC5C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5239C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5F29FE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10</w:t>
            </w:r>
            <w:r>
              <w:rPr>
                <w:rFonts w:hint="default" w:ascii="Times New Roman" w:hAnsi="Times New Roman" w:eastAsia="宋体" w:cs="Times New Roman"/>
                <w:sz w:val="21"/>
                <w:szCs w:val="21"/>
                <w:highlight w:val="none"/>
                <w:u w:val="none" w:color="auto"/>
                <w:lang w:eastAsia="zh-CN"/>
              </w:rPr>
              <w:t>kg/箱</w:t>
            </w:r>
          </w:p>
        </w:tc>
      </w:tr>
      <w:tr w14:paraId="1BF6F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35C532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11</w:t>
            </w:r>
          </w:p>
        </w:tc>
        <w:tc>
          <w:tcPr>
            <w:tcW w:w="1014" w:type="dxa"/>
            <w:vAlign w:val="center"/>
          </w:tcPr>
          <w:p w14:paraId="41772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糖精</w:t>
            </w:r>
          </w:p>
        </w:tc>
        <w:tc>
          <w:tcPr>
            <w:tcW w:w="1030" w:type="dxa"/>
            <w:vAlign w:val="center"/>
          </w:tcPr>
          <w:p w14:paraId="7B782F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08E6F5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w:t>
            </w:r>
          </w:p>
        </w:tc>
        <w:tc>
          <w:tcPr>
            <w:tcW w:w="750" w:type="dxa"/>
            <w:vAlign w:val="center"/>
          </w:tcPr>
          <w:p w14:paraId="6B9C06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991" w:type="dxa"/>
            <w:vAlign w:val="center"/>
          </w:tcPr>
          <w:p w14:paraId="509F9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670DDF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0A16F5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20</w:t>
            </w:r>
            <w:r>
              <w:rPr>
                <w:rFonts w:hint="default" w:ascii="Times New Roman" w:hAnsi="Times New Roman" w:eastAsia="宋体" w:cs="Times New Roman"/>
                <w:sz w:val="21"/>
                <w:szCs w:val="21"/>
                <w:highlight w:val="none"/>
                <w:u w:val="none" w:color="auto"/>
                <w:lang w:eastAsia="zh-CN"/>
              </w:rPr>
              <w:t>kg/箱</w:t>
            </w:r>
          </w:p>
        </w:tc>
      </w:tr>
      <w:tr w14:paraId="23CC1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13C5EA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12</w:t>
            </w:r>
          </w:p>
        </w:tc>
        <w:tc>
          <w:tcPr>
            <w:tcW w:w="1014" w:type="dxa"/>
            <w:vAlign w:val="center"/>
          </w:tcPr>
          <w:p w14:paraId="1E52E7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光亮剂</w:t>
            </w:r>
          </w:p>
        </w:tc>
        <w:tc>
          <w:tcPr>
            <w:tcW w:w="1030" w:type="dxa"/>
            <w:vAlign w:val="center"/>
          </w:tcPr>
          <w:p w14:paraId="6CE454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p>
        </w:tc>
        <w:tc>
          <w:tcPr>
            <w:tcW w:w="1041" w:type="dxa"/>
            <w:vAlign w:val="center"/>
          </w:tcPr>
          <w:p w14:paraId="61FB4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750" w:type="dxa"/>
            <w:vAlign w:val="center"/>
          </w:tcPr>
          <w:p w14:paraId="6ADBB1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991" w:type="dxa"/>
            <w:vAlign w:val="center"/>
          </w:tcPr>
          <w:p w14:paraId="594AED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液态</w:t>
            </w:r>
          </w:p>
        </w:tc>
        <w:tc>
          <w:tcPr>
            <w:tcW w:w="979" w:type="dxa"/>
            <w:vAlign w:val="center"/>
          </w:tcPr>
          <w:p w14:paraId="217423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11C225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中间仓库，25kg/桶</w:t>
            </w:r>
          </w:p>
        </w:tc>
      </w:tr>
      <w:tr w14:paraId="2F59D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76BD63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13</w:t>
            </w:r>
          </w:p>
        </w:tc>
        <w:tc>
          <w:tcPr>
            <w:tcW w:w="1014" w:type="dxa"/>
            <w:vAlign w:val="center"/>
          </w:tcPr>
          <w:p w14:paraId="100FB5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硫酸铜</w:t>
            </w:r>
          </w:p>
        </w:tc>
        <w:tc>
          <w:tcPr>
            <w:tcW w:w="1030" w:type="dxa"/>
            <w:vAlign w:val="center"/>
          </w:tcPr>
          <w:p w14:paraId="47A50B5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sz w:val="21"/>
                <w:szCs w:val="21"/>
                <w:highlight w:val="none"/>
                <w:u w:val="none" w:color="auto"/>
                <w:lang w:val="en-US" w:eastAsia="zh-CN"/>
              </w:rPr>
              <w:t>98%</w:t>
            </w:r>
          </w:p>
        </w:tc>
        <w:tc>
          <w:tcPr>
            <w:tcW w:w="1041" w:type="dxa"/>
            <w:vAlign w:val="center"/>
          </w:tcPr>
          <w:p w14:paraId="2E818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w:t>
            </w:r>
          </w:p>
        </w:tc>
        <w:tc>
          <w:tcPr>
            <w:tcW w:w="750" w:type="dxa"/>
            <w:vAlign w:val="center"/>
          </w:tcPr>
          <w:p w14:paraId="2B683F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991" w:type="dxa"/>
            <w:vAlign w:val="center"/>
          </w:tcPr>
          <w:p w14:paraId="0A7121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3A5A4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1D410F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中间仓库，25kg/包</w:t>
            </w:r>
          </w:p>
        </w:tc>
      </w:tr>
      <w:tr w14:paraId="66697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2BD0AC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14</w:t>
            </w:r>
          </w:p>
        </w:tc>
        <w:tc>
          <w:tcPr>
            <w:tcW w:w="1014" w:type="dxa"/>
            <w:vAlign w:val="center"/>
          </w:tcPr>
          <w:p w14:paraId="00AFA9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硫酸钴</w:t>
            </w:r>
          </w:p>
        </w:tc>
        <w:tc>
          <w:tcPr>
            <w:tcW w:w="1030" w:type="dxa"/>
            <w:vAlign w:val="center"/>
          </w:tcPr>
          <w:p w14:paraId="67E81AF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sz w:val="21"/>
                <w:szCs w:val="21"/>
                <w:highlight w:val="none"/>
                <w:u w:val="none" w:color="auto"/>
                <w:lang w:val="en-US" w:eastAsia="zh-CN"/>
              </w:rPr>
              <w:t>95%</w:t>
            </w:r>
          </w:p>
        </w:tc>
        <w:tc>
          <w:tcPr>
            <w:tcW w:w="1041" w:type="dxa"/>
            <w:vAlign w:val="center"/>
          </w:tcPr>
          <w:p w14:paraId="291B88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750" w:type="dxa"/>
            <w:vAlign w:val="center"/>
          </w:tcPr>
          <w:p w14:paraId="65283A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991" w:type="dxa"/>
            <w:vAlign w:val="center"/>
          </w:tcPr>
          <w:p w14:paraId="4991D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205D7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791E3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中间仓库，25kg/包</w:t>
            </w:r>
          </w:p>
        </w:tc>
      </w:tr>
      <w:tr w14:paraId="7D607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109354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15</w:t>
            </w:r>
          </w:p>
        </w:tc>
        <w:tc>
          <w:tcPr>
            <w:tcW w:w="1014" w:type="dxa"/>
            <w:vAlign w:val="center"/>
          </w:tcPr>
          <w:p w14:paraId="04C990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氯化钠</w:t>
            </w:r>
          </w:p>
        </w:tc>
        <w:tc>
          <w:tcPr>
            <w:tcW w:w="1030" w:type="dxa"/>
            <w:vAlign w:val="center"/>
          </w:tcPr>
          <w:p w14:paraId="7924D9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08929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15</w:t>
            </w:r>
          </w:p>
        </w:tc>
        <w:tc>
          <w:tcPr>
            <w:tcW w:w="750" w:type="dxa"/>
            <w:vAlign w:val="center"/>
          </w:tcPr>
          <w:p w14:paraId="463228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991" w:type="dxa"/>
            <w:vAlign w:val="center"/>
          </w:tcPr>
          <w:p w14:paraId="4D40E6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287C2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75CB92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500</w:t>
            </w:r>
            <w:r>
              <w:rPr>
                <w:rFonts w:hint="default" w:ascii="Times New Roman" w:hAnsi="Times New Roman" w:eastAsia="宋体" w:cs="Times New Roman"/>
                <w:sz w:val="21"/>
                <w:szCs w:val="21"/>
                <w:highlight w:val="none"/>
                <w:u w:val="none" w:color="auto"/>
                <w:lang w:eastAsia="zh-CN"/>
              </w:rPr>
              <w:t>g/瓶</w:t>
            </w:r>
          </w:p>
        </w:tc>
      </w:tr>
      <w:tr w14:paraId="5C62F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4E8C2F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16</w:t>
            </w:r>
          </w:p>
        </w:tc>
        <w:tc>
          <w:tcPr>
            <w:tcW w:w="1014" w:type="dxa"/>
            <w:vAlign w:val="center"/>
          </w:tcPr>
          <w:p w14:paraId="384C0C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硼酸</w:t>
            </w:r>
          </w:p>
        </w:tc>
        <w:tc>
          <w:tcPr>
            <w:tcW w:w="1030" w:type="dxa"/>
            <w:vAlign w:val="center"/>
          </w:tcPr>
          <w:p w14:paraId="6180F3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100.8%</w:t>
            </w:r>
          </w:p>
        </w:tc>
        <w:tc>
          <w:tcPr>
            <w:tcW w:w="1041" w:type="dxa"/>
            <w:vAlign w:val="center"/>
          </w:tcPr>
          <w:p w14:paraId="761316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w:t>
            </w:r>
          </w:p>
        </w:tc>
        <w:tc>
          <w:tcPr>
            <w:tcW w:w="750" w:type="dxa"/>
            <w:vAlign w:val="center"/>
          </w:tcPr>
          <w:p w14:paraId="1FC64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991" w:type="dxa"/>
            <w:vAlign w:val="center"/>
          </w:tcPr>
          <w:p w14:paraId="4DFEA6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2FA202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2683F0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中间仓库，25kg/包</w:t>
            </w:r>
          </w:p>
        </w:tc>
      </w:tr>
      <w:tr w14:paraId="2E9F9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594" w:type="dxa"/>
            <w:vAlign w:val="center"/>
          </w:tcPr>
          <w:p w14:paraId="76D06B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17</w:t>
            </w:r>
          </w:p>
        </w:tc>
        <w:tc>
          <w:tcPr>
            <w:tcW w:w="1014" w:type="dxa"/>
            <w:vAlign w:val="center"/>
          </w:tcPr>
          <w:p w14:paraId="08777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盐酸</w:t>
            </w:r>
          </w:p>
        </w:tc>
        <w:tc>
          <w:tcPr>
            <w:tcW w:w="1030" w:type="dxa"/>
            <w:vAlign w:val="center"/>
          </w:tcPr>
          <w:p w14:paraId="732F56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37%</w:t>
            </w:r>
          </w:p>
        </w:tc>
        <w:tc>
          <w:tcPr>
            <w:tcW w:w="1041" w:type="dxa"/>
            <w:vAlign w:val="center"/>
          </w:tcPr>
          <w:p w14:paraId="4CAD4C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150</w:t>
            </w:r>
          </w:p>
        </w:tc>
        <w:tc>
          <w:tcPr>
            <w:tcW w:w="750" w:type="dxa"/>
            <w:vAlign w:val="center"/>
          </w:tcPr>
          <w:p w14:paraId="09569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19</w:t>
            </w:r>
          </w:p>
        </w:tc>
        <w:tc>
          <w:tcPr>
            <w:tcW w:w="991" w:type="dxa"/>
            <w:vAlign w:val="center"/>
          </w:tcPr>
          <w:p w14:paraId="5B7F0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液态</w:t>
            </w:r>
          </w:p>
        </w:tc>
        <w:tc>
          <w:tcPr>
            <w:tcW w:w="979" w:type="dxa"/>
            <w:vAlign w:val="center"/>
          </w:tcPr>
          <w:p w14:paraId="4F4E4E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7A0C18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5#厂房易制毒易制爆</w:t>
            </w:r>
            <w:r>
              <w:rPr>
                <w:rFonts w:hint="default" w:ascii="Times New Roman" w:hAnsi="Times New Roman" w:eastAsia="宋体" w:cs="Times New Roman"/>
                <w:color w:val="auto"/>
                <w:sz w:val="21"/>
                <w:szCs w:val="21"/>
                <w:highlight w:val="none"/>
                <w:u w:val="single" w:color="auto"/>
                <w:lang w:eastAsia="zh-CN"/>
              </w:rPr>
              <w:t>化学品仓库，仓库内配有灭火器、防爆灯、设置负压抽风装置，</w:t>
            </w:r>
            <w:r>
              <w:rPr>
                <w:rFonts w:hint="default" w:ascii="Times New Roman" w:hAnsi="Times New Roman" w:eastAsia="宋体" w:cs="Times New Roman"/>
                <w:color w:val="auto"/>
                <w:sz w:val="21"/>
                <w:szCs w:val="21"/>
                <w:highlight w:val="none"/>
                <w:u w:val="single" w:color="auto"/>
                <w:lang w:val="en-US" w:eastAsia="zh-CN"/>
              </w:rPr>
              <w:t>30</w:t>
            </w:r>
            <w:r>
              <w:rPr>
                <w:rFonts w:hint="default" w:ascii="Times New Roman" w:hAnsi="Times New Roman" w:eastAsia="宋体" w:cs="Times New Roman"/>
                <w:color w:val="auto"/>
                <w:sz w:val="21"/>
                <w:szCs w:val="21"/>
                <w:highlight w:val="none"/>
                <w:u w:val="single" w:color="auto"/>
                <w:lang w:eastAsia="zh-CN"/>
              </w:rPr>
              <w:t>kg/桶</w:t>
            </w:r>
          </w:p>
        </w:tc>
      </w:tr>
      <w:tr w14:paraId="0E363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594" w:type="dxa"/>
            <w:vAlign w:val="center"/>
          </w:tcPr>
          <w:p w14:paraId="7BF549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18</w:t>
            </w:r>
          </w:p>
        </w:tc>
        <w:tc>
          <w:tcPr>
            <w:tcW w:w="1014" w:type="dxa"/>
            <w:vAlign w:val="center"/>
          </w:tcPr>
          <w:p w14:paraId="635407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硫酸</w:t>
            </w:r>
          </w:p>
        </w:tc>
        <w:tc>
          <w:tcPr>
            <w:tcW w:w="1030" w:type="dxa"/>
            <w:vAlign w:val="center"/>
          </w:tcPr>
          <w:p w14:paraId="08F572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98%</w:t>
            </w:r>
          </w:p>
        </w:tc>
        <w:tc>
          <w:tcPr>
            <w:tcW w:w="1041" w:type="dxa"/>
            <w:vAlign w:val="center"/>
          </w:tcPr>
          <w:p w14:paraId="7DB7B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100</w:t>
            </w:r>
          </w:p>
        </w:tc>
        <w:tc>
          <w:tcPr>
            <w:tcW w:w="750" w:type="dxa"/>
            <w:vAlign w:val="center"/>
          </w:tcPr>
          <w:p w14:paraId="74A4A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15</w:t>
            </w:r>
          </w:p>
        </w:tc>
        <w:tc>
          <w:tcPr>
            <w:tcW w:w="991" w:type="dxa"/>
            <w:vAlign w:val="center"/>
          </w:tcPr>
          <w:p w14:paraId="75D685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液态</w:t>
            </w:r>
          </w:p>
        </w:tc>
        <w:tc>
          <w:tcPr>
            <w:tcW w:w="979" w:type="dxa"/>
            <w:vAlign w:val="center"/>
          </w:tcPr>
          <w:p w14:paraId="72C4EA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764926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5#厂房易制毒易制爆</w:t>
            </w:r>
            <w:r>
              <w:rPr>
                <w:rFonts w:hint="default" w:ascii="Times New Roman" w:hAnsi="Times New Roman" w:eastAsia="宋体" w:cs="Times New Roman"/>
                <w:color w:val="auto"/>
                <w:sz w:val="21"/>
                <w:szCs w:val="21"/>
                <w:highlight w:val="none"/>
                <w:u w:val="single" w:color="auto"/>
                <w:lang w:eastAsia="zh-CN"/>
              </w:rPr>
              <w:t>化学品仓库，仓库内配有灭火器、防爆灯、设置负压抽风装置，</w:t>
            </w:r>
            <w:r>
              <w:rPr>
                <w:rFonts w:hint="default" w:ascii="Times New Roman" w:hAnsi="Times New Roman" w:eastAsia="宋体" w:cs="Times New Roman"/>
                <w:color w:val="auto"/>
                <w:sz w:val="21"/>
                <w:szCs w:val="21"/>
                <w:highlight w:val="none"/>
                <w:u w:val="single" w:color="auto"/>
                <w:lang w:val="en-US" w:eastAsia="zh-CN"/>
              </w:rPr>
              <w:t>40</w:t>
            </w:r>
            <w:r>
              <w:rPr>
                <w:rFonts w:hint="default" w:ascii="Times New Roman" w:hAnsi="Times New Roman" w:eastAsia="宋体" w:cs="Times New Roman"/>
                <w:color w:val="auto"/>
                <w:sz w:val="21"/>
                <w:szCs w:val="21"/>
                <w:highlight w:val="none"/>
                <w:u w:val="single" w:color="auto"/>
                <w:lang w:eastAsia="zh-CN"/>
              </w:rPr>
              <w:t>kg/桶</w:t>
            </w:r>
          </w:p>
        </w:tc>
      </w:tr>
      <w:tr w14:paraId="66CC9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594" w:type="dxa"/>
            <w:vAlign w:val="center"/>
          </w:tcPr>
          <w:p w14:paraId="08854C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19</w:t>
            </w:r>
          </w:p>
        </w:tc>
        <w:tc>
          <w:tcPr>
            <w:tcW w:w="1014" w:type="dxa"/>
            <w:vAlign w:val="center"/>
          </w:tcPr>
          <w:p w14:paraId="76DF6B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硝酸</w:t>
            </w:r>
          </w:p>
        </w:tc>
        <w:tc>
          <w:tcPr>
            <w:tcW w:w="1030" w:type="dxa"/>
            <w:vAlign w:val="center"/>
          </w:tcPr>
          <w:p w14:paraId="34849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65%</w:t>
            </w:r>
          </w:p>
        </w:tc>
        <w:tc>
          <w:tcPr>
            <w:tcW w:w="1041" w:type="dxa"/>
            <w:vAlign w:val="center"/>
          </w:tcPr>
          <w:p w14:paraId="1DEDF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w:t>
            </w:r>
          </w:p>
        </w:tc>
        <w:tc>
          <w:tcPr>
            <w:tcW w:w="750" w:type="dxa"/>
            <w:vAlign w:val="center"/>
          </w:tcPr>
          <w:p w14:paraId="0840E2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w:t>
            </w:r>
          </w:p>
        </w:tc>
        <w:tc>
          <w:tcPr>
            <w:tcW w:w="991" w:type="dxa"/>
            <w:vAlign w:val="center"/>
          </w:tcPr>
          <w:p w14:paraId="284836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液态</w:t>
            </w:r>
          </w:p>
        </w:tc>
        <w:tc>
          <w:tcPr>
            <w:tcW w:w="979" w:type="dxa"/>
            <w:vAlign w:val="center"/>
          </w:tcPr>
          <w:p w14:paraId="21A1BF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6DA959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5#厂房易制毒易制爆</w:t>
            </w:r>
            <w:r>
              <w:rPr>
                <w:rFonts w:hint="default" w:ascii="Times New Roman" w:hAnsi="Times New Roman" w:eastAsia="宋体" w:cs="Times New Roman"/>
                <w:color w:val="auto"/>
                <w:sz w:val="21"/>
                <w:szCs w:val="21"/>
                <w:highlight w:val="none"/>
                <w:u w:val="single" w:color="auto"/>
                <w:lang w:eastAsia="zh-CN"/>
              </w:rPr>
              <w:t>化学品仓库，仓库内配有灭火器、防爆灯、设置负压抽风装置，</w:t>
            </w:r>
            <w:r>
              <w:rPr>
                <w:rFonts w:hint="default" w:ascii="Times New Roman" w:hAnsi="Times New Roman" w:eastAsia="宋体" w:cs="Times New Roman"/>
                <w:color w:val="auto"/>
                <w:sz w:val="21"/>
                <w:szCs w:val="21"/>
                <w:highlight w:val="none"/>
                <w:u w:val="single" w:color="auto"/>
                <w:lang w:val="en-US" w:eastAsia="zh-CN"/>
              </w:rPr>
              <w:t>10L</w:t>
            </w:r>
            <w:r>
              <w:rPr>
                <w:rFonts w:hint="default" w:ascii="Times New Roman" w:hAnsi="Times New Roman" w:eastAsia="宋体" w:cs="Times New Roman"/>
                <w:color w:val="auto"/>
                <w:sz w:val="21"/>
                <w:szCs w:val="21"/>
                <w:highlight w:val="none"/>
                <w:u w:val="single" w:color="auto"/>
                <w:lang w:eastAsia="zh-CN"/>
              </w:rPr>
              <w:t>/桶</w:t>
            </w:r>
          </w:p>
        </w:tc>
      </w:tr>
      <w:tr w14:paraId="1CD58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631F0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20</w:t>
            </w:r>
          </w:p>
        </w:tc>
        <w:tc>
          <w:tcPr>
            <w:tcW w:w="1014" w:type="dxa"/>
            <w:vAlign w:val="center"/>
          </w:tcPr>
          <w:p w14:paraId="0249E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氢氧化钠</w:t>
            </w:r>
          </w:p>
        </w:tc>
        <w:tc>
          <w:tcPr>
            <w:tcW w:w="1030" w:type="dxa"/>
            <w:vAlign w:val="center"/>
          </w:tcPr>
          <w:p w14:paraId="22F93C5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sz w:val="21"/>
                <w:szCs w:val="21"/>
                <w:highlight w:val="none"/>
                <w:u w:val="none" w:color="auto"/>
                <w:lang w:val="en-US" w:eastAsia="zh-CN"/>
              </w:rPr>
              <w:t>99.17%</w:t>
            </w:r>
          </w:p>
        </w:tc>
        <w:tc>
          <w:tcPr>
            <w:tcW w:w="1041" w:type="dxa"/>
            <w:vAlign w:val="center"/>
          </w:tcPr>
          <w:p w14:paraId="375B4F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60</w:t>
            </w:r>
          </w:p>
        </w:tc>
        <w:tc>
          <w:tcPr>
            <w:tcW w:w="750" w:type="dxa"/>
            <w:vAlign w:val="center"/>
          </w:tcPr>
          <w:p w14:paraId="230EB4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w:t>
            </w:r>
          </w:p>
        </w:tc>
        <w:tc>
          <w:tcPr>
            <w:tcW w:w="991" w:type="dxa"/>
            <w:vAlign w:val="center"/>
          </w:tcPr>
          <w:p w14:paraId="676B1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41CCB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54996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中间仓库，25kg/包</w:t>
            </w:r>
          </w:p>
        </w:tc>
      </w:tr>
      <w:tr w14:paraId="62DD0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6C3E5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21</w:t>
            </w:r>
          </w:p>
        </w:tc>
        <w:tc>
          <w:tcPr>
            <w:tcW w:w="1014" w:type="dxa"/>
            <w:vAlign w:val="center"/>
          </w:tcPr>
          <w:p w14:paraId="43EAD8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碳酸钠</w:t>
            </w:r>
          </w:p>
        </w:tc>
        <w:tc>
          <w:tcPr>
            <w:tcW w:w="1030" w:type="dxa"/>
            <w:vAlign w:val="center"/>
          </w:tcPr>
          <w:p w14:paraId="3DF5083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sz w:val="21"/>
                <w:szCs w:val="21"/>
                <w:highlight w:val="none"/>
                <w:u w:val="none" w:color="auto"/>
                <w:lang w:val="en-US" w:eastAsia="zh-CN"/>
              </w:rPr>
              <w:t>99.38%</w:t>
            </w:r>
          </w:p>
        </w:tc>
        <w:tc>
          <w:tcPr>
            <w:tcW w:w="1041" w:type="dxa"/>
            <w:vAlign w:val="center"/>
          </w:tcPr>
          <w:p w14:paraId="354C7D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750" w:type="dxa"/>
            <w:vAlign w:val="center"/>
          </w:tcPr>
          <w:p w14:paraId="49A73D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991" w:type="dxa"/>
            <w:vAlign w:val="center"/>
          </w:tcPr>
          <w:p w14:paraId="239C10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18E4FE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04A258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中间仓库，25kg/包</w:t>
            </w:r>
          </w:p>
        </w:tc>
      </w:tr>
      <w:tr w14:paraId="43D2F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3EC69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22</w:t>
            </w:r>
          </w:p>
        </w:tc>
        <w:tc>
          <w:tcPr>
            <w:tcW w:w="1014" w:type="dxa"/>
            <w:vAlign w:val="center"/>
          </w:tcPr>
          <w:p w14:paraId="3E413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硝酸钠</w:t>
            </w:r>
          </w:p>
        </w:tc>
        <w:tc>
          <w:tcPr>
            <w:tcW w:w="1030" w:type="dxa"/>
            <w:vAlign w:val="center"/>
          </w:tcPr>
          <w:p w14:paraId="6D63A4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7DB3A5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0.5</w:t>
            </w:r>
          </w:p>
        </w:tc>
        <w:tc>
          <w:tcPr>
            <w:tcW w:w="750" w:type="dxa"/>
            <w:vAlign w:val="center"/>
          </w:tcPr>
          <w:p w14:paraId="62E96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w:t>
            </w:r>
          </w:p>
        </w:tc>
        <w:tc>
          <w:tcPr>
            <w:tcW w:w="991" w:type="dxa"/>
            <w:vAlign w:val="center"/>
          </w:tcPr>
          <w:p w14:paraId="7944C6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08A8AC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5CC8CD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2#、3#厂房甲类</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1</w:t>
            </w:r>
            <w:r>
              <w:rPr>
                <w:rFonts w:hint="default" w:ascii="Times New Roman" w:hAnsi="Times New Roman" w:eastAsia="宋体" w:cs="Times New Roman"/>
                <w:sz w:val="21"/>
                <w:szCs w:val="21"/>
                <w:highlight w:val="none"/>
                <w:u w:val="none" w:color="auto"/>
                <w:lang w:eastAsia="zh-CN"/>
              </w:rPr>
              <w:t>kg/包</w:t>
            </w:r>
          </w:p>
        </w:tc>
      </w:tr>
      <w:tr w14:paraId="68EAB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7EC0FB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23</w:t>
            </w:r>
          </w:p>
        </w:tc>
        <w:tc>
          <w:tcPr>
            <w:tcW w:w="1014" w:type="dxa"/>
            <w:vAlign w:val="center"/>
          </w:tcPr>
          <w:p w14:paraId="05E61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十二烷基硫酸钠</w:t>
            </w:r>
          </w:p>
        </w:tc>
        <w:tc>
          <w:tcPr>
            <w:tcW w:w="1030" w:type="dxa"/>
            <w:vAlign w:val="center"/>
          </w:tcPr>
          <w:p w14:paraId="4E8D8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71145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750" w:type="dxa"/>
            <w:vAlign w:val="center"/>
          </w:tcPr>
          <w:p w14:paraId="3B45C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w:t>
            </w:r>
          </w:p>
        </w:tc>
        <w:tc>
          <w:tcPr>
            <w:tcW w:w="991" w:type="dxa"/>
            <w:vAlign w:val="center"/>
          </w:tcPr>
          <w:p w14:paraId="66074D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4ED723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74844F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1</w:t>
            </w:r>
            <w:r>
              <w:rPr>
                <w:rFonts w:hint="default" w:ascii="Times New Roman" w:hAnsi="Times New Roman" w:eastAsia="宋体" w:cs="Times New Roman"/>
                <w:sz w:val="21"/>
                <w:szCs w:val="21"/>
                <w:highlight w:val="none"/>
                <w:u w:val="none" w:color="auto"/>
                <w:lang w:eastAsia="zh-CN"/>
              </w:rPr>
              <w:t>kg/包</w:t>
            </w:r>
          </w:p>
        </w:tc>
      </w:tr>
      <w:tr w14:paraId="64350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19D33D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24</w:t>
            </w:r>
          </w:p>
        </w:tc>
        <w:tc>
          <w:tcPr>
            <w:tcW w:w="1014" w:type="dxa"/>
            <w:vAlign w:val="center"/>
          </w:tcPr>
          <w:p w14:paraId="32E868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1-4丁炔二醇</w:t>
            </w:r>
          </w:p>
        </w:tc>
        <w:tc>
          <w:tcPr>
            <w:tcW w:w="1030" w:type="dxa"/>
            <w:vAlign w:val="center"/>
          </w:tcPr>
          <w:p w14:paraId="4327C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04790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7</w:t>
            </w:r>
          </w:p>
        </w:tc>
        <w:tc>
          <w:tcPr>
            <w:tcW w:w="750" w:type="dxa"/>
            <w:vAlign w:val="center"/>
          </w:tcPr>
          <w:p w14:paraId="017F4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991" w:type="dxa"/>
            <w:vAlign w:val="center"/>
          </w:tcPr>
          <w:p w14:paraId="454832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液态</w:t>
            </w:r>
          </w:p>
        </w:tc>
        <w:tc>
          <w:tcPr>
            <w:tcW w:w="979" w:type="dxa"/>
            <w:vAlign w:val="center"/>
          </w:tcPr>
          <w:p w14:paraId="59139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47D750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500</w:t>
            </w:r>
            <w:r>
              <w:rPr>
                <w:rFonts w:hint="default" w:ascii="Times New Roman" w:hAnsi="Times New Roman" w:eastAsia="宋体" w:cs="Times New Roman"/>
                <w:sz w:val="21"/>
                <w:szCs w:val="21"/>
                <w:highlight w:val="none"/>
                <w:u w:val="none" w:color="auto"/>
                <w:lang w:eastAsia="zh-CN"/>
              </w:rPr>
              <w:t>g/瓶</w:t>
            </w:r>
          </w:p>
        </w:tc>
      </w:tr>
      <w:tr w14:paraId="68767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594" w:type="dxa"/>
            <w:vAlign w:val="center"/>
          </w:tcPr>
          <w:p w14:paraId="308C9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25</w:t>
            </w:r>
          </w:p>
        </w:tc>
        <w:tc>
          <w:tcPr>
            <w:tcW w:w="1014" w:type="dxa"/>
            <w:vAlign w:val="center"/>
          </w:tcPr>
          <w:p w14:paraId="2206A2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切削液</w:t>
            </w:r>
          </w:p>
        </w:tc>
        <w:tc>
          <w:tcPr>
            <w:tcW w:w="1030" w:type="dxa"/>
            <w:vAlign w:val="center"/>
          </w:tcPr>
          <w:p w14:paraId="13DB4C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p>
        </w:tc>
        <w:tc>
          <w:tcPr>
            <w:tcW w:w="1041" w:type="dxa"/>
            <w:vAlign w:val="center"/>
          </w:tcPr>
          <w:p w14:paraId="5E58DB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w:t>
            </w:r>
          </w:p>
        </w:tc>
        <w:tc>
          <w:tcPr>
            <w:tcW w:w="750" w:type="dxa"/>
            <w:vAlign w:val="center"/>
          </w:tcPr>
          <w:p w14:paraId="320D36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991" w:type="dxa"/>
            <w:vAlign w:val="center"/>
          </w:tcPr>
          <w:p w14:paraId="53B890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液态</w:t>
            </w:r>
          </w:p>
        </w:tc>
        <w:tc>
          <w:tcPr>
            <w:tcW w:w="979" w:type="dxa"/>
            <w:vAlign w:val="center"/>
          </w:tcPr>
          <w:p w14:paraId="0944D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5A56AA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170k</w:t>
            </w:r>
            <w:r>
              <w:rPr>
                <w:rFonts w:hint="default" w:ascii="Times New Roman" w:hAnsi="Times New Roman" w:eastAsia="宋体" w:cs="Times New Roman"/>
                <w:sz w:val="21"/>
                <w:szCs w:val="21"/>
                <w:highlight w:val="none"/>
                <w:u w:val="none" w:color="auto"/>
                <w:lang w:eastAsia="zh-CN"/>
              </w:rPr>
              <w:t>g/桶</w:t>
            </w:r>
          </w:p>
        </w:tc>
      </w:tr>
      <w:tr w14:paraId="7369B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6F857E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26</w:t>
            </w:r>
          </w:p>
        </w:tc>
        <w:tc>
          <w:tcPr>
            <w:tcW w:w="1014" w:type="dxa"/>
            <w:vAlign w:val="center"/>
          </w:tcPr>
          <w:p w14:paraId="49EC8C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铜板</w:t>
            </w:r>
          </w:p>
        </w:tc>
        <w:tc>
          <w:tcPr>
            <w:tcW w:w="1030" w:type="dxa"/>
            <w:vAlign w:val="center"/>
          </w:tcPr>
          <w:p w14:paraId="1508E9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100*200mm</w:t>
            </w:r>
          </w:p>
        </w:tc>
        <w:tc>
          <w:tcPr>
            <w:tcW w:w="1041" w:type="dxa"/>
            <w:vAlign w:val="center"/>
          </w:tcPr>
          <w:p w14:paraId="20BEF1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750" w:type="dxa"/>
            <w:vAlign w:val="center"/>
          </w:tcPr>
          <w:p w14:paraId="1F5E0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991" w:type="dxa"/>
            <w:vAlign w:val="center"/>
          </w:tcPr>
          <w:p w14:paraId="73872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771BFE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1895F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p>
        </w:tc>
      </w:tr>
      <w:tr w14:paraId="52719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0DBB44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27</w:t>
            </w:r>
          </w:p>
        </w:tc>
        <w:tc>
          <w:tcPr>
            <w:tcW w:w="1014" w:type="dxa"/>
            <w:vAlign w:val="center"/>
          </w:tcPr>
          <w:p w14:paraId="6FC301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立方氮化硼</w:t>
            </w:r>
          </w:p>
        </w:tc>
        <w:tc>
          <w:tcPr>
            <w:tcW w:w="1030" w:type="dxa"/>
            <w:vAlign w:val="center"/>
          </w:tcPr>
          <w:p w14:paraId="6904FA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16#~1200#</w:t>
            </w:r>
          </w:p>
        </w:tc>
        <w:tc>
          <w:tcPr>
            <w:tcW w:w="1041" w:type="dxa"/>
            <w:vAlign w:val="center"/>
          </w:tcPr>
          <w:p w14:paraId="508F8E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w:t>
            </w:r>
          </w:p>
        </w:tc>
        <w:tc>
          <w:tcPr>
            <w:tcW w:w="750" w:type="dxa"/>
            <w:vAlign w:val="center"/>
          </w:tcPr>
          <w:p w14:paraId="534F9C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991" w:type="dxa"/>
            <w:vAlign w:val="center"/>
          </w:tcPr>
          <w:p w14:paraId="489CF2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2B63E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778247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p>
        </w:tc>
      </w:tr>
      <w:tr w14:paraId="47074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2F7114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28</w:t>
            </w:r>
          </w:p>
        </w:tc>
        <w:tc>
          <w:tcPr>
            <w:tcW w:w="1014" w:type="dxa"/>
            <w:vAlign w:val="center"/>
          </w:tcPr>
          <w:p w14:paraId="53435C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磷酸三钠</w:t>
            </w:r>
          </w:p>
        </w:tc>
        <w:tc>
          <w:tcPr>
            <w:tcW w:w="1030" w:type="dxa"/>
            <w:vAlign w:val="center"/>
          </w:tcPr>
          <w:p w14:paraId="5378E73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sz w:val="21"/>
                <w:szCs w:val="21"/>
                <w:highlight w:val="none"/>
                <w:u w:val="none" w:color="auto"/>
                <w:lang w:val="en-US" w:eastAsia="zh-CN"/>
              </w:rPr>
              <w:t>98%</w:t>
            </w:r>
          </w:p>
        </w:tc>
        <w:tc>
          <w:tcPr>
            <w:tcW w:w="1041" w:type="dxa"/>
            <w:vAlign w:val="center"/>
          </w:tcPr>
          <w:p w14:paraId="796DE5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750" w:type="dxa"/>
            <w:vAlign w:val="center"/>
          </w:tcPr>
          <w:p w14:paraId="2917C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w:t>
            </w:r>
          </w:p>
        </w:tc>
        <w:tc>
          <w:tcPr>
            <w:tcW w:w="991" w:type="dxa"/>
            <w:vAlign w:val="center"/>
          </w:tcPr>
          <w:p w14:paraId="2F5DA6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液态</w:t>
            </w:r>
          </w:p>
        </w:tc>
        <w:tc>
          <w:tcPr>
            <w:tcW w:w="979" w:type="dxa"/>
            <w:vAlign w:val="center"/>
          </w:tcPr>
          <w:p w14:paraId="34894E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0F3C19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25k</w:t>
            </w:r>
            <w:r>
              <w:rPr>
                <w:rFonts w:hint="default" w:ascii="Times New Roman" w:hAnsi="Times New Roman" w:eastAsia="宋体" w:cs="Times New Roman"/>
                <w:sz w:val="21"/>
                <w:szCs w:val="21"/>
                <w:highlight w:val="none"/>
                <w:u w:val="none" w:color="auto"/>
                <w:lang w:eastAsia="zh-CN"/>
              </w:rPr>
              <w:t>g</w:t>
            </w:r>
            <w:r>
              <w:rPr>
                <w:rFonts w:hint="default" w:ascii="Times New Roman" w:hAnsi="Times New Roman" w:eastAsia="宋体" w:cs="Times New Roman"/>
                <w:sz w:val="21"/>
                <w:szCs w:val="21"/>
                <w:highlight w:val="none"/>
                <w:u w:val="none" w:color="auto"/>
                <w:lang w:val="en-US" w:eastAsia="zh-CN"/>
              </w:rPr>
              <w:t>/包</w:t>
            </w:r>
          </w:p>
        </w:tc>
      </w:tr>
      <w:tr w14:paraId="0307C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3E13C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29</w:t>
            </w:r>
          </w:p>
        </w:tc>
        <w:tc>
          <w:tcPr>
            <w:tcW w:w="1014" w:type="dxa"/>
            <w:vAlign w:val="center"/>
          </w:tcPr>
          <w:p w14:paraId="23F7C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酒石酸钾钠</w:t>
            </w:r>
          </w:p>
        </w:tc>
        <w:tc>
          <w:tcPr>
            <w:tcW w:w="1030" w:type="dxa"/>
            <w:vAlign w:val="center"/>
          </w:tcPr>
          <w:p w14:paraId="05C13F0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z w:val="21"/>
                <w:szCs w:val="21"/>
                <w:highlight w:val="none"/>
                <w:u w:val="none" w:color="auto"/>
                <w:lang w:val="en-US" w:eastAsia="zh-CN"/>
              </w:rPr>
              <w:t>98.8%</w:t>
            </w:r>
          </w:p>
        </w:tc>
        <w:tc>
          <w:tcPr>
            <w:tcW w:w="1041" w:type="dxa"/>
            <w:vAlign w:val="center"/>
          </w:tcPr>
          <w:p w14:paraId="6FA289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750" w:type="dxa"/>
            <w:vAlign w:val="center"/>
          </w:tcPr>
          <w:p w14:paraId="3B17AE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w:t>
            </w:r>
          </w:p>
        </w:tc>
        <w:tc>
          <w:tcPr>
            <w:tcW w:w="991" w:type="dxa"/>
            <w:vAlign w:val="center"/>
          </w:tcPr>
          <w:p w14:paraId="5C3A5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26986C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3F797B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2</w:t>
            </w:r>
            <w:r>
              <w:rPr>
                <w:rFonts w:hint="default" w:ascii="Times New Roman" w:hAnsi="Times New Roman" w:eastAsia="宋体" w:cs="Times New Roman"/>
                <w:sz w:val="21"/>
                <w:szCs w:val="21"/>
                <w:highlight w:val="none"/>
                <w:u w:val="none" w:color="auto"/>
                <w:lang w:eastAsia="zh-CN"/>
              </w:rPr>
              <w:t>5kg/包</w:t>
            </w:r>
          </w:p>
        </w:tc>
      </w:tr>
      <w:tr w14:paraId="3F7CD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94" w:type="dxa"/>
            <w:vAlign w:val="center"/>
          </w:tcPr>
          <w:p w14:paraId="519933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30</w:t>
            </w:r>
          </w:p>
        </w:tc>
        <w:tc>
          <w:tcPr>
            <w:tcW w:w="1014" w:type="dxa"/>
            <w:vAlign w:val="center"/>
          </w:tcPr>
          <w:p w14:paraId="172236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酚醛树脂</w:t>
            </w:r>
          </w:p>
        </w:tc>
        <w:tc>
          <w:tcPr>
            <w:tcW w:w="1030" w:type="dxa"/>
            <w:vAlign w:val="center"/>
          </w:tcPr>
          <w:p w14:paraId="0446A3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46ECB1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w:t>
            </w:r>
          </w:p>
        </w:tc>
        <w:tc>
          <w:tcPr>
            <w:tcW w:w="750" w:type="dxa"/>
            <w:vAlign w:val="center"/>
          </w:tcPr>
          <w:p w14:paraId="724A15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w:t>
            </w:r>
          </w:p>
        </w:tc>
        <w:tc>
          <w:tcPr>
            <w:tcW w:w="991" w:type="dxa"/>
            <w:vAlign w:val="center"/>
          </w:tcPr>
          <w:p w14:paraId="0A182A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53F6D8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7DC75D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2</w:t>
            </w:r>
            <w:r>
              <w:rPr>
                <w:rFonts w:hint="default" w:ascii="Times New Roman" w:hAnsi="Times New Roman" w:eastAsia="宋体" w:cs="Times New Roman"/>
                <w:sz w:val="21"/>
                <w:szCs w:val="21"/>
                <w:highlight w:val="none"/>
                <w:u w:val="none" w:color="auto"/>
                <w:lang w:eastAsia="zh-CN"/>
              </w:rPr>
              <w:t>5kg/包</w:t>
            </w:r>
          </w:p>
        </w:tc>
      </w:tr>
      <w:tr w14:paraId="03CEE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191FDF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31</w:t>
            </w:r>
          </w:p>
        </w:tc>
        <w:tc>
          <w:tcPr>
            <w:tcW w:w="1014" w:type="dxa"/>
            <w:vAlign w:val="center"/>
          </w:tcPr>
          <w:p w14:paraId="24C7D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铜粉</w:t>
            </w:r>
          </w:p>
        </w:tc>
        <w:tc>
          <w:tcPr>
            <w:tcW w:w="1030" w:type="dxa"/>
            <w:vAlign w:val="center"/>
          </w:tcPr>
          <w:p w14:paraId="0EC6F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47814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750" w:type="dxa"/>
            <w:vAlign w:val="center"/>
          </w:tcPr>
          <w:p w14:paraId="26F54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c>
          <w:tcPr>
            <w:tcW w:w="991" w:type="dxa"/>
            <w:vAlign w:val="center"/>
          </w:tcPr>
          <w:p w14:paraId="1C4DB1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7585D2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602729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2#、3#厂房乙类</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2</w:t>
            </w:r>
            <w:r>
              <w:rPr>
                <w:rFonts w:hint="default" w:ascii="Times New Roman" w:hAnsi="Times New Roman" w:eastAsia="宋体" w:cs="Times New Roman"/>
                <w:sz w:val="21"/>
                <w:szCs w:val="21"/>
                <w:highlight w:val="none"/>
                <w:u w:val="none" w:color="auto"/>
                <w:lang w:eastAsia="zh-CN"/>
              </w:rPr>
              <w:t>5kg/包</w:t>
            </w:r>
          </w:p>
        </w:tc>
      </w:tr>
      <w:tr w14:paraId="705E2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76D0B7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32</w:t>
            </w:r>
          </w:p>
        </w:tc>
        <w:tc>
          <w:tcPr>
            <w:tcW w:w="1014" w:type="dxa"/>
            <w:vAlign w:val="center"/>
          </w:tcPr>
          <w:p w14:paraId="5E7F9F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镍粉</w:t>
            </w:r>
          </w:p>
        </w:tc>
        <w:tc>
          <w:tcPr>
            <w:tcW w:w="1030" w:type="dxa"/>
            <w:vAlign w:val="center"/>
          </w:tcPr>
          <w:p w14:paraId="4DA61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718381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750" w:type="dxa"/>
            <w:vAlign w:val="center"/>
          </w:tcPr>
          <w:p w14:paraId="3A2390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w:t>
            </w:r>
          </w:p>
        </w:tc>
        <w:tc>
          <w:tcPr>
            <w:tcW w:w="991" w:type="dxa"/>
            <w:vAlign w:val="center"/>
          </w:tcPr>
          <w:p w14:paraId="74768E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6335DD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46358D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2#、3#厂房乙类</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2</w:t>
            </w:r>
            <w:r>
              <w:rPr>
                <w:rFonts w:hint="default" w:ascii="Times New Roman" w:hAnsi="Times New Roman" w:eastAsia="宋体" w:cs="Times New Roman"/>
                <w:sz w:val="21"/>
                <w:szCs w:val="21"/>
                <w:highlight w:val="none"/>
                <w:u w:val="none" w:color="auto"/>
                <w:lang w:eastAsia="zh-CN"/>
              </w:rPr>
              <w:t>5kg/包</w:t>
            </w:r>
          </w:p>
        </w:tc>
      </w:tr>
      <w:tr w14:paraId="33C72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94" w:type="dxa"/>
            <w:vAlign w:val="center"/>
          </w:tcPr>
          <w:p w14:paraId="4490AB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33</w:t>
            </w:r>
          </w:p>
        </w:tc>
        <w:tc>
          <w:tcPr>
            <w:tcW w:w="1014" w:type="dxa"/>
            <w:vAlign w:val="center"/>
          </w:tcPr>
          <w:p w14:paraId="6521FE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锡粉</w:t>
            </w:r>
          </w:p>
        </w:tc>
        <w:tc>
          <w:tcPr>
            <w:tcW w:w="1030" w:type="dxa"/>
            <w:vAlign w:val="center"/>
          </w:tcPr>
          <w:p w14:paraId="0A9722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1041" w:type="dxa"/>
            <w:vAlign w:val="center"/>
          </w:tcPr>
          <w:p w14:paraId="33150E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w:t>
            </w:r>
          </w:p>
        </w:tc>
        <w:tc>
          <w:tcPr>
            <w:tcW w:w="750" w:type="dxa"/>
            <w:vAlign w:val="center"/>
          </w:tcPr>
          <w:p w14:paraId="5C759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w:t>
            </w:r>
          </w:p>
        </w:tc>
        <w:tc>
          <w:tcPr>
            <w:tcW w:w="991" w:type="dxa"/>
            <w:vAlign w:val="center"/>
          </w:tcPr>
          <w:p w14:paraId="178F82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31C3F3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7EFF0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2#、3#厂房乙类</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2</w:t>
            </w:r>
            <w:r>
              <w:rPr>
                <w:rFonts w:hint="default" w:ascii="Times New Roman" w:hAnsi="Times New Roman" w:eastAsia="宋体" w:cs="Times New Roman"/>
                <w:sz w:val="21"/>
                <w:szCs w:val="21"/>
                <w:highlight w:val="none"/>
                <w:u w:val="none" w:color="auto"/>
                <w:lang w:eastAsia="zh-CN"/>
              </w:rPr>
              <w:t>5kg/包</w:t>
            </w:r>
          </w:p>
        </w:tc>
      </w:tr>
      <w:tr w14:paraId="2B24F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94" w:type="dxa"/>
            <w:vAlign w:val="center"/>
          </w:tcPr>
          <w:p w14:paraId="71817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34</w:t>
            </w:r>
          </w:p>
        </w:tc>
        <w:tc>
          <w:tcPr>
            <w:tcW w:w="1014" w:type="dxa"/>
            <w:vAlign w:val="center"/>
          </w:tcPr>
          <w:p w14:paraId="330DDC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氧化锌</w:t>
            </w:r>
          </w:p>
        </w:tc>
        <w:tc>
          <w:tcPr>
            <w:tcW w:w="1030" w:type="dxa"/>
            <w:vAlign w:val="center"/>
          </w:tcPr>
          <w:p w14:paraId="5C3C1D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p>
        </w:tc>
        <w:tc>
          <w:tcPr>
            <w:tcW w:w="1041" w:type="dxa"/>
            <w:vAlign w:val="center"/>
          </w:tcPr>
          <w:p w14:paraId="350C33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750" w:type="dxa"/>
            <w:vAlign w:val="center"/>
          </w:tcPr>
          <w:p w14:paraId="44AE1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w:t>
            </w:r>
          </w:p>
        </w:tc>
        <w:tc>
          <w:tcPr>
            <w:tcW w:w="991" w:type="dxa"/>
            <w:vAlign w:val="center"/>
          </w:tcPr>
          <w:p w14:paraId="09EC7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固态</w:t>
            </w:r>
          </w:p>
        </w:tc>
        <w:tc>
          <w:tcPr>
            <w:tcW w:w="979" w:type="dxa"/>
            <w:vAlign w:val="center"/>
          </w:tcPr>
          <w:p w14:paraId="0C8FF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外购</w:t>
            </w:r>
          </w:p>
        </w:tc>
        <w:tc>
          <w:tcPr>
            <w:tcW w:w="2377" w:type="dxa"/>
            <w:vAlign w:val="center"/>
          </w:tcPr>
          <w:p w14:paraId="6F9E83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sz w:val="21"/>
                <w:szCs w:val="21"/>
                <w:highlight w:val="none"/>
                <w:u w:val="none" w:color="auto"/>
                <w:lang w:val="en-US" w:eastAsia="zh-CN"/>
              </w:rPr>
              <w:t>2#、3#厂房</w:t>
            </w:r>
            <w:r>
              <w:rPr>
                <w:rFonts w:hint="default" w:ascii="Times New Roman" w:hAnsi="Times New Roman" w:eastAsia="宋体" w:cs="Times New Roman"/>
                <w:sz w:val="21"/>
                <w:szCs w:val="21"/>
                <w:highlight w:val="none"/>
                <w:u w:val="none" w:color="auto"/>
                <w:lang w:eastAsia="zh-CN"/>
              </w:rPr>
              <w:t>中间仓库，</w:t>
            </w:r>
            <w:r>
              <w:rPr>
                <w:rFonts w:hint="default" w:ascii="Times New Roman" w:hAnsi="Times New Roman" w:eastAsia="宋体" w:cs="Times New Roman"/>
                <w:sz w:val="21"/>
                <w:szCs w:val="21"/>
                <w:highlight w:val="none"/>
                <w:u w:val="none" w:color="auto"/>
                <w:lang w:val="en-US" w:eastAsia="zh-CN"/>
              </w:rPr>
              <w:t>2</w:t>
            </w:r>
            <w:r>
              <w:rPr>
                <w:rFonts w:hint="default" w:ascii="Times New Roman" w:hAnsi="Times New Roman" w:eastAsia="宋体" w:cs="Times New Roman"/>
                <w:sz w:val="21"/>
                <w:szCs w:val="21"/>
                <w:highlight w:val="none"/>
                <w:u w:val="none" w:color="auto"/>
                <w:lang w:eastAsia="zh-CN"/>
              </w:rPr>
              <w:t>5kg/包</w:t>
            </w:r>
          </w:p>
        </w:tc>
      </w:tr>
      <w:tr w14:paraId="503EB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94" w:type="dxa"/>
            <w:vAlign w:val="center"/>
          </w:tcPr>
          <w:p w14:paraId="27970C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35</w:t>
            </w:r>
          </w:p>
        </w:tc>
        <w:tc>
          <w:tcPr>
            <w:tcW w:w="1014" w:type="dxa"/>
            <w:vAlign w:val="center"/>
          </w:tcPr>
          <w:p w14:paraId="5B455F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电能</w:t>
            </w:r>
          </w:p>
        </w:tc>
        <w:tc>
          <w:tcPr>
            <w:tcW w:w="1030" w:type="dxa"/>
            <w:vAlign w:val="center"/>
          </w:tcPr>
          <w:p w14:paraId="424CDD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c>
          <w:tcPr>
            <w:tcW w:w="1041" w:type="dxa"/>
            <w:vAlign w:val="center"/>
          </w:tcPr>
          <w:p w14:paraId="061EEA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360万度</w:t>
            </w:r>
          </w:p>
        </w:tc>
        <w:tc>
          <w:tcPr>
            <w:tcW w:w="750" w:type="dxa"/>
            <w:vAlign w:val="center"/>
          </w:tcPr>
          <w:p w14:paraId="3C212C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c>
          <w:tcPr>
            <w:tcW w:w="991" w:type="dxa"/>
            <w:vAlign w:val="center"/>
          </w:tcPr>
          <w:p w14:paraId="229BA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w:t>
            </w:r>
          </w:p>
        </w:tc>
        <w:tc>
          <w:tcPr>
            <w:tcW w:w="979" w:type="dxa"/>
            <w:vAlign w:val="center"/>
          </w:tcPr>
          <w:p w14:paraId="1B05F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w:t>
            </w:r>
          </w:p>
        </w:tc>
        <w:tc>
          <w:tcPr>
            <w:tcW w:w="2377" w:type="dxa"/>
            <w:vAlign w:val="center"/>
          </w:tcPr>
          <w:p w14:paraId="45734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bl>
    <w:p w14:paraId="68293DCA">
      <w:pPr>
        <w:widowControl w:val="0"/>
        <w:wordWrap/>
        <w:adjustRightInd/>
        <w:snapToGrid/>
        <w:ind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（2）主要原辅材料理化特性</w:t>
      </w:r>
    </w:p>
    <w:p w14:paraId="5C77F013">
      <w:pPr>
        <w:widowControl w:val="0"/>
        <w:wordWrap/>
        <w:adjustRightInd/>
        <w:snapToGrid/>
        <w:ind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sectPr>
          <w:pgSz w:w="11906" w:h="16838"/>
          <w:pgMar w:top="1418" w:right="1797" w:bottom="1418" w:left="1797"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auto"/>
          <w:sz w:val="24"/>
          <w:szCs w:val="24"/>
          <w:highlight w:val="none"/>
          <w:u w:val="single" w:color="auto"/>
          <w:lang w:val="en-US" w:eastAsia="zh-CN"/>
        </w:rPr>
        <w:t>本项目主要原辅料理化特性详见下表：</w:t>
      </w:r>
    </w:p>
    <w:p w14:paraId="59FBEFAA">
      <w:pPr>
        <w:jc w:val="center"/>
        <w:rPr>
          <w:rFonts w:hint="default" w:ascii="Times New Roman" w:hAnsi="Times New Roman" w:eastAsia="宋体" w:cs="Times New Roman"/>
          <w:b/>
          <w:color w:val="auto"/>
          <w:sz w:val="21"/>
          <w:szCs w:val="18"/>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3.5-2</w:t>
      </w:r>
      <w:r>
        <w:rPr>
          <w:rFonts w:hint="default" w:ascii="Times New Roman" w:hAnsi="Times New Roman" w:eastAsia="宋体" w:cs="Times New Roman"/>
          <w:b/>
          <w:color w:val="auto"/>
          <w:sz w:val="21"/>
          <w:szCs w:val="18"/>
          <w:highlight w:val="none"/>
          <w:u w:val="single" w:color="auto"/>
        </w:rPr>
        <w:t xml:space="preserve">  主要化学品理化性质及毒理性质一览表</w:t>
      </w:r>
    </w:p>
    <w:tbl>
      <w:tblPr>
        <w:tblStyle w:val="22"/>
        <w:tblW w:w="151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171"/>
        <w:gridCol w:w="5082"/>
        <w:gridCol w:w="2611"/>
        <w:gridCol w:w="5358"/>
      </w:tblGrid>
      <w:tr w14:paraId="4DFAE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74AC1DA9">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名称</w:t>
            </w:r>
          </w:p>
        </w:tc>
        <w:tc>
          <w:tcPr>
            <w:tcW w:w="1171" w:type="dxa"/>
            <w:vAlign w:val="center"/>
          </w:tcPr>
          <w:p w14:paraId="3F374C80">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分子式</w:t>
            </w:r>
          </w:p>
        </w:tc>
        <w:tc>
          <w:tcPr>
            <w:tcW w:w="5082" w:type="dxa"/>
            <w:vAlign w:val="center"/>
          </w:tcPr>
          <w:p w14:paraId="407202C4">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物化特性</w:t>
            </w:r>
          </w:p>
        </w:tc>
        <w:tc>
          <w:tcPr>
            <w:tcW w:w="2611" w:type="dxa"/>
            <w:vAlign w:val="center"/>
          </w:tcPr>
          <w:p w14:paraId="788FB4AD">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燃烧爆炸性</w:t>
            </w:r>
          </w:p>
        </w:tc>
        <w:tc>
          <w:tcPr>
            <w:tcW w:w="5358" w:type="dxa"/>
            <w:vAlign w:val="center"/>
          </w:tcPr>
          <w:p w14:paraId="70CC5CBF">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毒性特性</w:t>
            </w:r>
          </w:p>
        </w:tc>
      </w:tr>
      <w:tr w14:paraId="0E4D2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4D6BA5C1">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硫酸</w:t>
            </w:r>
          </w:p>
        </w:tc>
        <w:tc>
          <w:tcPr>
            <w:tcW w:w="1171" w:type="dxa"/>
            <w:vAlign w:val="center"/>
          </w:tcPr>
          <w:p w14:paraId="453C81FF">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H</w:t>
            </w:r>
            <w:r>
              <w:rPr>
                <w:rFonts w:hint="default" w:ascii="Times New Roman" w:hAnsi="Times New Roman" w:eastAsia="宋体" w:cs="Times New Roman"/>
                <w:color w:val="auto"/>
                <w:sz w:val="21"/>
                <w:szCs w:val="21"/>
                <w:highlight w:val="none"/>
                <w:u w:val="single" w:color="auto"/>
                <w:vertAlign w:val="subscript"/>
              </w:rPr>
              <w:t>2</w:t>
            </w:r>
            <w:r>
              <w:rPr>
                <w:rFonts w:hint="default" w:ascii="Times New Roman" w:hAnsi="Times New Roman" w:eastAsia="宋体" w:cs="Times New Roman"/>
                <w:color w:val="auto"/>
                <w:sz w:val="21"/>
                <w:szCs w:val="21"/>
                <w:highlight w:val="none"/>
                <w:u w:val="single" w:color="auto"/>
              </w:rPr>
              <w:t>SO</w:t>
            </w:r>
            <w:r>
              <w:rPr>
                <w:rFonts w:hint="default" w:ascii="Times New Roman" w:hAnsi="Times New Roman" w:eastAsia="宋体" w:cs="Times New Roman"/>
                <w:color w:val="auto"/>
                <w:sz w:val="21"/>
                <w:szCs w:val="21"/>
                <w:highlight w:val="none"/>
                <w:u w:val="single" w:color="auto"/>
                <w:vertAlign w:val="subscript"/>
              </w:rPr>
              <w:t>4</w:t>
            </w:r>
          </w:p>
        </w:tc>
        <w:tc>
          <w:tcPr>
            <w:tcW w:w="5082" w:type="dxa"/>
            <w:vAlign w:val="center"/>
          </w:tcPr>
          <w:p w14:paraId="4A1AD9D8">
            <w:pPr>
              <w:pStyle w:val="10"/>
              <w:wordWrap/>
              <w:adjustRightInd w:val="0"/>
              <w:snapToGrid/>
              <w:spacing w:line="240" w:lineRule="auto"/>
              <w:ind w:firstLine="0" w:firstLineChars="0"/>
              <w:jc w:val="left"/>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纯品为无色透明油状液体，无臭，与水混溶，密度1.8305 g/cm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，熔点10.37℃，沸点337.0℃，相对密度(水=1)为1.84，蒸气压蒸气压: 0.13kPa(145.8℃)</w:t>
            </w:r>
          </w:p>
        </w:tc>
        <w:tc>
          <w:tcPr>
            <w:tcW w:w="2611" w:type="dxa"/>
            <w:vAlign w:val="center"/>
          </w:tcPr>
          <w:p w14:paraId="02F0E021">
            <w:pPr>
              <w:pStyle w:val="10"/>
              <w:wordWrap/>
              <w:adjustRightInd w:val="0"/>
              <w:snapToGrid/>
              <w:spacing w:line="240" w:lineRule="auto"/>
              <w:ind w:firstLine="0" w:firstLineChars="0"/>
              <w:jc w:val="left"/>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可助燃，遇水大量放热。与易燃物和可燃物接触会发生剧烈反应，甚至引起燃烧。遇电石、高氯酸盐、硝酸盐、金属粉末等猛烈反应，发生爆炸或燃烧。有强烈的腐蚀性和吸水性</w:t>
            </w:r>
          </w:p>
        </w:tc>
        <w:tc>
          <w:tcPr>
            <w:tcW w:w="5358" w:type="dxa"/>
            <w:vAlign w:val="center"/>
          </w:tcPr>
          <w:p w14:paraId="1FC490A8">
            <w:pPr>
              <w:pStyle w:val="10"/>
              <w:wordWrap/>
              <w:adjustRightInd w:val="0"/>
              <w:snapToGrid/>
              <w:spacing w:line="240" w:lineRule="auto"/>
              <w:ind w:firstLine="0" w:firstLineChars="0"/>
              <w:jc w:val="left"/>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属中等毒性，对皮肤、粘膜等组织有强烈的刺激和腐蚀作用。LD</w:t>
            </w:r>
            <w:r>
              <w:rPr>
                <w:rFonts w:hint="default" w:ascii="Times New Roman" w:hAnsi="Times New Roman" w:eastAsia="宋体" w:cs="Times New Roman"/>
                <w:color w:val="auto"/>
                <w:sz w:val="21"/>
                <w:szCs w:val="21"/>
                <w:highlight w:val="none"/>
                <w:u w:val="single" w:color="auto"/>
                <w:vertAlign w:val="subscript"/>
              </w:rPr>
              <w:t>50</w:t>
            </w:r>
            <w:r>
              <w:rPr>
                <w:rFonts w:hint="default" w:ascii="Times New Roman" w:hAnsi="Times New Roman" w:eastAsia="宋体" w:cs="Times New Roman"/>
                <w:color w:val="auto"/>
                <w:sz w:val="21"/>
                <w:szCs w:val="21"/>
                <w:highlight w:val="none"/>
                <w:u w:val="single" w:color="auto"/>
              </w:rPr>
              <w:t>2140mg/kg(大鼠经口)，LC</w:t>
            </w:r>
            <w:r>
              <w:rPr>
                <w:rFonts w:hint="default" w:ascii="Times New Roman" w:hAnsi="Times New Roman" w:eastAsia="宋体" w:cs="Times New Roman"/>
                <w:color w:val="auto"/>
                <w:sz w:val="21"/>
                <w:szCs w:val="21"/>
                <w:highlight w:val="none"/>
                <w:u w:val="single" w:color="auto"/>
                <w:vertAlign w:val="subscript"/>
              </w:rPr>
              <w:t>50</w:t>
            </w:r>
            <w:r>
              <w:rPr>
                <w:rFonts w:hint="default" w:ascii="Times New Roman" w:hAnsi="Times New Roman" w:eastAsia="宋体" w:cs="Times New Roman"/>
                <w:color w:val="auto"/>
                <w:sz w:val="21"/>
                <w:szCs w:val="21"/>
                <w:highlight w:val="none"/>
                <w:u w:val="single" w:color="auto"/>
              </w:rPr>
              <w:t>510mg/m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，2小时(大鼠吸入)，320mg/m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，2 小时(小鼠吸入)</w:t>
            </w:r>
          </w:p>
        </w:tc>
      </w:tr>
      <w:tr w14:paraId="34EEE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508924E5">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盐酸</w:t>
            </w:r>
          </w:p>
        </w:tc>
        <w:tc>
          <w:tcPr>
            <w:tcW w:w="1171" w:type="dxa"/>
            <w:vAlign w:val="center"/>
          </w:tcPr>
          <w:p w14:paraId="08CE199D">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HCl</w:t>
            </w:r>
          </w:p>
        </w:tc>
        <w:tc>
          <w:tcPr>
            <w:tcW w:w="5082" w:type="dxa"/>
            <w:vAlign w:val="center"/>
          </w:tcPr>
          <w:p w14:paraId="50F240F6">
            <w:pPr>
              <w:pStyle w:val="10"/>
              <w:wordWrap/>
              <w:adjustRightInd w:val="0"/>
              <w:snapToGrid/>
              <w:spacing w:line="240" w:lineRule="auto"/>
              <w:ind w:firstLine="0" w:firstLineChars="0"/>
              <w:jc w:val="left"/>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无色或微黄色发烟液体，有刺鼻的酸味。与水混溶，溶于碱液。熔点-114.8℃(纯)，沸点108.6℃(20%)，相对密度(水=1)为1.20，</w:t>
            </w:r>
          </w:p>
        </w:tc>
        <w:tc>
          <w:tcPr>
            <w:tcW w:w="2611" w:type="dxa"/>
            <w:vAlign w:val="center"/>
          </w:tcPr>
          <w:p w14:paraId="4881EE7D">
            <w:pPr>
              <w:pStyle w:val="10"/>
              <w:wordWrap/>
              <w:adjustRightInd w:val="0"/>
              <w:snapToGrid/>
              <w:spacing w:line="240" w:lineRule="auto"/>
              <w:ind w:firstLine="0" w:firstLineChars="0"/>
              <w:jc w:val="left"/>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能与一些活性金属粉末发生反应，放出氢气。遇氰化物能产生剧毒的氰化氢气体。与碱发生中合反应，并放出大量的热。具有较强的腐蚀性</w:t>
            </w:r>
          </w:p>
        </w:tc>
        <w:tc>
          <w:tcPr>
            <w:tcW w:w="5358" w:type="dxa"/>
            <w:vAlign w:val="center"/>
          </w:tcPr>
          <w:p w14:paraId="75D0EF3A">
            <w:pPr>
              <w:pStyle w:val="10"/>
              <w:wordWrap/>
              <w:adjustRightInd w:val="0"/>
              <w:snapToGrid/>
              <w:spacing w:line="240" w:lineRule="auto"/>
              <w:ind w:firstLine="0" w:firstLineChars="0"/>
              <w:jc w:val="left"/>
              <w:textAlignment w:val="baseline"/>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接触其蒸气或烟雾，可引起急性中毒，出现眼结膜炎，鼻及口腔粘膜有烧灼感，鼻衄、齿龈出血，气管炎等。属低毒；大鼠吸入LC</w:t>
            </w:r>
            <w:r>
              <w:rPr>
                <w:rFonts w:hint="default" w:ascii="Times New Roman" w:hAnsi="Times New Roman" w:eastAsia="宋体" w:cs="Times New Roman"/>
                <w:color w:val="auto"/>
                <w:sz w:val="21"/>
                <w:szCs w:val="21"/>
                <w:highlight w:val="none"/>
                <w:u w:val="single" w:color="auto"/>
                <w:vertAlign w:val="subscript"/>
              </w:rPr>
              <w:t>50</w:t>
            </w:r>
            <w:r>
              <w:rPr>
                <w:rFonts w:hint="default" w:ascii="Times New Roman" w:hAnsi="Times New Roman" w:eastAsia="宋体" w:cs="Times New Roman"/>
                <w:color w:val="auto"/>
                <w:sz w:val="21"/>
                <w:szCs w:val="21"/>
                <w:highlight w:val="none"/>
                <w:u w:val="single" w:color="auto"/>
              </w:rPr>
              <w:t>3124ppm/1h，小鼠吸入LC</w:t>
            </w:r>
            <w:r>
              <w:rPr>
                <w:rFonts w:hint="default" w:ascii="Times New Roman" w:hAnsi="Times New Roman" w:eastAsia="宋体" w:cs="Times New Roman"/>
                <w:color w:val="auto"/>
                <w:sz w:val="21"/>
                <w:szCs w:val="21"/>
                <w:highlight w:val="none"/>
                <w:u w:val="single" w:color="auto"/>
                <w:vertAlign w:val="subscript"/>
              </w:rPr>
              <w:t>50</w:t>
            </w:r>
            <w:r>
              <w:rPr>
                <w:rFonts w:hint="default" w:ascii="Times New Roman" w:hAnsi="Times New Roman" w:eastAsia="宋体" w:cs="Times New Roman"/>
                <w:color w:val="auto"/>
                <w:sz w:val="21"/>
                <w:szCs w:val="21"/>
                <w:highlight w:val="none"/>
                <w:u w:val="single" w:color="auto"/>
              </w:rPr>
              <w:t>1108ppm/1h。</w:t>
            </w:r>
          </w:p>
        </w:tc>
      </w:tr>
      <w:tr w14:paraId="56822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2B524CD5">
            <w:pPr>
              <w:pStyle w:val="10"/>
              <w:wordWrap/>
              <w:adjustRightInd w:val="0"/>
              <w:snapToGrid/>
              <w:spacing w:line="240" w:lineRule="auto"/>
              <w:ind w:firstLine="0" w:firstLineChars="0"/>
              <w:jc w:val="center"/>
              <w:textAlignment w:val="baseline"/>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硝酸</w:t>
            </w:r>
          </w:p>
        </w:tc>
        <w:tc>
          <w:tcPr>
            <w:tcW w:w="1171" w:type="dxa"/>
            <w:vAlign w:val="center"/>
          </w:tcPr>
          <w:p w14:paraId="64F3939C">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HNO</w:t>
            </w:r>
            <w:r>
              <w:rPr>
                <w:rFonts w:hint="default" w:ascii="Times New Roman" w:hAnsi="Times New Roman" w:eastAsia="宋体" w:cs="Times New Roman"/>
                <w:color w:val="auto"/>
                <w:sz w:val="21"/>
                <w:szCs w:val="21"/>
                <w:highlight w:val="none"/>
                <w:u w:val="single" w:color="auto"/>
                <w:vertAlign w:val="subscript"/>
              </w:rPr>
              <w:t>3</w:t>
            </w:r>
          </w:p>
        </w:tc>
        <w:tc>
          <w:tcPr>
            <w:tcW w:w="5082" w:type="dxa"/>
            <w:vAlign w:val="center"/>
          </w:tcPr>
          <w:p w14:paraId="0405C614">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无色有刺激性气味的液体，市售浓硝酸质量分数约为68%，密度约为1.4g/cm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，沸点为83℃，易挥发，可以任意比例溶于水，混溶时与硫酸相似会释放出大量的热所以需要不断搅拌，并且只能是把浓HNO</w:t>
            </w:r>
            <w:r>
              <w:rPr>
                <w:rFonts w:hint="default" w:ascii="Times New Roman" w:hAnsi="Times New Roman" w:eastAsia="宋体" w:cs="Times New Roman"/>
                <w:color w:val="auto"/>
                <w:sz w:val="21"/>
                <w:szCs w:val="21"/>
                <w:highlight w:val="none"/>
                <w:u w:val="single" w:color="auto"/>
                <w:vertAlign w:val="subscript"/>
              </w:rPr>
              <w:t>3</w:t>
            </w:r>
            <w:r>
              <w:rPr>
                <w:rFonts w:hint="default" w:ascii="Times New Roman" w:hAnsi="Times New Roman" w:eastAsia="宋体" w:cs="Times New Roman"/>
                <w:color w:val="auto"/>
                <w:sz w:val="21"/>
                <w:szCs w:val="21"/>
                <w:highlight w:val="none"/>
                <w:u w:val="single" w:color="auto"/>
              </w:rPr>
              <w:t>加入水中而不能反过来。浓度在(86%~97.5%)98%的硝酸叫"发烟硝酸"，因这种酸更易挥发，遇潮湿空气形成白雾，有腐蚀性</w:t>
            </w:r>
          </w:p>
        </w:tc>
        <w:tc>
          <w:tcPr>
            <w:tcW w:w="2611" w:type="dxa"/>
            <w:vAlign w:val="center"/>
          </w:tcPr>
          <w:p w14:paraId="3535A660">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不燃</w:t>
            </w:r>
          </w:p>
        </w:tc>
        <w:tc>
          <w:tcPr>
            <w:tcW w:w="5358" w:type="dxa"/>
            <w:vAlign w:val="center"/>
          </w:tcPr>
          <w:p w14:paraId="7E6468F3">
            <w:pPr>
              <w:wordWrap/>
              <w:snapToGrid/>
              <w:spacing w:line="240" w:lineRule="auto"/>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硝酸有强烈的腐蚀性,不但腐蚀肌肤,也腐蚀橡胶等.大鼠吸入半数致死浓度LC50:49ppm·4h</w:t>
            </w:r>
          </w:p>
          <w:p w14:paraId="644DF396">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人经口最低致死量(LCL0):430mg/k</w:t>
            </w:r>
          </w:p>
        </w:tc>
      </w:tr>
      <w:tr w14:paraId="33001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03AC43A0">
            <w:pPr>
              <w:pStyle w:val="10"/>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硼酸</w:t>
            </w:r>
          </w:p>
        </w:tc>
        <w:tc>
          <w:tcPr>
            <w:tcW w:w="1171" w:type="dxa"/>
            <w:vAlign w:val="center"/>
          </w:tcPr>
          <w:p w14:paraId="43C8FEC3">
            <w:pPr>
              <w:pStyle w:val="10"/>
              <w:wordWrap/>
              <w:snapToGrid/>
              <w:spacing w:line="240" w:lineRule="auto"/>
              <w:ind w:firstLine="0" w:firstLineChars="0"/>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H</w:t>
            </w:r>
            <w:r>
              <w:rPr>
                <w:rFonts w:hint="default" w:ascii="Times New Roman" w:hAnsi="Times New Roman" w:eastAsia="宋体" w:cs="Times New Roman"/>
                <w:color w:val="auto"/>
                <w:sz w:val="21"/>
                <w:szCs w:val="21"/>
                <w:highlight w:val="none"/>
                <w:u w:val="single" w:color="auto"/>
                <w:vertAlign w:val="subscript"/>
              </w:rPr>
              <w:t>3</w:t>
            </w:r>
            <w:r>
              <w:rPr>
                <w:rFonts w:hint="default" w:ascii="Times New Roman" w:hAnsi="Times New Roman" w:eastAsia="宋体" w:cs="Times New Roman"/>
                <w:color w:val="auto"/>
                <w:sz w:val="21"/>
                <w:szCs w:val="21"/>
                <w:highlight w:val="none"/>
                <w:u w:val="single" w:color="auto"/>
              </w:rPr>
              <w:t>BO</w:t>
            </w:r>
            <w:r>
              <w:rPr>
                <w:rFonts w:hint="default" w:ascii="Times New Roman" w:hAnsi="Times New Roman" w:eastAsia="宋体" w:cs="Times New Roman"/>
                <w:color w:val="auto"/>
                <w:sz w:val="21"/>
                <w:szCs w:val="21"/>
                <w:highlight w:val="none"/>
                <w:u w:val="single" w:color="auto"/>
                <w:vertAlign w:val="subscript"/>
              </w:rPr>
              <w:t>3</w:t>
            </w:r>
          </w:p>
        </w:tc>
        <w:tc>
          <w:tcPr>
            <w:tcW w:w="5082" w:type="dxa"/>
            <w:vAlign w:val="center"/>
          </w:tcPr>
          <w:p w14:paraId="3DC49F01">
            <w:pPr>
              <w:pStyle w:val="10"/>
              <w:wordWrap/>
              <w:snapToGrid/>
              <w:spacing w:line="240" w:lineRule="auto"/>
              <w:ind w:firstLine="0" w:firstLineChars="0"/>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无色微带珍珠光泽的三斜晶体或白色粉末，有滑腻手感， 无臭味。分子量：61.84。熔点(℃)：171(分解)。沸点(℃)：300。相对密度(水=1)：1.43。溶于水，溶于乙醇、乙醚、甘油，无气味。味微酸苦后带甜</w:t>
            </w:r>
          </w:p>
        </w:tc>
        <w:tc>
          <w:tcPr>
            <w:tcW w:w="2611" w:type="dxa"/>
            <w:vAlign w:val="center"/>
          </w:tcPr>
          <w:p w14:paraId="24E32CCE">
            <w:pPr>
              <w:pStyle w:val="10"/>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不燃</w:t>
            </w:r>
          </w:p>
        </w:tc>
        <w:tc>
          <w:tcPr>
            <w:tcW w:w="5358" w:type="dxa"/>
            <w:vAlign w:val="center"/>
          </w:tcPr>
          <w:p w14:paraId="121C39F6">
            <w:pPr>
              <w:pStyle w:val="10"/>
              <w:wordWrap/>
              <w:snapToGrid/>
              <w:spacing w:line="240" w:lineRule="auto"/>
              <w:ind w:firstLine="0" w:firstLineChars="0"/>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具有刺激性。</w:t>
            </w:r>
          </w:p>
        </w:tc>
      </w:tr>
      <w:tr w14:paraId="226BF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3353542C">
            <w:pPr>
              <w:pStyle w:val="10"/>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氢氧化钠</w:t>
            </w:r>
          </w:p>
        </w:tc>
        <w:tc>
          <w:tcPr>
            <w:tcW w:w="1171" w:type="dxa"/>
            <w:vAlign w:val="center"/>
          </w:tcPr>
          <w:p w14:paraId="2C072735">
            <w:pPr>
              <w:pStyle w:val="10"/>
              <w:wordWrap/>
              <w:snapToGrid/>
              <w:spacing w:line="240" w:lineRule="auto"/>
              <w:ind w:firstLine="0" w:firstLineChars="0"/>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NaOH</w:t>
            </w:r>
          </w:p>
        </w:tc>
        <w:tc>
          <w:tcPr>
            <w:tcW w:w="5082" w:type="dxa"/>
            <w:vAlign w:val="center"/>
          </w:tcPr>
          <w:p w14:paraId="09249BBE">
            <w:pPr>
              <w:pStyle w:val="10"/>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白色不透明固体，易潮解；熔点:318.4℃，沸点：1390℃ ；相对密度(水=1)2.12；蒸汽压：0.13kPa(739℃)；易溶于水、乙醇、甘油，不溶于丙酮</w:t>
            </w:r>
          </w:p>
        </w:tc>
        <w:tc>
          <w:tcPr>
            <w:tcW w:w="2611" w:type="dxa"/>
            <w:vAlign w:val="center"/>
          </w:tcPr>
          <w:p w14:paraId="7D3DD9FD">
            <w:pPr>
              <w:pStyle w:val="10"/>
              <w:wordWrap/>
              <w:snapToGrid/>
              <w:spacing w:line="240" w:lineRule="auto"/>
              <w:ind w:firstLine="0" w:firstLineChars="0"/>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不然，遇水和水蒸气大量放热，形成腐蚀性溶液，与酸发生中和反应并放热，具有强腐蚀性</w:t>
            </w:r>
          </w:p>
        </w:tc>
        <w:tc>
          <w:tcPr>
            <w:tcW w:w="5358" w:type="dxa"/>
            <w:vAlign w:val="center"/>
          </w:tcPr>
          <w:p w14:paraId="614DB70B">
            <w:pPr>
              <w:pStyle w:val="10"/>
              <w:wordWrap/>
              <w:snapToGrid/>
              <w:spacing w:line="240" w:lineRule="auto"/>
              <w:ind w:firstLine="0" w:firstLineChars="0"/>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有强烈的腐蚀性和刺激性，LD50：无资料。LC50：无资料。</w:t>
            </w:r>
          </w:p>
        </w:tc>
      </w:tr>
      <w:tr w14:paraId="05576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0E28DA9D">
            <w:pPr>
              <w:pStyle w:val="10"/>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碳酸钠</w:t>
            </w:r>
          </w:p>
        </w:tc>
        <w:tc>
          <w:tcPr>
            <w:tcW w:w="1171" w:type="dxa"/>
            <w:vAlign w:val="center"/>
          </w:tcPr>
          <w:p w14:paraId="03A4F924">
            <w:pPr>
              <w:pStyle w:val="10"/>
              <w:wordWrap/>
              <w:snapToGrid/>
              <w:spacing w:line="240" w:lineRule="auto"/>
              <w:ind w:firstLine="0" w:firstLineChars="0"/>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Na</w:t>
            </w:r>
            <w:r>
              <w:rPr>
                <w:rFonts w:hint="default" w:ascii="Times New Roman" w:hAnsi="Times New Roman" w:eastAsia="宋体" w:cs="Times New Roman"/>
                <w:color w:val="auto"/>
                <w:sz w:val="21"/>
                <w:szCs w:val="21"/>
                <w:highlight w:val="none"/>
                <w:u w:val="single" w:color="auto"/>
                <w:vertAlign w:val="subscript"/>
              </w:rPr>
              <w:t>2</w:t>
            </w:r>
            <w:r>
              <w:rPr>
                <w:rFonts w:hint="default" w:ascii="Times New Roman" w:hAnsi="Times New Roman" w:eastAsia="宋体" w:cs="Times New Roman"/>
                <w:color w:val="auto"/>
                <w:sz w:val="21"/>
                <w:szCs w:val="21"/>
                <w:highlight w:val="none"/>
                <w:u w:val="single" w:color="auto"/>
              </w:rPr>
              <w:t>CO</w:t>
            </w:r>
            <w:r>
              <w:rPr>
                <w:rFonts w:hint="default" w:ascii="Times New Roman" w:hAnsi="Times New Roman" w:eastAsia="宋体" w:cs="Times New Roman"/>
                <w:color w:val="auto"/>
                <w:sz w:val="21"/>
                <w:szCs w:val="21"/>
                <w:highlight w:val="none"/>
                <w:u w:val="single" w:color="auto"/>
                <w:vertAlign w:val="subscript"/>
              </w:rPr>
              <w:t>3</w:t>
            </w:r>
          </w:p>
        </w:tc>
        <w:tc>
          <w:tcPr>
            <w:tcW w:w="5082" w:type="dxa"/>
            <w:vAlign w:val="center"/>
          </w:tcPr>
          <w:p w14:paraId="3801928B">
            <w:pPr>
              <w:pStyle w:val="10"/>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常温下为白色无气味的粉末或颗粒，有吸水性。易溶于水和甘油，微溶于</w:t>
            </w:r>
            <w:r>
              <w:rPr>
                <w:rFonts w:hint="default" w:ascii="Times New Roman" w:hAnsi="Times New Roman" w:eastAsia="宋体" w:cs="Times New Roman"/>
                <w:color w:val="auto"/>
                <w:sz w:val="21"/>
                <w:szCs w:val="21"/>
                <w:highlight w:val="none"/>
                <w:u w:val="single" w:color="auto"/>
              </w:rPr>
              <w:fldChar w:fldCharType="begin"/>
            </w:r>
            <w:r>
              <w:rPr>
                <w:rFonts w:hint="default" w:ascii="Times New Roman" w:hAnsi="Times New Roman" w:eastAsia="宋体" w:cs="Times New Roman"/>
                <w:color w:val="auto"/>
                <w:sz w:val="21"/>
                <w:szCs w:val="21"/>
                <w:highlight w:val="none"/>
                <w:u w:val="single" w:color="auto"/>
              </w:rPr>
              <w:instrText xml:space="preserve"> HYPERLINK "https://baike.baidu.com/item/%E6%97%A0%E6%B0%B4%E4%B9%99%E9%86%87" \t "https://baike.baidu.com/item/%E7%A2%B3%E9%85%B8%E9%92%A0/_blank" </w:instrText>
            </w:r>
            <w:r>
              <w:rPr>
                <w:rFonts w:hint="default" w:ascii="Times New Roman" w:hAnsi="Times New Roman" w:eastAsia="宋体" w:cs="Times New Roman"/>
                <w:color w:val="auto"/>
                <w:sz w:val="21"/>
                <w:szCs w:val="21"/>
                <w:highlight w:val="none"/>
                <w:u w:val="single" w:color="auto"/>
              </w:rPr>
              <w:fldChar w:fldCharType="separate"/>
            </w:r>
            <w:r>
              <w:rPr>
                <w:rFonts w:hint="default" w:ascii="Times New Roman" w:hAnsi="Times New Roman" w:eastAsia="宋体" w:cs="Times New Roman"/>
                <w:color w:val="auto"/>
                <w:sz w:val="21"/>
                <w:szCs w:val="21"/>
                <w:highlight w:val="none"/>
                <w:u w:val="single" w:color="auto"/>
              </w:rPr>
              <w:t>无水乙醇</w:t>
            </w:r>
            <w:r>
              <w:rPr>
                <w:rFonts w:hint="default" w:ascii="Times New Roman" w:hAnsi="Times New Roman" w:eastAsia="宋体" w:cs="Times New Roman"/>
                <w:color w:val="auto"/>
                <w:sz w:val="21"/>
                <w:szCs w:val="21"/>
                <w:highlight w:val="none"/>
                <w:u w:val="single" w:color="auto"/>
              </w:rPr>
              <w:fldChar w:fldCharType="end"/>
            </w:r>
            <w:r>
              <w:rPr>
                <w:rFonts w:hint="default" w:ascii="Times New Roman" w:hAnsi="Times New Roman" w:eastAsia="宋体" w:cs="Times New Roman"/>
                <w:color w:val="auto"/>
                <w:sz w:val="21"/>
                <w:szCs w:val="21"/>
                <w:highlight w:val="none"/>
                <w:u w:val="single" w:color="auto"/>
              </w:rPr>
              <w:t>，难溶于</w:t>
            </w:r>
            <w:r>
              <w:rPr>
                <w:rFonts w:hint="default" w:ascii="Times New Roman" w:hAnsi="Times New Roman" w:eastAsia="宋体" w:cs="Times New Roman"/>
                <w:color w:val="auto"/>
                <w:sz w:val="21"/>
                <w:szCs w:val="21"/>
                <w:highlight w:val="none"/>
                <w:u w:val="single" w:color="auto"/>
              </w:rPr>
              <w:fldChar w:fldCharType="begin"/>
            </w:r>
            <w:r>
              <w:rPr>
                <w:rFonts w:hint="default" w:ascii="Times New Roman" w:hAnsi="Times New Roman" w:eastAsia="宋体" w:cs="Times New Roman"/>
                <w:color w:val="auto"/>
                <w:sz w:val="21"/>
                <w:szCs w:val="21"/>
                <w:highlight w:val="none"/>
                <w:u w:val="single" w:color="auto"/>
              </w:rPr>
              <w:instrText xml:space="preserve"> HYPERLINK "https://baike.baidu.com/item/%E4%B8%99%E9%86%87" \t "https://baike.baidu.com/item/%E7%A2%B3%E9%85%B8%E9%92%A0/_blank" </w:instrText>
            </w:r>
            <w:r>
              <w:rPr>
                <w:rFonts w:hint="default" w:ascii="Times New Roman" w:hAnsi="Times New Roman" w:eastAsia="宋体" w:cs="Times New Roman"/>
                <w:color w:val="auto"/>
                <w:sz w:val="21"/>
                <w:szCs w:val="21"/>
                <w:highlight w:val="none"/>
                <w:u w:val="single" w:color="auto"/>
              </w:rPr>
              <w:fldChar w:fldCharType="separate"/>
            </w:r>
            <w:r>
              <w:rPr>
                <w:rFonts w:hint="default" w:ascii="Times New Roman" w:hAnsi="Times New Roman" w:eastAsia="宋体" w:cs="Times New Roman"/>
                <w:color w:val="auto"/>
                <w:sz w:val="21"/>
                <w:szCs w:val="21"/>
                <w:highlight w:val="none"/>
                <w:u w:val="single" w:color="auto"/>
              </w:rPr>
              <w:t>丙醇</w:t>
            </w:r>
            <w:r>
              <w:rPr>
                <w:rFonts w:hint="default" w:ascii="Times New Roman" w:hAnsi="Times New Roman" w:eastAsia="宋体" w:cs="Times New Roman"/>
                <w:color w:val="auto"/>
                <w:sz w:val="21"/>
                <w:szCs w:val="21"/>
                <w:highlight w:val="none"/>
                <w:u w:val="single" w:color="auto"/>
              </w:rPr>
              <w:fldChar w:fldCharType="end"/>
            </w:r>
            <w:r>
              <w:rPr>
                <w:rFonts w:hint="default" w:ascii="Times New Roman" w:hAnsi="Times New Roman" w:eastAsia="宋体" w:cs="Times New Roman"/>
                <w:color w:val="auto"/>
                <w:sz w:val="21"/>
                <w:szCs w:val="21"/>
                <w:highlight w:val="none"/>
                <w:u w:val="single" w:color="auto"/>
              </w:rPr>
              <w:t>，密度2.532g/cm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，熔点851℃，沸点1600℃</w:t>
            </w:r>
          </w:p>
        </w:tc>
        <w:tc>
          <w:tcPr>
            <w:tcW w:w="2611" w:type="dxa"/>
            <w:vAlign w:val="center"/>
          </w:tcPr>
          <w:p w14:paraId="38E9A96D">
            <w:pPr>
              <w:pStyle w:val="10"/>
              <w:wordWrap/>
              <w:snapToGrid/>
              <w:spacing w:line="240" w:lineRule="auto"/>
              <w:ind w:firstLine="0" w:firstLineChars="0"/>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不具有可燃性与助燃性，具腐蚀性、刺激性</w:t>
            </w:r>
          </w:p>
        </w:tc>
        <w:tc>
          <w:tcPr>
            <w:tcW w:w="5358" w:type="dxa"/>
            <w:vAlign w:val="center"/>
          </w:tcPr>
          <w:p w14:paraId="30B40E27">
            <w:pPr>
              <w:pStyle w:val="10"/>
              <w:wordWrap/>
              <w:snapToGrid/>
              <w:spacing w:line="240" w:lineRule="auto"/>
              <w:ind w:firstLine="0" w:firstLineChars="0"/>
              <w:jc w:val="left"/>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具有弱刺激性和弱腐蚀性，LD</w:t>
            </w:r>
            <w:r>
              <w:rPr>
                <w:rFonts w:hint="default" w:ascii="Times New Roman" w:hAnsi="Times New Roman" w:eastAsia="宋体" w:cs="Times New Roman"/>
                <w:color w:val="auto"/>
                <w:sz w:val="21"/>
                <w:szCs w:val="21"/>
                <w:highlight w:val="none"/>
                <w:u w:val="single" w:color="auto"/>
                <w:vertAlign w:val="subscript"/>
              </w:rPr>
              <w:t>50</w:t>
            </w:r>
            <w:r>
              <w:rPr>
                <w:rFonts w:hint="default" w:ascii="Times New Roman" w:hAnsi="Times New Roman" w:eastAsia="宋体" w:cs="Times New Roman"/>
                <w:color w:val="auto"/>
                <w:sz w:val="21"/>
                <w:szCs w:val="21"/>
                <w:highlight w:val="none"/>
                <w:u w:val="single" w:color="auto"/>
              </w:rPr>
              <w:t>：4090mg/kg（大鼠经口），LC</w:t>
            </w:r>
            <w:r>
              <w:rPr>
                <w:rFonts w:hint="default" w:ascii="Times New Roman" w:hAnsi="Times New Roman" w:eastAsia="宋体" w:cs="Times New Roman"/>
                <w:color w:val="auto"/>
                <w:sz w:val="21"/>
                <w:szCs w:val="21"/>
                <w:highlight w:val="none"/>
                <w:u w:val="single" w:color="auto"/>
                <w:vertAlign w:val="subscript"/>
              </w:rPr>
              <w:t>50</w:t>
            </w:r>
            <w:r>
              <w:rPr>
                <w:rFonts w:hint="default" w:ascii="Times New Roman" w:hAnsi="Times New Roman" w:eastAsia="宋体" w:cs="Times New Roman"/>
                <w:color w:val="auto"/>
                <w:sz w:val="21"/>
                <w:szCs w:val="21"/>
                <w:highlight w:val="none"/>
                <w:u w:val="single" w:color="auto"/>
              </w:rPr>
              <w:t>：2300 mg/m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，2小时（大鼠吸入）</w:t>
            </w:r>
          </w:p>
        </w:tc>
      </w:tr>
      <w:tr w14:paraId="0212B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74F252DC">
            <w:pPr>
              <w:pStyle w:val="10"/>
              <w:wordWrap/>
              <w:snapToGrid/>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氨基磺酸镍</w:t>
            </w:r>
          </w:p>
        </w:tc>
        <w:tc>
          <w:tcPr>
            <w:tcW w:w="1171" w:type="dxa"/>
            <w:vAlign w:val="center"/>
          </w:tcPr>
          <w:p w14:paraId="12A84DEB">
            <w:pPr>
              <w:pStyle w:val="10"/>
              <w:wordWrap/>
              <w:snapToGrid/>
              <w:spacing w:line="240" w:lineRule="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Ni（NH</w:t>
            </w:r>
            <w:r>
              <w:rPr>
                <w:rFonts w:hint="default" w:ascii="Times New Roman" w:hAnsi="Times New Roman" w:eastAsia="宋体" w:cs="Times New Roman"/>
                <w:color w:val="auto"/>
                <w:sz w:val="21"/>
                <w:szCs w:val="21"/>
                <w:highlight w:val="none"/>
                <w:u w:val="single" w:color="auto"/>
                <w:vertAlign w:val="subscript"/>
              </w:rPr>
              <w:t>2</w:t>
            </w:r>
            <w:r>
              <w:rPr>
                <w:rFonts w:hint="default" w:ascii="Times New Roman" w:hAnsi="Times New Roman" w:eastAsia="宋体" w:cs="Times New Roman"/>
                <w:color w:val="auto"/>
                <w:sz w:val="21"/>
                <w:szCs w:val="21"/>
                <w:highlight w:val="none"/>
                <w:u w:val="single" w:color="auto"/>
              </w:rPr>
              <w:t>SO</w:t>
            </w:r>
            <w:r>
              <w:rPr>
                <w:rFonts w:hint="default" w:ascii="Times New Roman" w:hAnsi="Times New Roman" w:eastAsia="宋体" w:cs="Times New Roman"/>
                <w:color w:val="auto"/>
                <w:sz w:val="21"/>
                <w:szCs w:val="21"/>
                <w:highlight w:val="none"/>
                <w:u w:val="single" w:color="auto"/>
                <w:vertAlign w:val="subscript"/>
              </w:rPr>
              <w:t>3</w:t>
            </w: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vertAlign w:val="subscript"/>
              </w:rPr>
              <w:t>2</w:t>
            </w:r>
            <w:r>
              <w:rPr>
                <w:rFonts w:hint="default" w:ascii="Times New Roman" w:hAnsi="Times New Roman" w:eastAsia="宋体" w:cs="Times New Roman"/>
                <w:color w:val="auto"/>
                <w:sz w:val="21"/>
                <w:szCs w:val="21"/>
                <w:highlight w:val="none"/>
                <w:u w:val="single" w:color="auto"/>
              </w:rPr>
              <w:t>•4H</w:t>
            </w:r>
            <w:r>
              <w:rPr>
                <w:rFonts w:hint="default" w:ascii="Times New Roman" w:hAnsi="Times New Roman" w:eastAsia="宋体" w:cs="Times New Roman"/>
                <w:color w:val="auto"/>
                <w:sz w:val="21"/>
                <w:szCs w:val="21"/>
                <w:highlight w:val="none"/>
                <w:u w:val="single" w:color="auto"/>
                <w:vertAlign w:val="subscript"/>
              </w:rPr>
              <w:t>2</w:t>
            </w:r>
            <w:r>
              <w:rPr>
                <w:rFonts w:hint="default" w:ascii="Times New Roman" w:hAnsi="Times New Roman" w:eastAsia="宋体" w:cs="Times New Roman"/>
                <w:color w:val="auto"/>
                <w:sz w:val="21"/>
                <w:szCs w:val="21"/>
                <w:highlight w:val="none"/>
                <w:u w:val="single" w:color="auto"/>
              </w:rPr>
              <w:t>O</w:t>
            </w:r>
          </w:p>
        </w:tc>
        <w:tc>
          <w:tcPr>
            <w:tcW w:w="5082" w:type="dxa"/>
            <w:vAlign w:val="center"/>
          </w:tcPr>
          <w:p w14:paraId="5777D640">
            <w:pPr>
              <w:pStyle w:val="10"/>
              <w:wordWrap/>
              <w:snapToGrid/>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分子量322.92</w:t>
            </w:r>
            <w:r>
              <w:rPr>
                <w:rFonts w:hint="default" w:ascii="Times New Roman" w:hAnsi="Times New Roman" w:eastAsia="宋体" w:cs="Times New Roman"/>
                <w:color w:val="auto"/>
                <w:sz w:val="21"/>
                <w:szCs w:val="21"/>
                <w:highlight w:val="none"/>
                <w:u w:val="single" w:color="auto"/>
                <w:shd w:val="clear" w:color="auto" w:fill="FFFFFF"/>
              </w:rPr>
              <w:t>，</w:t>
            </w:r>
            <w:r>
              <w:rPr>
                <w:rFonts w:hint="default" w:ascii="Times New Roman" w:hAnsi="Times New Roman" w:eastAsia="宋体" w:cs="Times New Roman"/>
                <w:color w:val="auto"/>
                <w:sz w:val="21"/>
                <w:szCs w:val="21"/>
                <w:highlight w:val="none"/>
                <w:u w:val="single" w:color="auto"/>
              </w:rPr>
              <w:t>绿色结晶</w:t>
            </w:r>
            <w:r>
              <w:rPr>
                <w:rFonts w:hint="eastAsia" w:ascii="Times New Roman" w:hAnsi="Times New Roman" w:cs="Times New Roman"/>
                <w:color w:val="auto"/>
                <w:sz w:val="21"/>
                <w:szCs w:val="21"/>
                <w:highlight w:val="none"/>
                <w:u w:val="single" w:color="auto"/>
                <w:lang w:eastAsia="zh-CN"/>
              </w:rPr>
              <w:t>，无味</w:t>
            </w:r>
            <w:r>
              <w:rPr>
                <w:rFonts w:hint="default" w:ascii="Times New Roman" w:hAnsi="Times New Roman" w:eastAsia="宋体" w:cs="Times New Roman"/>
                <w:color w:val="auto"/>
                <w:sz w:val="21"/>
                <w:szCs w:val="21"/>
                <w:highlight w:val="none"/>
                <w:u w:val="single" w:color="auto"/>
              </w:rPr>
              <w:t>。易溶于水，</w:t>
            </w:r>
            <w:r>
              <w:rPr>
                <w:rFonts w:hint="default" w:ascii="Times New Roman" w:hAnsi="Times New Roman" w:eastAsia="宋体" w:cs="Times New Roman"/>
                <w:color w:val="auto"/>
                <w:sz w:val="21"/>
                <w:szCs w:val="21"/>
                <w:highlight w:val="none"/>
                <w:u w:val="single" w:color="auto"/>
              </w:rPr>
              <w:fldChar w:fldCharType="begin"/>
            </w:r>
            <w:r>
              <w:rPr>
                <w:rFonts w:hint="default" w:ascii="Times New Roman" w:hAnsi="Times New Roman" w:eastAsia="宋体" w:cs="Times New Roman"/>
                <w:color w:val="auto"/>
                <w:sz w:val="21"/>
                <w:szCs w:val="21"/>
                <w:highlight w:val="none"/>
                <w:u w:val="single" w:color="auto"/>
              </w:rPr>
              <w:instrText xml:space="preserve"> HYPERLINK "https://baike.baidu.com/item/%E6%B6%B2%E6%B0%A8" \t "https://baike.baidu.com/item/%E6%B0%A8%E5%9F%BA%E7%A3%BA%E9%85%B8%E9%95%8D/_blank" </w:instrText>
            </w:r>
            <w:r>
              <w:rPr>
                <w:rFonts w:hint="default" w:ascii="Times New Roman" w:hAnsi="Times New Roman" w:eastAsia="宋体" w:cs="Times New Roman"/>
                <w:color w:val="auto"/>
                <w:sz w:val="21"/>
                <w:szCs w:val="21"/>
                <w:highlight w:val="none"/>
                <w:u w:val="single" w:color="auto"/>
              </w:rPr>
              <w:fldChar w:fldCharType="separate"/>
            </w:r>
            <w:r>
              <w:rPr>
                <w:rFonts w:hint="default" w:ascii="Times New Roman" w:hAnsi="Times New Roman" w:eastAsia="宋体" w:cs="Times New Roman"/>
                <w:color w:val="auto"/>
                <w:sz w:val="21"/>
                <w:szCs w:val="21"/>
                <w:highlight w:val="none"/>
                <w:u w:val="single" w:color="auto"/>
              </w:rPr>
              <w:t>液氨</w:t>
            </w:r>
            <w:r>
              <w:rPr>
                <w:rFonts w:hint="default" w:ascii="Times New Roman" w:hAnsi="Times New Roman" w:eastAsia="宋体" w:cs="Times New Roman"/>
                <w:color w:val="auto"/>
                <w:sz w:val="21"/>
                <w:szCs w:val="21"/>
                <w:highlight w:val="none"/>
                <w:u w:val="single" w:color="auto"/>
              </w:rPr>
              <w:fldChar w:fldCharType="end"/>
            </w:r>
            <w:r>
              <w:rPr>
                <w:rFonts w:hint="default" w:ascii="Times New Roman" w:hAnsi="Times New Roman" w:eastAsia="宋体" w:cs="Times New Roman"/>
                <w:color w:val="auto"/>
                <w:sz w:val="21"/>
                <w:szCs w:val="21"/>
                <w:highlight w:val="none"/>
                <w:u w:val="single" w:color="auto"/>
              </w:rPr>
              <w:t>，乙醇，微溶于</w:t>
            </w:r>
            <w:r>
              <w:rPr>
                <w:rFonts w:hint="default" w:ascii="Times New Roman" w:hAnsi="Times New Roman" w:eastAsia="宋体" w:cs="Times New Roman"/>
                <w:color w:val="auto"/>
                <w:sz w:val="21"/>
                <w:szCs w:val="21"/>
                <w:highlight w:val="none"/>
                <w:u w:val="single" w:color="auto"/>
              </w:rPr>
              <w:fldChar w:fldCharType="begin"/>
            </w:r>
            <w:r>
              <w:rPr>
                <w:rFonts w:hint="default" w:ascii="Times New Roman" w:hAnsi="Times New Roman" w:eastAsia="宋体" w:cs="Times New Roman"/>
                <w:color w:val="auto"/>
                <w:sz w:val="21"/>
                <w:szCs w:val="21"/>
                <w:highlight w:val="none"/>
                <w:u w:val="single" w:color="auto"/>
              </w:rPr>
              <w:instrText xml:space="preserve"> HYPERLINK "https://baike.baidu.com/item/%E4%B8%99%E9%85%AE" \t "https://baike.baidu.com/item/%E6%B0%A8%E5%9F%BA%E7%A3%BA%E9%85%B8%E9%95%8D/_blank" </w:instrText>
            </w:r>
            <w:r>
              <w:rPr>
                <w:rFonts w:hint="default" w:ascii="Times New Roman" w:hAnsi="Times New Roman" w:eastAsia="宋体" w:cs="Times New Roman"/>
                <w:color w:val="auto"/>
                <w:sz w:val="21"/>
                <w:szCs w:val="21"/>
                <w:highlight w:val="none"/>
                <w:u w:val="single" w:color="auto"/>
              </w:rPr>
              <w:fldChar w:fldCharType="separate"/>
            </w:r>
            <w:r>
              <w:rPr>
                <w:rFonts w:hint="default" w:ascii="Times New Roman" w:hAnsi="Times New Roman" w:eastAsia="宋体" w:cs="Times New Roman"/>
                <w:color w:val="auto"/>
                <w:sz w:val="21"/>
                <w:szCs w:val="21"/>
                <w:highlight w:val="none"/>
                <w:u w:val="single" w:color="auto"/>
              </w:rPr>
              <w:t>丙酮</w:t>
            </w:r>
            <w:r>
              <w:rPr>
                <w:rFonts w:hint="default" w:ascii="Times New Roman" w:hAnsi="Times New Roman" w:eastAsia="宋体" w:cs="Times New Roman"/>
                <w:color w:val="auto"/>
                <w:sz w:val="21"/>
                <w:szCs w:val="21"/>
                <w:highlight w:val="none"/>
                <w:u w:val="single" w:color="auto"/>
              </w:rPr>
              <w:fldChar w:fldCharType="end"/>
            </w:r>
            <w:r>
              <w:rPr>
                <w:rFonts w:hint="default" w:ascii="Times New Roman" w:hAnsi="Times New Roman" w:eastAsia="宋体" w:cs="Times New Roman"/>
                <w:color w:val="auto"/>
                <w:sz w:val="21"/>
                <w:szCs w:val="21"/>
                <w:highlight w:val="none"/>
                <w:u w:val="single" w:color="auto"/>
              </w:rPr>
              <w:t>，水溶液呈酸性，有吸湿性，潮湿空气中很快潮解，密度1.54g/cm</w:t>
            </w:r>
            <w:r>
              <w:rPr>
                <w:rFonts w:hint="default" w:ascii="Times New Roman" w:hAnsi="Times New Roman" w:eastAsia="宋体" w:cs="Times New Roman"/>
                <w:color w:val="auto"/>
                <w:sz w:val="21"/>
                <w:szCs w:val="21"/>
                <w:highlight w:val="none"/>
                <w:u w:val="single" w:color="auto"/>
                <w:vertAlign w:val="superscript"/>
              </w:rPr>
              <w:t>3</w:t>
            </w:r>
          </w:p>
        </w:tc>
        <w:tc>
          <w:tcPr>
            <w:tcW w:w="2611" w:type="dxa"/>
            <w:vAlign w:val="center"/>
          </w:tcPr>
          <w:p w14:paraId="71700B39">
            <w:pPr>
              <w:pStyle w:val="10"/>
              <w:wordWrap/>
              <w:snapToGrid/>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不燃</w:t>
            </w:r>
          </w:p>
        </w:tc>
        <w:tc>
          <w:tcPr>
            <w:tcW w:w="5358" w:type="dxa"/>
            <w:vAlign w:val="center"/>
          </w:tcPr>
          <w:p w14:paraId="78F73AA5">
            <w:pPr>
              <w:pStyle w:val="10"/>
              <w:wordWrap/>
              <w:snapToGrid/>
              <w:spacing w:line="240" w:lineRule="auto"/>
              <w:rPr>
                <w:rFonts w:hint="default" w:ascii="Times New Roman" w:hAnsi="Times New Roman" w:eastAsia="宋体" w:cs="Times New Roman"/>
                <w:color w:val="auto"/>
                <w:sz w:val="21"/>
                <w:szCs w:val="21"/>
                <w:highlight w:val="none"/>
                <w:u w:val="single" w:color="auto"/>
                <w:shd w:val="clear" w:color="auto" w:fill="FFFFFF"/>
              </w:rPr>
            </w:pPr>
            <w:r>
              <w:rPr>
                <w:rFonts w:hint="default" w:ascii="Times New Roman" w:hAnsi="Times New Roman" w:eastAsia="宋体" w:cs="Times New Roman"/>
                <w:color w:val="auto"/>
                <w:kern w:val="0"/>
                <w:sz w:val="21"/>
                <w:szCs w:val="21"/>
                <w:highlight w:val="none"/>
                <w:u w:val="single" w:color="auto"/>
              </w:rPr>
              <w:t>无毒</w:t>
            </w:r>
          </w:p>
        </w:tc>
      </w:tr>
      <w:tr w14:paraId="523DE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42E0DFE5">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硫酸铜</w:t>
            </w:r>
          </w:p>
        </w:tc>
        <w:tc>
          <w:tcPr>
            <w:tcW w:w="1171" w:type="dxa"/>
            <w:vAlign w:val="center"/>
          </w:tcPr>
          <w:p w14:paraId="4ECAE543">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CuSO</w:t>
            </w:r>
            <w:r>
              <w:rPr>
                <w:rFonts w:hint="default" w:ascii="Times New Roman" w:hAnsi="Times New Roman" w:eastAsia="宋体" w:cs="Times New Roman"/>
                <w:color w:val="auto"/>
                <w:sz w:val="21"/>
                <w:szCs w:val="21"/>
                <w:highlight w:val="none"/>
                <w:u w:val="single" w:color="auto"/>
                <w:vertAlign w:val="subscript"/>
              </w:rPr>
              <w:t>4</w:t>
            </w:r>
          </w:p>
        </w:tc>
        <w:tc>
          <w:tcPr>
            <w:tcW w:w="5082" w:type="dxa"/>
            <w:vAlign w:val="center"/>
          </w:tcPr>
          <w:p w14:paraId="5BE79AD2">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蓝色粉末，易溶于水，微溶于甲醇，不溶于无水乙醇，随温度上升渐失结晶水；在干燥空气中逐渐风化，表面变为白色粉末状</w:t>
            </w:r>
          </w:p>
        </w:tc>
        <w:tc>
          <w:tcPr>
            <w:tcW w:w="2611" w:type="dxa"/>
            <w:vAlign w:val="center"/>
          </w:tcPr>
          <w:p w14:paraId="21E0E118">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不燃</w:t>
            </w:r>
          </w:p>
        </w:tc>
        <w:tc>
          <w:tcPr>
            <w:tcW w:w="5358" w:type="dxa"/>
            <w:vAlign w:val="center"/>
          </w:tcPr>
          <w:p w14:paraId="0514FB53">
            <w:pPr>
              <w:widowControl/>
              <w:shd w:val="clear" w:color="auto" w:fill="FFFFFF"/>
              <w:wordWrap/>
              <w:snapToGrid/>
              <w:spacing w:line="240" w:lineRule="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毒性：属中等毒性。</w:t>
            </w:r>
          </w:p>
          <w:p w14:paraId="118BA15B">
            <w:pPr>
              <w:widowControl/>
              <w:shd w:val="clear" w:color="auto" w:fill="FFFFFF"/>
              <w:wordWrap/>
              <w:snapToGrid/>
              <w:spacing w:line="240" w:lineRule="auto"/>
              <w:rPr>
                <w:rFonts w:hint="default" w:ascii="Times New Roman" w:hAnsi="Times New Roman" w:eastAsia="宋体" w:cs="Times New Roman"/>
                <w:color w:val="auto"/>
                <w:sz w:val="21"/>
                <w:szCs w:val="21"/>
                <w:highlight w:val="none"/>
                <w:u w:val="single" w:color="auto"/>
                <w:shd w:val="clear" w:color="auto" w:fill="FFFFFF"/>
              </w:rPr>
            </w:pPr>
            <w:r>
              <w:rPr>
                <w:rFonts w:hint="default" w:ascii="Times New Roman" w:hAnsi="Times New Roman" w:eastAsia="宋体" w:cs="Times New Roman"/>
                <w:color w:val="auto"/>
                <w:kern w:val="0"/>
                <w:sz w:val="21"/>
                <w:szCs w:val="21"/>
                <w:highlight w:val="none"/>
                <w:u w:val="single" w:color="auto"/>
              </w:rPr>
              <w:t>急性毒性：LD50：300mg/kg（大鼠经口）；33mg/kg（小鼠腹腔）</w:t>
            </w:r>
          </w:p>
        </w:tc>
      </w:tr>
      <w:tr w14:paraId="52F2A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58E24172">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硫酸镍</w:t>
            </w:r>
          </w:p>
        </w:tc>
        <w:tc>
          <w:tcPr>
            <w:tcW w:w="1171" w:type="dxa"/>
            <w:vAlign w:val="center"/>
          </w:tcPr>
          <w:p w14:paraId="7D5482C4">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NiSO</w:t>
            </w:r>
            <w:r>
              <w:rPr>
                <w:rFonts w:hint="default" w:ascii="Times New Roman" w:hAnsi="Times New Roman" w:eastAsia="宋体" w:cs="Times New Roman"/>
                <w:color w:val="auto"/>
                <w:sz w:val="21"/>
                <w:szCs w:val="21"/>
                <w:highlight w:val="none"/>
                <w:u w:val="single" w:color="auto"/>
                <w:vertAlign w:val="subscript"/>
              </w:rPr>
              <w:t>4</w:t>
            </w:r>
          </w:p>
        </w:tc>
        <w:tc>
          <w:tcPr>
            <w:tcW w:w="5082" w:type="dxa"/>
            <w:vAlign w:val="center"/>
          </w:tcPr>
          <w:p w14:paraId="47E62581">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含6分子结晶水的α型为蓝绿色四方结晶，易溶于水，微溶于乙醇、甲醇，其水溶液呈酸性，微溶于酸、氨水。</w:t>
            </w:r>
          </w:p>
        </w:tc>
        <w:tc>
          <w:tcPr>
            <w:tcW w:w="2611" w:type="dxa"/>
            <w:vAlign w:val="center"/>
          </w:tcPr>
          <w:p w14:paraId="5773B4A7">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不燃</w:t>
            </w:r>
          </w:p>
        </w:tc>
        <w:tc>
          <w:tcPr>
            <w:tcW w:w="5358" w:type="dxa"/>
            <w:vAlign w:val="center"/>
          </w:tcPr>
          <w:p w14:paraId="1E7FB023">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shd w:val="clear" w:color="auto" w:fill="FFFFFF"/>
              </w:rPr>
            </w:pPr>
            <w:r>
              <w:rPr>
                <w:rFonts w:hint="default" w:ascii="Times New Roman" w:hAnsi="Times New Roman" w:eastAsia="宋体" w:cs="Times New Roman"/>
                <w:color w:val="auto"/>
                <w:sz w:val="21"/>
                <w:szCs w:val="21"/>
                <w:highlight w:val="none"/>
                <w:u w:val="single" w:color="auto"/>
              </w:rPr>
              <w:t>有刺激性，半数致死量(大鼠，腹邦)500mg/kg。有致癌可能性。</w:t>
            </w:r>
          </w:p>
        </w:tc>
      </w:tr>
      <w:tr w14:paraId="1515E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6E537324">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氯化镍</w:t>
            </w:r>
          </w:p>
        </w:tc>
        <w:tc>
          <w:tcPr>
            <w:tcW w:w="1171" w:type="dxa"/>
            <w:vAlign w:val="center"/>
          </w:tcPr>
          <w:p w14:paraId="16FC7FB4">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pP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NiCl</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vertAlign w:val="subscript"/>
              </w:rPr>
              <w:t>2</w:t>
            </w: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6H</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vertAlign w:val="subscript"/>
              </w:rPr>
              <w:t>2</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O</w:t>
            </w:r>
          </w:p>
        </w:tc>
        <w:tc>
          <w:tcPr>
            <w:tcW w:w="5082" w:type="dxa"/>
            <w:vAlign w:val="center"/>
          </w:tcPr>
          <w:p w14:paraId="267F3E13">
            <w:pPr>
              <w:pStyle w:val="19"/>
              <w:widowControl/>
              <w:pBdr>
                <w:top w:val="none" w:color="auto" w:sz="0" w:space="0"/>
                <w:left w:val="none" w:color="auto" w:sz="0" w:space="0"/>
                <w:bottom w:val="none" w:color="auto" w:sz="0" w:space="0"/>
                <w:right w:val="none" w:color="auto" w:sz="0" w:space="0"/>
              </w:pBdr>
              <w:shd w:val="clear" w:color="070000" w:fill="FFFFFF"/>
              <w:wordWrap/>
              <w:snapToGrid/>
              <w:spacing w:before="0" w:beforeAutospacing="0" w:after="0" w:afterAutospacing="0" w:line="240" w:lineRule="auto"/>
              <w:ind w:right="0"/>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绿色片状结晶，易溶于水、醇。相对密度（水=1）：1.921。</w:t>
            </w:r>
          </w:p>
        </w:tc>
        <w:tc>
          <w:tcPr>
            <w:tcW w:w="2611" w:type="dxa"/>
            <w:vAlign w:val="center"/>
          </w:tcPr>
          <w:p w14:paraId="43A2EDDF">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不燃</w:t>
            </w:r>
          </w:p>
        </w:tc>
        <w:tc>
          <w:tcPr>
            <w:tcW w:w="5358" w:type="dxa"/>
            <w:vAlign w:val="center"/>
          </w:tcPr>
          <w:p w14:paraId="77EC1721">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rPr>
            </w:pPr>
            <w:r>
              <w:rPr>
                <w:rFonts w:hint="default" w:ascii="Times New Roman" w:hAnsi="Times New Roman" w:cs="Times New Roman"/>
                <w:color w:val="auto"/>
                <w:kern w:val="0"/>
                <w:sz w:val="21"/>
                <w:szCs w:val="21"/>
                <w:highlight w:val="none"/>
                <w:u w:val="single" w:color="auto"/>
                <w:lang w:eastAsia="zh-CN"/>
              </w:rPr>
              <w:t>与钾发生剧烈反应，受高热分解，放出有毒烟气；接触者可引发接触性皮炎，吸入可引发支气管炎，并可能并发肾上腺皮质功能不全，镍化合物属于致癌物；</w:t>
            </w:r>
            <w:r>
              <w:rPr>
                <w:rFonts w:hint="default" w:ascii="Times New Roman" w:hAnsi="Times New Roman" w:cs="Times New Roman"/>
                <w:color w:val="auto"/>
                <w:kern w:val="0"/>
                <w:sz w:val="21"/>
                <w:szCs w:val="21"/>
                <w:highlight w:val="none"/>
                <w:u w:val="single" w:color="auto"/>
                <w:lang w:val="en-US" w:eastAsia="zh-CN"/>
              </w:rPr>
              <w:t>LD50：175</w:t>
            </w:r>
            <w:r>
              <w:rPr>
                <w:rFonts w:hint="default" w:ascii="Times New Roman" w:hAnsi="Times New Roman" w:eastAsia="宋体" w:cs="Times New Roman"/>
                <w:color w:val="auto"/>
                <w:kern w:val="0"/>
                <w:sz w:val="21"/>
                <w:szCs w:val="21"/>
                <w:highlight w:val="none"/>
                <w:u w:val="single" w:color="auto"/>
              </w:rPr>
              <w:t>mg/kg（大鼠经口）</w:t>
            </w:r>
          </w:p>
        </w:tc>
      </w:tr>
      <w:tr w14:paraId="174B6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642276A5">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硅酸钠</w:t>
            </w:r>
          </w:p>
        </w:tc>
        <w:tc>
          <w:tcPr>
            <w:tcW w:w="1171" w:type="dxa"/>
            <w:vAlign w:val="center"/>
          </w:tcPr>
          <w:p w14:paraId="619E75BD">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pP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N</w:t>
            </w: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a</w:t>
            </w:r>
            <w:r>
              <w:rPr>
                <w:rFonts w:hint="default" w:ascii="Times New Roman" w:hAnsi="Times New Roman" w:cs="Times New Roman"/>
                <w:i w:val="0"/>
                <w:iCs w:val="0"/>
                <w:caps w:val="0"/>
                <w:color w:val="auto"/>
                <w:spacing w:val="0"/>
                <w:sz w:val="21"/>
                <w:szCs w:val="21"/>
                <w:highlight w:val="none"/>
                <w:u w:val="single" w:color="auto"/>
                <w:shd w:val="clear" w:color="0A0000" w:fill="FFFFFF"/>
                <w:vertAlign w:val="subscript"/>
                <w:lang w:val="en-US" w:eastAsia="zh-CN"/>
              </w:rPr>
              <w:t>2</w:t>
            </w: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Si</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O</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vertAlign w:val="subscript"/>
              </w:rPr>
              <w:t>3</w:t>
            </w:r>
          </w:p>
        </w:tc>
        <w:tc>
          <w:tcPr>
            <w:tcW w:w="5082" w:type="dxa"/>
            <w:vAlign w:val="center"/>
          </w:tcPr>
          <w:p w14:paraId="4CC6902D">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eastAsia="zh-CN"/>
              </w:rPr>
              <w:t>略带绿色或者白色粉末，透明块状或粘稠液体，易溶于水。</w:t>
            </w:r>
            <w:r>
              <w:rPr>
                <w:rFonts w:hint="default" w:ascii="Times New Roman" w:hAnsi="Times New Roman" w:eastAsia="宋体" w:cs="Times New Roman"/>
                <w:color w:val="auto"/>
                <w:sz w:val="21"/>
                <w:szCs w:val="21"/>
                <w:highlight w:val="none"/>
                <w:u w:val="single" w:color="auto"/>
                <w:lang w:eastAsia="zh-CN"/>
              </w:rPr>
              <w:t>相对密度（水=1）：</w:t>
            </w:r>
            <w:r>
              <w:rPr>
                <w:rFonts w:hint="default" w:ascii="Times New Roman" w:hAnsi="Times New Roman" w:cs="Times New Roman"/>
                <w:color w:val="auto"/>
                <w:sz w:val="21"/>
                <w:szCs w:val="21"/>
                <w:highlight w:val="none"/>
                <w:u w:val="single" w:color="auto"/>
                <w:lang w:val="en-US" w:eastAsia="zh-CN"/>
              </w:rPr>
              <w:t>2.4，熔点：1088℃。</w:t>
            </w:r>
          </w:p>
        </w:tc>
        <w:tc>
          <w:tcPr>
            <w:tcW w:w="2611" w:type="dxa"/>
            <w:vAlign w:val="center"/>
          </w:tcPr>
          <w:p w14:paraId="28BF079B">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不燃，具有腐蚀性，强刺激性</w:t>
            </w:r>
          </w:p>
        </w:tc>
        <w:tc>
          <w:tcPr>
            <w:tcW w:w="5358" w:type="dxa"/>
            <w:vAlign w:val="center"/>
          </w:tcPr>
          <w:p w14:paraId="6A49CCEC">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cs="Times New Roman"/>
                <w:color w:val="auto"/>
                <w:kern w:val="0"/>
                <w:sz w:val="21"/>
                <w:szCs w:val="21"/>
                <w:highlight w:val="none"/>
                <w:u w:val="single" w:color="auto"/>
                <w:lang w:eastAsia="zh-CN"/>
              </w:rPr>
              <w:t>吸入对呼吸道粘膜有刺激和腐蚀性，皮肤接触可引起皮炎或灼伤，摄入可腐蚀消化道，出现恶心、呕吐、头痛等</w:t>
            </w:r>
          </w:p>
        </w:tc>
      </w:tr>
      <w:tr w14:paraId="2E060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35FFF904">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光亮剂</w:t>
            </w:r>
          </w:p>
        </w:tc>
        <w:tc>
          <w:tcPr>
            <w:tcW w:w="14222" w:type="dxa"/>
            <w:gridSpan w:val="4"/>
            <w:vAlign w:val="center"/>
          </w:tcPr>
          <w:p w14:paraId="09B36103">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cs="Times New Roman"/>
                <w:color w:val="auto"/>
                <w:sz w:val="21"/>
                <w:szCs w:val="21"/>
                <w:highlight w:val="none"/>
                <w:u w:val="single" w:color="auto"/>
              </w:rPr>
              <w:t>主要为有机化合物，如苯磺酸类、磺酰胺类、炔醇类、硫脲及其衍生物、磺烷基硫化物等</w:t>
            </w:r>
          </w:p>
        </w:tc>
      </w:tr>
      <w:tr w14:paraId="52E9F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66B46052">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氯化钠</w:t>
            </w:r>
          </w:p>
        </w:tc>
        <w:tc>
          <w:tcPr>
            <w:tcW w:w="1171" w:type="dxa"/>
            <w:vAlign w:val="center"/>
          </w:tcPr>
          <w:p w14:paraId="294F658F">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lang w:val="en-US"/>
              </w:rPr>
            </w:pP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N</w:t>
            </w: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aCl</w:t>
            </w:r>
          </w:p>
        </w:tc>
        <w:tc>
          <w:tcPr>
            <w:tcW w:w="5082" w:type="dxa"/>
            <w:vAlign w:val="center"/>
          </w:tcPr>
          <w:p w14:paraId="5BEABCF7">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eastAsia="zh-CN"/>
              </w:rPr>
              <w:t>无色晶体或者粉末，易溶于水和甘油，难溶于乙醇。密度：</w:t>
            </w:r>
            <w:r>
              <w:rPr>
                <w:rFonts w:hint="default" w:ascii="Times New Roman" w:hAnsi="Times New Roman" w:cs="Times New Roman"/>
                <w:color w:val="auto"/>
                <w:sz w:val="21"/>
                <w:szCs w:val="21"/>
                <w:highlight w:val="none"/>
                <w:u w:val="single" w:color="auto"/>
                <w:lang w:val="en-US" w:eastAsia="zh-CN"/>
              </w:rPr>
              <w:t>2.165，沸点：1461℃。</w:t>
            </w:r>
          </w:p>
        </w:tc>
        <w:tc>
          <w:tcPr>
            <w:tcW w:w="2611" w:type="dxa"/>
            <w:vAlign w:val="center"/>
          </w:tcPr>
          <w:p w14:paraId="65481A3B">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几乎不燃</w:t>
            </w:r>
          </w:p>
        </w:tc>
        <w:tc>
          <w:tcPr>
            <w:tcW w:w="5358" w:type="dxa"/>
            <w:vAlign w:val="center"/>
          </w:tcPr>
          <w:p w14:paraId="3B91550A">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cs="Times New Roman"/>
                <w:color w:val="auto"/>
                <w:kern w:val="0"/>
                <w:sz w:val="21"/>
                <w:szCs w:val="21"/>
                <w:highlight w:val="none"/>
                <w:u w:val="single" w:color="auto"/>
                <w:lang w:eastAsia="zh-CN"/>
              </w:rPr>
              <w:t>非危险物质</w:t>
            </w:r>
          </w:p>
        </w:tc>
      </w:tr>
      <w:tr w14:paraId="48BB9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6A6447E9">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硝酸钠</w:t>
            </w:r>
          </w:p>
        </w:tc>
        <w:tc>
          <w:tcPr>
            <w:tcW w:w="1171" w:type="dxa"/>
            <w:vAlign w:val="center"/>
          </w:tcPr>
          <w:p w14:paraId="5F4E4DCB">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pP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N</w:t>
            </w: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aN</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O</w:t>
            </w:r>
            <w:r>
              <w:rPr>
                <w:rFonts w:hint="default" w:ascii="Times New Roman" w:hAnsi="Times New Roman" w:cs="Times New Roman"/>
                <w:i w:val="0"/>
                <w:iCs w:val="0"/>
                <w:caps w:val="0"/>
                <w:color w:val="auto"/>
                <w:spacing w:val="0"/>
                <w:sz w:val="21"/>
                <w:szCs w:val="21"/>
                <w:highlight w:val="none"/>
                <w:u w:val="single" w:color="auto"/>
                <w:shd w:val="clear" w:color="0A0000" w:fill="FFFFFF"/>
                <w:vertAlign w:val="subscript"/>
                <w:lang w:val="en-US" w:eastAsia="zh-CN"/>
              </w:rPr>
              <w:t>3</w:t>
            </w:r>
          </w:p>
        </w:tc>
        <w:tc>
          <w:tcPr>
            <w:tcW w:w="5082" w:type="dxa"/>
            <w:vAlign w:val="center"/>
          </w:tcPr>
          <w:p w14:paraId="5242F74D">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无色透明或白微带黄色的菱形结晶，味苦，具有刺激性，易潮解，易溶于水、液氨，微溶于乙醇、甘油，</w:t>
            </w:r>
            <w:r>
              <w:rPr>
                <w:rFonts w:hint="default" w:ascii="Times New Roman" w:hAnsi="Times New Roman" w:eastAsia="宋体" w:cs="Times New Roman"/>
                <w:color w:val="auto"/>
                <w:sz w:val="21"/>
                <w:szCs w:val="21"/>
                <w:highlight w:val="none"/>
                <w:u w:val="single" w:color="auto"/>
                <w:lang w:eastAsia="zh-CN"/>
              </w:rPr>
              <w:t>熔点(℃):169.6，沸点(℃):210(分解)，相对密度(水=1):1.72，</w:t>
            </w:r>
          </w:p>
        </w:tc>
        <w:tc>
          <w:tcPr>
            <w:tcW w:w="2611" w:type="dxa"/>
            <w:vAlign w:val="center"/>
          </w:tcPr>
          <w:p w14:paraId="14F60BEF">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助燃</w:t>
            </w:r>
          </w:p>
        </w:tc>
        <w:tc>
          <w:tcPr>
            <w:tcW w:w="5358" w:type="dxa"/>
            <w:vAlign w:val="center"/>
          </w:tcPr>
          <w:p w14:paraId="2D45DC6D">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cs="Times New Roman"/>
                <w:color w:val="auto"/>
                <w:kern w:val="0"/>
                <w:sz w:val="21"/>
                <w:szCs w:val="21"/>
                <w:highlight w:val="none"/>
                <w:u w:val="single" w:color="auto"/>
                <w:lang w:eastAsia="zh-CN"/>
              </w:rPr>
              <w:t>对皮肤、粘膜有刺激性，大量口服剧烈腹痛、呕吐、休克、昏迷、甚至死亡；</w:t>
            </w:r>
            <w:r>
              <w:rPr>
                <w:rFonts w:hint="default" w:ascii="Times New Roman" w:hAnsi="Times New Roman" w:cs="Times New Roman"/>
                <w:color w:val="auto"/>
                <w:kern w:val="0"/>
                <w:sz w:val="21"/>
                <w:szCs w:val="21"/>
                <w:highlight w:val="none"/>
                <w:u w:val="single" w:color="auto"/>
                <w:lang w:val="en-US" w:eastAsia="zh-CN"/>
              </w:rPr>
              <w:t>LD50：3236</w:t>
            </w:r>
            <w:r>
              <w:rPr>
                <w:rFonts w:hint="default" w:ascii="Times New Roman" w:hAnsi="Times New Roman" w:eastAsia="宋体" w:cs="Times New Roman"/>
                <w:color w:val="auto"/>
                <w:kern w:val="0"/>
                <w:sz w:val="21"/>
                <w:szCs w:val="21"/>
                <w:highlight w:val="none"/>
                <w:u w:val="single" w:color="auto"/>
              </w:rPr>
              <w:t>mg/kg（大鼠经口）</w:t>
            </w:r>
          </w:p>
        </w:tc>
      </w:tr>
      <w:tr w14:paraId="20F28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1EBA464F">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十二烷基硫酸钠</w:t>
            </w:r>
          </w:p>
        </w:tc>
        <w:tc>
          <w:tcPr>
            <w:tcW w:w="1171" w:type="dxa"/>
            <w:vAlign w:val="center"/>
          </w:tcPr>
          <w:p w14:paraId="45E93DC2">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pP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C</w:t>
            </w:r>
            <w:r>
              <w:rPr>
                <w:rFonts w:hint="default" w:ascii="Times New Roman" w:hAnsi="Times New Roman" w:eastAsia="Helvetica" w:cs="Times New Roman"/>
                <w:i w:val="0"/>
                <w:iCs w:val="0"/>
                <w:caps w:val="0"/>
                <w:color w:val="auto"/>
                <w:spacing w:val="0"/>
                <w:sz w:val="21"/>
                <w:szCs w:val="21"/>
                <w:highlight w:val="none"/>
                <w:u w:val="single" w:color="auto"/>
                <w:vertAlign w:val="subscript"/>
              </w:rPr>
              <w:t>12</w:t>
            </w: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H</w:t>
            </w:r>
            <w:r>
              <w:rPr>
                <w:rFonts w:hint="default" w:ascii="Times New Roman" w:hAnsi="Times New Roman" w:eastAsia="Helvetica" w:cs="Times New Roman"/>
                <w:i w:val="0"/>
                <w:iCs w:val="0"/>
                <w:caps w:val="0"/>
                <w:color w:val="auto"/>
                <w:spacing w:val="0"/>
                <w:sz w:val="21"/>
                <w:szCs w:val="21"/>
                <w:highlight w:val="none"/>
                <w:u w:val="single" w:color="auto"/>
                <w:vertAlign w:val="subscript"/>
              </w:rPr>
              <w:t>25</w:t>
            </w: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NaO</w:t>
            </w:r>
            <w:r>
              <w:rPr>
                <w:rFonts w:hint="default" w:ascii="Times New Roman" w:hAnsi="Times New Roman" w:eastAsia="Helvetica" w:cs="Times New Roman"/>
                <w:i w:val="0"/>
                <w:iCs w:val="0"/>
                <w:caps w:val="0"/>
                <w:color w:val="auto"/>
                <w:spacing w:val="0"/>
                <w:sz w:val="21"/>
                <w:szCs w:val="21"/>
                <w:highlight w:val="none"/>
                <w:u w:val="single" w:color="auto"/>
                <w:vertAlign w:val="subscript"/>
              </w:rPr>
              <w:t>4</w:t>
            </w: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S</w:t>
            </w:r>
          </w:p>
        </w:tc>
        <w:tc>
          <w:tcPr>
            <w:tcW w:w="5082" w:type="dxa"/>
            <w:vAlign w:val="center"/>
          </w:tcPr>
          <w:p w14:paraId="42C3DAD1">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白色至黄色粉末，具有轻微特殊气味，易溶于水，微溶于乙醇，几乎不溶于氯仿、乙醚和轻石油；</w:t>
            </w:r>
            <w:r>
              <w:rPr>
                <w:rFonts w:hint="default" w:ascii="Times New Roman" w:hAnsi="Times New Roman" w:eastAsia="宋体" w:cs="Times New Roman"/>
                <w:color w:val="auto"/>
                <w:sz w:val="21"/>
                <w:szCs w:val="21"/>
                <w:highlight w:val="none"/>
                <w:u w:val="single" w:color="auto"/>
                <w:lang w:eastAsia="zh-CN"/>
              </w:rPr>
              <w:t>熔点(℃):</w:t>
            </w:r>
            <w:r>
              <w:rPr>
                <w:rFonts w:hint="default" w:ascii="Times New Roman" w:hAnsi="Times New Roman" w:cs="Times New Roman"/>
                <w:color w:val="auto"/>
                <w:sz w:val="21"/>
                <w:szCs w:val="21"/>
                <w:highlight w:val="none"/>
                <w:u w:val="single" w:color="auto"/>
                <w:lang w:val="en-US" w:eastAsia="zh-CN"/>
              </w:rPr>
              <w:t>180~185</w:t>
            </w:r>
            <w:r>
              <w:rPr>
                <w:rFonts w:hint="default" w:ascii="Times New Roman" w:hAnsi="Times New Roman" w:eastAsia="宋体" w:cs="Times New Roman"/>
                <w:color w:val="auto"/>
                <w:sz w:val="21"/>
                <w:szCs w:val="21"/>
                <w:highlight w:val="none"/>
                <w:u w:val="single" w:color="auto"/>
                <w:lang w:eastAsia="zh-CN"/>
              </w:rPr>
              <w:t>，相对密度(水=1):</w:t>
            </w:r>
            <w:r>
              <w:rPr>
                <w:rFonts w:hint="default" w:ascii="Times New Roman" w:hAnsi="Times New Roman" w:cs="Times New Roman"/>
                <w:color w:val="auto"/>
                <w:sz w:val="21"/>
                <w:szCs w:val="21"/>
                <w:highlight w:val="none"/>
                <w:u w:val="single" w:color="auto"/>
                <w:lang w:val="en-US" w:eastAsia="zh-CN"/>
              </w:rPr>
              <w:t>1.03。</w:t>
            </w:r>
          </w:p>
        </w:tc>
        <w:tc>
          <w:tcPr>
            <w:tcW w:w="2611" w:type="dxa"/>
            <w:vAlign w:val="center"/>
          </w:tcPr>
          <w:p w14:paraId="407FE300">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遇明火、高热可燃，受高热分解放出有毒气体</w:t>
            </w:r>
          </w:p>
        </w:tc>
        <w:tc>
          <w:tcPr>
            <w:tcW w:w="5358" w:type="dxa"/>
            <w:vAlign w:val="center"/>
          </w:tcPr>
          <w:p w14:paraId="2ACE7CB5">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cs="Times New Roman"/>
                <w:color w:val="auto"/>
                <w:kern w:val="0"/>
                <w:sz w:val="21"/>
                <w:szCs w:val="21"/>
                <w:highlight w:val="none"/>
                <w:u w:val="single" w:color="auto"/>
                <w:lang w:eastAsia="zh-CN"/>
              </w:rPr>
              <w:t>对皮肤、粘膜有刺激性；属低毒类 LD50：小鼠经口：2000mg／kg；大鼠经口：1288mg／kg 。</w:t>
            </w:r>
          </w:p>
        </w:tc>
      </w:tr>
      <w:tr w14:paraId="270D7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5A222AD5">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1-4丁炔二醇</w:t>
            </w:r>
          </w:p>
        </w:tc>
        <w:tc>
          <w:tcPr>
            <w:tcW w:w="1171" w:type="dxa"/>
            <w:vAlign w:val="center"/>
          </w:tcPr>
          <w:p w14:paraId="14F4522F">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lang w:eastAsia="zh-CN"/>
              </w:rPr>
            </w:pP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C</w:t>
            </w:r>
            <w:r>
              <w:rPr>
                <w:rFonts w:hint="default" w:ascii="Times New Roman" w:hAnsi="Times New Roman" w:eastAsia="宋体" w:cs="Times New Roman"/>
                <w:i w:val="0"/>
                <w:iCs w:val="0"/>
                <w:caps w:val="0"/>
                <w:color w:val="auto"/>
                <w:spacing w:val="0"/>
                <w:sz w:val="21"/>
                <w:szCs w:val="21"/>
                <w:highlight w:val="none"/>
                <w:u w:val="single" w:color="auto"/>
                <w:vertAlign w:val="subscript"/>
                <w:lang w:val="en-US" w:eastAsia="zh-CN"/>
              </w:rPr>
              <w:t>4</w:t>
            </w: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H</w:t>
            </w:r>
            <w:r>
              <w:rPr>
                <w:rFonts w:hint="default" w:ascii="Times New Roman" w:hAnsi="Times New Roman" w:eastAsia="宋体" w:cs="Times New Roman"/>
                <w:i w:val="0"/>
                <w:iCs w:val="0"/>
                <w:caps w:val="0"/>
                <w:color w:val="auto"/>
                <w:spacing w:val="0"/>
                <w:sz w:val="21"/>
                <w:szCs w:val="21"/>
                <w:highlight w:val="none"/>
                <w:u w:val="single" w:color="auto"/>
                <w:vertAlign w:val="subscript"/>
                <w:lang w:val="en-US" w:eastAsia="zh-CN"/>
              </w:rPr>
              <w:t>6</w:t>
            </w: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O</w:t>
            </w:r>
            <w:r>
              <w:rPr>
                <w:rFonts w:hint="default" w:ascii="Times New Roman" w:hAnsi="Times New Roman" w:eastAsia="宋体" w:cs="Times New Roman"/>
                <w:i w:val="0"/>
                <w:iCs w:val="0"/>
                <w:caps w:val="0"/>
                <w:color w:val="auto"/>
                <w:spacing w:val="0"/>
                <w:sz w:val="21"/>
                <w:szCs w:val="21"/>
                <w:highlight w:val="none"/>
                <w:u w:val="single" w:color="auto"/>
                <w:vertAlign w:val="subscript"/>
                <w:lang w:val="en-US" w:eastAsia="zh-CN"/>
              </w:rPr>
              <w:t>2</w:t>
            </w:r>
          </w:p>
        </w:tc>
        <w:tc>
          <w:tcPr>
            <w:tcW w:w="5082" w:type="dxa"/>
            <w:vAlign w:val="center"/>
          </w:tcPr>
          <w:p w14:paraId="3F9181F2">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白色至黄色片状结晶，具有醇香味，易潮解，易溶于水、乙醇、甲醇，不溶于氯仿、乙醚；</w:t>
            </w:r>
            <w:r>
              <w:rPr>
                <w:rFonts w:hint="default" w:ascii="Times New Roman" w:hAnsi="Times New Roman" w:eastAsia="宋体" w:cs="Times New Roman"/>
                <w:color w:val="auto"/>
                <w:sz w:val="21"/>
                <w:szCs w:val="21"/>
                <w:highlight w:val="none"/>
                <w:u w:val="single" w:color="auto"/>
                <w:lang w:eastAsia="zh-CN"/>
              </w:rPr>
              <w:t>熔点(℃):</w:t>
            </w:r>
            <w:r>
              <w:rPr>
                <w:rFonts w:hint="default" w:ascii="Times New Roman" w:hAnsi="Times New Roman" w:cs="Times New Roman"/>
                <w:color w:val="auto"/>
                <w:sz w:val="21"/>
                <w:szCs w:val="21"/>
                <w:highlight w:val="none"/>
                <w:u w:val="single" w:color="auto"/>
                <w:lang w:val="en-US" w:eastAsia="zh-CN"/>
              </w:rPr>
              <w:t>57.5。</w:t>
            </w:r>
          </w:p>
        </w:tc>
        <w:tc>
          <w:tcPr>
            <w:tcW w:w="2611" w:type="dxa"/>
            <w:vAlign w:val="center"/>
          </w:tcPr>
          <w:p w14:paraId="75880B39">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易燃，有毒，具刺激性，致敏性。遇明火、高热或与氧化剂混合，经摩擦、撞击有引起燃烧爆炸的危险。在高温时，若为盐酸、强酸、氢氧化物等污染后，有可能发生爆炸。</w:t>
            </w:r>
          </w:p>
        </w:tc>
        <w:tc>
          <w:tcPr>
            <w:tcW w:w="5358" w:type="dxa"/>
            <w:vAlign w:val="center"/>
          </w:tcPr>
          <w:p w14:paraId="1D2E2C54">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cs="Times New Roman"/>
                <w:color w:val="auto"/>
                <w:kern w:val="0"/>
                <w:sz w:val="21"/>
                <w:szCs w:val="21"/>
                <w:highlight w:val="none"/>
                <w:u w:val="single" w:color="auto"/>
                <w:lang w:eastAsia="zh-CN"/>
              </w:rPr>
              <w:t>对眼、呼吸道有刺激性，对皮肤有刺激和致敏作用；</w:t>
            </w:r>
            <w:r>
              <w:rPr>
                <w:rFonts w:hint="default" w:ascii="Times New Roman" w:hAnsi="Times New Roman" w:cs="Times New Roman"/>
                <w:color w:val="auto"/>
                <w:kern w:val="0"/>
                <w:sz w:val="21"/>
                <w:szCs w:val="21"/>
                <w:highlight w:val="none"/>
                <w:u w:val="single" w:color="auto"/>
                <w:lang w:val="en-US" w:eastAsia="zh-CN"/>
              </w:rPr>
              <w:t>LD50：125</w:t>
            </w:r>
            <w:r>
              <w:rPr>
                <w:rFonts w:hint="default" w:ascii="Times New Roman" w:hAnsi="Times New Roman" w:eastAsia="宋体" w:cs="Times New Roman"/>
                <w:color w:val="auto"/>
                <w:kern w:val="0"/>
                <w:sz w:val="21"/>
                <w:szCs w:val="21"/>
                <w:highlight w:val="none"/>
                <w:u w:val="single" w:color="auto"/>
              </w:rPr>
              <w:t>mg/kg（大鼠经口）</w:t>
            </w:r>
          </w:p>
        </w:tc>
      </w:tr>
      <w:tr w14:paraId="6E67E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1DCCD7CD">
            <w:pPr>
              <w:pStyle w:val="32"/>
              <w:wordWrap/>
              <w:snapToGrid/>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立方氮化硼</w:t>
            </w:r>
          </w:p>
        </w:tc>
        <w:tc>
          <w:tcPr>
            <w:tcW w:w="1171" w:type="dxa"/>
            <w:vAlign w:val="center"/>
          </w:tcPr>
          <w:p w14:paraId="18B6EBDF">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lang w:val="en-US" w:eastAsia="zh-CN"/>
              </w:rPr>
            </w:pP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BN</w:t>
            </w:r>
          </w:p>
        </w:tc>
        <w:tc>
          <w:tcPr>
            <w:tcW w:w="5082" w:type="dxa"/>
            <w:vAlign w:val="center"/>
          </w:tcPr>
          <w:p w14:paraId="605E8578">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eastAsia="zh-CN"/>
              </w:rPr>
              <w:t>白色鳞片状结晶，几乎不溶于水，也不溶于酸和冷碱，</w:t>
            </w:r>
            <w:r>
              <w:rPr>
                <w:rFonts w:hint="default" w:ascii="Times New Roman" w:hAnsi="Times New Roman" w:eastAsia="宋体" w:cs="Times New Roman"/>
                <w:color w:val="auto"/>
                <w:sz w:val="21"/>
                <w:szCs w:val="21"/>
                <w:highlight w:val="none"/>
                <w:u w:val="single" w:color="auto"/>
                <w:lang w:eastAsia="zh-CN"/>
              </w:rPr>
              <w:t>相对密度(水=1):</w:t>
            </w:r>
            <w:r>
              <w:rPr>
                <w:rFonts w:hint="default" w:ascii="Times New Roman" w:hAnsi="Times New Roman" w:cs="Times New Roman"/>
                <w:color w:val="auto"/>
                <w:sz w:val="21"/>
                <w:szCs w:val="21"/>
                <w:highlight w:val="none"/>
                <w:u w:val="single" w:color="auto"/>
                <w:lang w:val="en-US" w:eastAsia="zh-CN"/>
              </w:rPr>
              <w:t>2.25</w:t>
            </w:r>
          </w:p>
        </w:tc>
        <w:tc>
          <w:tcPr>
            <w:tcW w:w="2611" w:type="dxa"/>
            <w:vAlign w:val="center"/>
          </w:tcPr>
          <w:p w14:paraId="7D610846">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不燃</w:t>
            </w:r>
          </w:p>
        </w:tc>
        <w:tc>
          <w:tcPr>
            <w:tcW w:w="5358" w:type="dxa"/>
            <w:vAlign w:val="center"/>
          </w:tcPr>
          <w:p w14:paraId="17791AE3">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cs="Times New Roman"/>
                <w:color w:val="auto"/>
                <w:kern w:val="0"/>
                <w:sz w:val="21"/>
                <w:szCs w:val="21"/>
                <w:highlight w:val="none"/>
                <w:u w:val="single" w:color="auto"/>
                <w:lang w:eastAsia="zh-CN"/>
              </w:rPr>
              <w:t>无毒</w:t>
            </w:r>
          </w:p>
        </w:tc>
      </w:tr>
      <w:tr w14:paraId="5A42C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0ADD6F21">
            <w:pPr>
              <w:pStyle w:val="32"/>
              <w:wordWrap/>
              <w:snapToGrid/>
              <w:spacing w:line="240" w:lineRule="auto"/>
              <w:ind w:firstLine="0" w:firstLineChars="0"/>
              <w:jc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磷酸三钠</w:t>
            </w:r>
          </w:p>
        </w:tc>
        <w:tc>
          <w:tcPr>
            <w:tcW w:w="1171" w:type="dxa"/>
            <w:vAlign w:val="center"/>
          </w:tcPr>
          <w:p w14:paraId="1040EB34">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pP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N</w:t>
            </w: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a</w:t>
            </w:r>
            <w:r>
              <w:rPr>
                <w:rFonts w:hint="default" w:ascii="Times New Roman" w:hAnsi="Times New Roman" w:cs="Times New Roman"/>
                <w:i w:val="0"/>
                <w:iCs w:val="0"/>
                <w:caps w:val="0"/>
                <w:color w:val="auto"/>
                <w:spacing w:val="0"/>
                <w:sz w:val="21"/>
                <w:szCs w:val="21"/>
                <w:highlight w:val="none"/>
                <w:u w:val="single" w:color="auto"/>
                <w:shd w:val="clear" w:color="0A0000" w:fill="FFFFFF"/>
                <w:vertAlign w:val="subscript"/>
                <w:lang w:val="en-US" w:eastAsia="zh-CN"/>
              </w:rPr>
              <w:t>3</w:t>
            </w: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PO</w:t>
            </w:r>
            <w:r>
              <w:rPr>
                <w:rFonts w:hint="default" w:ascii="Times New Roman" w:hAnsi="Times New Roman" w:cs="Times New Roman"/>
                <w:i w:val="0"/>
                <w:iCs w:val="0"/>
                <w:caps w:val="0"/>
                <w:color w:val="auto"/>
                <w:spacing w:val="0"/>
                <w:sz w:val="21"/>
                <w:szCs w:val="21"/>
                <w:highlight w:val="none"/>
                <w:u w:val="single" w:color="auto"/>
                <w:shd w:val="clear" w:color="0A0000" w:fill="FFFFFF"/>
                <w:vertAlign w:val="subscript"/>
                <w:lang w:val="en-US" w:eastAsia="zh-CN"/>
              </w:rPr>
              <w:t>4</w:t>
            </w: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12</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H</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vertAlign w:val="subscript"/>
              </w:rPr>
              <w:t>2</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O</w:t>
            </w:r>
          </w:p>
        </w:tc>
        <w:tc>
          <w:tcPr>
            <w:tcW w:w="5082" w:type="dxa"/>
            <w:vAlign w:val="center"/>
          </w:tcPr>
          <w:p w14:paraId="306BE39C">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eastAsia="zh-CN"/>
              </w:rPr>
              <w:t>无色晶体，在干燥空气中易风化，</w:t>
            </w:r>
            <w:r>
              <w:rPr>
                <w:rFonts w:hint="default" w:ascii="Times New Roman" w:hAnsi="Times New Roman" w:eastAsia="宋体" w:cs="Times New Roman"/>
                <w:color w:val="auto"/>
                <w:sz w:val="21"/>
                <w:szCs w:val="21"/>
                <w:highlight w:val="none"/>
                <w:u w:val="single" w:color="auto"/>
                <w:lang w:eastAsia="zh-CN"/>
              </w:rPr>
              <w:t>相对密度(水=1):</w:t>
            </w:r>
            <w:r>
              <w:rPr>
                <w:rFonts w:hint="default" w:ascii="Times New Roman" w:hAnsi="Times New Roman" w:cs="Times New Roman"/>
                <w:color w:val="auto"/>
                <w:sz w:val="21"/>
                <w:szCs w:val="21"/>
                <w:highlight w:val="none"/>
                <w:u w:val="single" w:color="auto"/>
                <w:lang w:val="en-US" w:eastAsia="zh-CN"/>
              </w:rPr>
              <w:t>1.62，溶于水，不溶于乙醇、二硫化碳。</w:t>
            </w:r>
          </w:p>
        </w:tc>
        <w:tc>
          <w:tcPr>
            <w:tcW w:w="2611" w:type="dxa"/>
            <w:vAlign w:val="center"/>
          </w:tcPr>
          <w:p w14:paraId="55CD975A">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不燃</w:t>
            </w:r>
          </w:p>
        </w:tc>
        <w:tc>
          <w:tcPr>
            <w:tcW w:w="5358" w:type="dxa"/>
            <w:vAlign w:val="center"/>
          </w:tcPr>
          <w:p w14:paraId="25CEDDC3">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cs="Times New Roman"/>
                <w:color w:val="auto"/>
                <w:kern w:val="0"/>
                <w:sz w:val="21"/>
                <w:szCs w:val="21"/>
                <w:highlight w:val="none"/>
                <w:u w:val="single" w:color="auto"/>
                <w:lang w:val="en-US" w:eastAsia="zh-CN"/>
              </w:rPr>
              <w:t>对粘膜有轻度刺激性作用；LD50：7400</w:t>
            </w:r>
            <w:r>
              <w:rPr>
                <w:rFonts w:hint="default" w:ascii="Times New Roman" w:hAnsi="Times New Roman" w:eastAsia="宋体" w:cs="Times New Roman"/>
                <w:color w:val="auto"/>
                <w:kern w:val="0"/>
                <w:sz w:val="21"/>
                <w:szCs w:val="21"/>
                <w:highlight w:val="none"/>
                <w:u w:val="single" w:color="auto"/>
              </w:rPr>
              <w:t>mg/kg（大鼠经口）</w:t>
            </w:r>
          </w:p>
        </w:tc>
      </w:tr>
      <w:tr w14:paraId="344AF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22501D47">
            <w:pPr>
              <w:pStyle w:val="33"/>
              <w:wordWrap/>
              <w:snapToGrid/>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酒石酸钾钠</w:t>
            </w:r>
          </w:p>
        </w:tc>
        <w:tc>
          <w:tcPr>
            <w:tcW w:w="1171" w:type="dxa"/>
            <w:vAlign w:val="center"/>
          </w:tcPr>
          <w:p w14:paraId="04CBE465">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pP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lang w:val="en-US" w:eastAsia="zh-CN"/>
              </w:rPr>
              <w:t>KNa</w:t>
            </w: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C</w:t>
            </w:r>
            <w:r>
              <w:rPr>
                <w:rFonts w:hint="default" w:ascii="Times New Roman" w:hAnsi="Times New Roman" w:eastAsia="宋体" w:cs="Times New Roman"/>
                <w:i w:val="0"/>
                <w:iCs w:val="0"/>
                <w:caps w:val="0"/>
                <w:color w:val="auto"/>
                <w:spacing w:val="0"/>
                <w:sz w:val="21"/>
                <w:szCs w:val="21"/>
                <w:highlight w:val="none"/>
                <w:u w:val="single" w:color="auto"/>
                <w:vertAlign w:val="subscript"/>
                <w:lang w:val="en-US" w:eastAsia="zh-CN"/>
              </w:rPr>
              <w:t>4</w:t>
            </w: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H</w:t>
            </w:r>
            <w:r>
              <w:rPr>
                <w:rFonts w:hint="default" w:ascii="Times New Roman" w:hAnsi="Times New Roman" w:eastAsia="宋体" w:cs="Times New Roman"/>
                <w:i w:val="0"/>
                <w:iCs w:val="0"/>
                <w:caps w:val="0"/>
                <w:color w:val="auto"/>
                <w:spacing w:val="0"/>
                <w:sz w:val="21"/>
                <w:szCs w:val="21"/>
                <w:highlight w:val="none"/>
                <w:u w:val="single" w:color="auto"/>
                <w:vertAlign w:val="subscript"/>
                <w:lang w:val="en-US" w:eastAsia="zh-CN"/>
              </w:rPr>
              <w:t>4</w:t>
            </w:r>
            <w:r>
              <w:rPr>
                <w:rFonts w:hint="default" w:ascii="Times New Roman" w:hAnsi="Times New Roman" w:eastAsia="Helvetica" w:cs="Times New Roman"/>
                <w:i w:val="0"/>
                <w:iCs w:val="0"/>
                <w:caps w:val="0"/>
                <w:color w:val="auto"/>
                <w:spacing w:val="0"/>
                <w:sz w:val="21"/>
                <w:szCs w:val="21"/>
                <w:highlight w:val="none"/>
                <w:u w:val="single" w:color="auto"/>
                <w:shd w:val="clear" w:color="0A0000" w:fill="FFFFFF"/>
              </w:rPr>
              <w:t>O</w:t>
            </w:r>
            <w:r>
              <w:rPr>
                <w:rFonts w:hint="default" w:ascii="Times New Roman" w:hAnsi="Times New Roman" w:eastAsia="宋体" w:cs="Times New Roman"/>
                <w:i w:val="0"/>
                <w:iCs w:val="0"/>
                <w:caps w:val="0"/>
                <w:color w:val="auto"/>
                <w:spacing w:val="0"/>
                <w:sz w:val="21"/>
                <w:szCs w:val="21"/>
                <w:highlight w:val="none"/>
                <w:u w:val="single" w:color="auto"/>
                <w:vertAlign w:val="subscript"/>
                <w:lang w:val="en-US" w:eastAsia="zh-CN"/>
              </w:rPr>
              <w:t>6</w:t>
            </w: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4</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H</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vertAlign w:val="subscript"/>
              </w:rPr>
              <w:t>2</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O</w:t>
            </w:r>
          </w:p>
        </w:tc>
        <w:tc>
          <w:tcPr>
            <w:tcW w:w="5082" w:type="dxa"/>
            <w:vAlign w:val="center"/>
          </w:tcPr>
          <w:p w14:paraId="3021AC8D">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无色透明结晶或白色结晶，</w:t>
            </w:r>
            <w:r>
              <w:rPr>
                <w:rFonts w:hint="default" w:ascii="Times New Roman" w:hAnsi="Times New Roman" w:eastAsia="宋体" w:cs="Times New Roman"/>
                <w:color w:val="auto"/>
                <w:sz w:val="21"/>
                <w:szCs w:val="21"/>
                <w:highlight w:val="none"/>
                <w:u w:val="single" w:color="auto"/>
                <w:lang w:eastAsia="zh-CN"/>
              </w:rPr>
              <w:t>相对密度(水=1):</w:t>
            </w:r>
            <w:r>
              <w:rPr>
                <w:rFonts w:hint="default" w:ascii="Times New Roman" w:hAnsi="Times New Roman" w:cs="Times New Roman"/>
                <w:color w:val="auto"/>
                <w:sz w:val="21"/>
                <w:szCs w:val="21"/>
                <w:highlight w:val="none"/>
                <w:u w:val="single" w:color="auto"/>
                <w:lang w:val="en-US" w:eastAsia="zh-CN"/>
              </w:rPr>
              <w:t>1.79，溶于水。</w:t>
            </w:r>
          </w:p>
        </w:tc>
        <w:tc>
          <w:tcPr>
            <w:tcW w:w="2611" w:type="dxa"/>
            <w:vAlign w:val="center"/>
          </w:tcPr>
          <w:p w14:paraId="3C73B119">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不燃</w:t>
            </w:r>
          </w:p>
        </w:tc>
        <w:tc>
          <w:tcPr>
            <w:tcW w:w="5358" w:type="dxa"/>
            <w:vAlign w:val="center"/>
          </w:tcPr>
          <w:p w14:paraId="6974C052">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cs="Times New Roman"/>
                <w:color w:val="auto"/>
                <w:kern w:val="0"/>
                <w:sz w:val="21"/>
                <w:szCs w:val="21"/>
                <w:highlight w:val="none"/>
                <w:u w:val="single" w:color="auto"/>
                <w:lang w:eastAsia="zh-CN"/>
              </w:rPr>
              <w:t>无毒，对胃肠道有强烈刺激性作用</w:t>
            </w:r>
          </w:p>
        </w:tc>
      </w:tr>
      <w:tr w14:paraId="5A4BD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7B47303B">
            <w:pPr>
              <w:pStyle w:val="33"/>
              <w:wordWrap/>
              <w:snapToGrid/>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酚醛树脂</w:t>
            </w:r>
          </w:p>
        </w:tc>
        <w:tc>
          <w:tcPr>
            <w:tcW w:w="1171" w:type="dxa"/>
            <w:vAlign w:val="center"/>
          </w:tcPr>
          <w:p w14:paraId="2B27FE59">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pP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(C</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vertAlign w:val="subscript"/>
              </w:rPr>
              <w:t>6</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H</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vertAlign w:val="subscript"/>
              </w:rPr>
              <w:t>6</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O</w:t>
            </w: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CH</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vertAlign w:val="subscript"/>
              </w:rPr>
              <w:t>2</w:t>
            </w:r>
            <w: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rPr>
              <w:t>O)x</w:t>
            </w:r>
          </w:p>
        </w:tc>
        <w:tc>
          <w:tcPr>
            <w:tcW w:w="13051" w:type="dxa"/>
            <w:gridSpan w:val="3"/>
            <w:vAlign w:val="center"/>
          </w:tcPr>
          <w:p w14:paraId="790BBF57">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cs="Times New Roman"/>
                <w:color w:val="auto"/>
                <w:sz w:val="21"/>
                <w:szCs w:val="21"/>
                <w:highlight w:val="none"/>
                <w:u w:val="single" w:color="auto"/>
                <w:lang w:eastAsia="zh-CN"/>
              </w:rPr>
              <w:t>是一种合成塑料，无色或黄褐色透明固体，因电气设备使用较多，也俗称电木。耐热性、耐燃性、耐水性和绝缘性优良，耐酸性较好，耐碱性差，机械和电气性能良好，易于切割，分为热固性塑料和热塑性塑料两类。合成时加入不同组分，可获得功能各异的改性酚醛树脂，具有不同的优良特性，如耐碱性、耐磨性、耐油性、耐腐蚀性等。</w:t>
            </w:r>
          </w:p>
        </w:tc>
      </w:tr>
      <w:tr w14:paraId="01F77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3" w:type="dxa"/>
            <w:vAlign w:val="center"/>
          </w:tcPr>
          <w:p w14:paraId="19F7833E">
            <w:pPr>
              <w:pStyle w:val="33"/>
              <w:wordWrap/>
              <w:snapToGrid/>
              <w:spacing w:line="240" w:lineRule="auto"/>
              <w:jc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氧化锌</w:t>
            </w:r>
          </w:p>
        </w:tc>
        <w:tc>
          <w:tcPr>
            <w:tcW w:w="1171" w:type="dxa"/>
            <w:vAlign w:val="center"/>
          </w:tcPr>
          <w:p w14:paraId="3580D446">
            <w:pPr>
              <w:pStyle w:val="32"/>
              <w:wordWrap/>
              <w:snapToGrid/>
              <w:spacing w:line="240" w:lineRule="auto"/>
              <w:ind w:firstLine="0" w:firstLineChars="0"/>
              <w:jc w:val="center"/>
              <w:rPr>
                <w:rFonts w:hint="default" w:ascii="Times New Roman" w:hAnsi="Times New Roman" w:eastAsia="宋体" w:cs="Times New Roman"/>
                <w:i w:val="0"/>
                <w:iCs w:val="0"/>
                <w:caps w:val="0"/>
                <w:color w:val="auto"/>
                <w:spacing w:val="0"/>
                <w:sz w:val="21"/>
                <w:szCs w:val="21"/>
                <w:highlight w:val="none"/>
                <w:u w:val="single" w:color="auto"/>
                <w:shd w:val="clear" w:color="0A0000" w:fill="FFFFFF"/>
                <w:lang w:val="en-US" w:eastAsia="zh-CN"/>
              </w:rPr>
            </w:pPr>
            <w:r>
              <w:rPr>
                <w:rFonts w:hint="default" w:ascii="Times New Roman" w:hAnsi="Times New Roman" w:cs="Times New Roman"/>
                <w:i w:val="0"/>
                <w:iCs w:val="0"/>
                <w:caps w:val="0"/>
                <w:color w:val="auto"/>
                <w:spacing w:val="0"/>
                <w:sz w:val="21"/>
                <w:szCs w:val="21"/>
                <w:highlight w:val="none"/>
                <w:u w:val="single" w:color="auto"/>
                <w:shd w:val="clear" w:color="0A0000" w:fill="FFFFFF"/>
                <w:lang w:val="en-US" w:eastAsia="zh-CN"/>
              </w:rPr>
              <w:t>ZnO</w:t>
            </w:r>
          </w:p>
        </w:tc>
        <w:tc>
          <w:tcPr>
            <w:tcW w:w="5082" w:type="dxa"/>
            <w:vAlign w:val="center"/>
          </w:tcPr>
          <w:p w14:paraId="6C580E11">
            <w:pPr>
              <w:pStyle w:val="32"/>
              <w:wordWrap/>
              <w:snapToGrid/>
              <w:spacing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eastAsia="zh-CN"/>
              </w:rPr>
              <w:t>白色六角形晶体或者粉末，</w:t>
            </w:r>
            <w:r>
              <w:rPr>
                <w:rFonts w:hint="default" w:ascii="Times New Roman" w:hAnsi="Times New Roman" w:eastAsia="宋体" w:cs="Times New Roman"/>
                <w:color w:val="auto"/>
                <w:sz w:val="21"/>
                <w:szCs w:val="21"/>
                <w:highlight w:val="none"/>
                <w:u w:val="single" w:color="auto"/>
                <w:lang w:eastAsia="zh-CN"/>
              </w:rPr>
              <w:t>熔点(℃):</w:t>
            </w:r>
            <w:r>
              <w:rPr>
                <w:rFonts w:hint="default" w:ascii="Times New Roman" w:hAnsi="Times New Roman" w:cs="Times New Roman"/>
                <w:color w:val="auto"/>
                <w:sz w:val="21"/>
                <w:szCs w:val="21"/>
                <w:highlight w:val="none"/>
                <w:u w:val="single" w:color="auto"/>
                <w:lang w:val="en-US" w:eastAsia="zh-CN"/>
              </w:rPr>
              <w:t>1975</w:t>
            </w:r>
            <w:r>
              <w:rPr>
                <w:rFonts w:hint="default" w:ascii="Times New Roman" w:hAnsi="Times New Roman" w:eastAsia="宋体" w:cs="Times New Roman"/>
                <w:color w:val="auto"/>
                <w:sz w:val="21"/>
                <w:szCs w:val="21"/>
                <w:highlight w:val="none"/>
                <w:u w:val="single" w:color="auto"/>
                <w:lang w:eastAsia="zh-CN"/>
              </w:rPr>
              <w:t>，相对密度(水=1):</w:t>
            </w:r>
            <w:r>
              <w:rPr>
                <w:rFonts w:hint="default" w:ascii="Times New Roman" w:hAnsi="Times New Roman" w:cs="Times New Roman"/>
                <w:color w:val="auto"/>
                <w:sz w:val="21"/>
                <w:szCs w:val="21"/>
                <w:highlight w:val="none"/>
                <w:u w:val="single" w:color="auto"/>
                <w:lang w:val="en-US" w:eastAsia="zh-CN"/>
              </w:rPr>
              <w:t>5.61，不溶于水、乙醇，溶于酸、氢氧化钠水溶液、氰化钾等</w:t>
            </w:r>
          </w:p>
        </w:tc>
        <w:tc>
          <w:tcPr>
            <w:tcW w:w="2611" w:type="dxa"/>
            <w:vAlign w:val="center"/>
          </w:tcPr>
          <w:p w14:paraId="566A3826">
            <w:pPr>
              <w:pStyle w:val="32"/>
              <w:wordWrap/>
              <w:snapToGrid/>
              <w:spacing w:line="240" w:lineRule="auto"/>
              <w:ind w:firstLine="0" w:firstLine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不燃</w:t>
            </w:r>
          </w:p>
        </w:tc>
        <w:tc>
          <w:tcPr>
            <w:tcW w:w="5358" w:type="dxa"/>
            <w:vAlign w:val="center"/>
          </w:tcPr>
          <w:p w14:paraId="3043013A">
            <w:pPr>
              <w:pStyle w:val="32"/>
              <w:wordWrap/>
              <w:snapToGrid/>
              <w:spacing w:line="240" w:lineRule="auto"/>
              <w:ind w:firstLine="0" w:firstLineChars="0"/>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kern w:val="0"/>
                <w:sz w:val="21"/>
                <w:szCs w:val="21"/>
                <w:highlight w:val="none"/>
                <w:u w:val="single" w:color="auto"/>
              </w:rPr>
              <w:t>LD50：</w:t>
            </w:r>
            <w:r>
              <w:rPr>
                <w:rFonts w:hint="default" w:ascii="Times New Roman" w:hAnsi="Times New Roman" w:cs="Times New Roman"/>
                <w:color w:val="auto"/>
                <w:kern w:val="0"/>
                <w:sz w:val="21"/>
                <w:szCs w:val="21"/>
                <w:highlight w:val="none"/>
                <w:u w:val="single" w:color="auto"/>
                <w:lang w:val="en-US" w:eastAsia="zh-CN"/>
              </w:rPr>
              <w:t>7950</w:t>
            </w:r>
            <w:r>
              <w:rPr>
                <w:rFonts w:hint="default" w:ascii="Times New Roman" w:hAnsi="Times New Roman" w:eastAsia="宋体" w:cs="Times New Roman"/>
                <w:color w:val="auto"/>
                <w:kern w:val="0"/>
                <w:sz w:val="21"/>
                <w:szCs w:val="21"/>
                <w:highlight w:val="none"/>
                <w:u w:val="single" w:color="auto"/>
              </w:rPr>
              <w:t>mg/kg（小鼠</w:t>
            </w:r>
            <w:r>
              <w:rPr>
                <w:rFonts w:hint="default" w:ascii="Times New Roman" w:hAnsi="Times New Roman" w:cs="Times New Roman"/>
                <w:color w:val="auto"/>
                <w:kern w:val="0"/>
                <w:sz w:val="21"/>
                <w:szCs w:val="21"/>
                <w:highlight w:val="none"/>
                <w:u w:val="single" w:color="auto"/>
                <w:lang w:eastAsia="zh-CN"/>
              </w:rPr>
              <w:t>经口</w:t>
            </w:r>
            <w:r>
              <w:rPr>
                <w:rFonts w:hint="default" w:ascii="Times New Roman" w:hAnsi="Times New Roman" w:eastAsia="宋体" w:cs="Times New Roman"/>
                <w:color w:val="auto"/>
                <w:kern w:val="0"/>
                <w:sz w:val="21"/>
                <w:szCs w:val="21"/>
                <w:highlight w:val="none"/>
                <w:u w:val="single" w:color="auto"/>
              </w:rPr>
              <w:t>）</w:t>
            </w:r>
          </w:p>
        </w:tc>
      </w:tr>
    </w:tbl>
    <w:p w14:paraId="0C8EE97F">
      <w:pPr>
        <w:pStyle w:val="3"/>
        <w:wordWrap/>
        <w:spacing w:before="0" w:after="0" w:line="360" w:lineRule="auto"/>
        <w:rPr>
          <w:rFonts w:hint="default" w:ascii="Times New Roman" w:hAnsi="Times New Roman" w:eastAsia="宋体" w:cs="Times New Roman"/>
          <w:color w:val="auto"/>
          <w:sz w:val="28"/>
          <w:szCs w:val="28"/>
          <w:highlight w:val="none"/>
          <w:u w:val="none" w:color="auto"/>
          <w:lang w:val="en-US" w:eastAsia="zh-CN"/>
        </w:rPr>
        <w:sectPr>
          <w:pgSz w:w="16838" w:h="11906" w:orient="landscape"/>
          <w:pgMar w:top="1797" w:right="1418" w:bottom="1797" w:left="1418" w:header="851" w:footer="992" w:gutter="0"/>
          <w:pgBorders>
            <w:top w:val="none" w:sz="0" w:space="0"/>
            <w:left w:val="none" w:sz="0" w:space="0"/>
            <w:bottom w:val="none" w:sz="0" w:space="0"/>
            <w:right w:val="none" w:sz="0" w:space="0"/>
          </w:pgBorders>
          <w:cols w:space="720" w:num="1"/>
          <w:docGrid w:type="lines" w:linePitch="312" w:charSpace="0"/>
        </w:sectPr>
      </w:pPr>
    </w:p>
    <w:p w14:paraId="222D815D">
      <w:pPr>
        <w:pStyle w:val="3"/>
        <w:wordWrap/>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28" w:name="_Toc24146"/>
      <w:r>
        <w:rPr>
          <w:rFonts w:hint="default" w:ascii="Times New Roman" w:hAnsi="Times New Roman" w:eastAsia="宋体" w:cs="Times New Roman"/>
          <w:color w:val="auto"/>
          <w:sz w:val="28"/>
          <w:szCs w:val="28"/>
          <w:highlight w:val="none"/>
          <w:u w:val="none" w:color="auto"/>
          <w:lang w:val="en-US" w:eastAsia="zh-CN"/>
        </w:rPr>
        <w:t>3.6项目产品方案及生产规模</w:t>
      </w:r>
      <w:bookmarkEnd w:id="28"/>
    </w:p>
    <w:p w14:paraId="6E301E5C">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w:t>
      </w:r>
      <w:r>
        <w:rPr>
          <w:rFonts w:hint="default" w:ascii="Times New Roman" w:hAnsi="Times New Roman" w:eastAsia="宋体" w:cs="Times New Roman"/>
          <w:color w:val="auto"/>
          <w:sz w:val="24"/>
          <w:szCs w:val="24"/>
          <w:highlight w:val="none"/>
          <w:u w:val="none" w:color="auto"/>
          <w:lang w:eastAsia="zh-CN"/>
        </w:rPr>
        <w:t>产品方案及生产规模</w:t>
      </w:r>
      <w:r>
        <w:rPr>
          <w:rFonts w:hint="default" w:ascii="Times New Roman" w:hAnsi="Times New Roman" w:eastAsia="宋体" w:cs="Times New Roman"/>
          <w:color w:val="auto"/>
          <w:sz w:val="24"/>
          <w:szCs w:val="24"/>
          <w:highlight w:val="none"/>
          <w:u w:val="none" w:color="auto"/>
        </w:rPr>
        <w:t>详见下表：</w:t>
      </w:r>
    </w:p>
    <w:p w14:paraId="1376AB84">
      <w:pPr>
        <w:jc w:val="center"/>
        <w:rPr>
          <w:rFonts w:hint="default" w:ascii="Times New Roman" w:hAnsi="Times New Roman" w:eastAsia="宋体" w:cs="Times New Roman"/>
          <w:b/>
          <w:color w:val="auto"/>
          <w:sz w:val="21"/>
          <w:szCs w:val="18"/>
          <w:highlight w:val="none"/>
          <w:u w:val="none" w:color="auto"/>
          <w:lang w:eastAsia="zh-CN"/>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3</w:t>
      </w:r>
      <w:r>
        <w:rPr>
          <w:rFonts w:hint="default" w:ascii="Times New Roman" w:hAnsi="Times New Roman" w:eastAsia="宋体" w:cs="Times New Roman"/>
          <w:b/>
          <w:color w:val="auto"/>
          <w:sz w:val="21"/>
          <w:szCs w:val="18"/>
          <w:highlight w:val="none"/>
          <w:u w:val="none" w:color="auto"/>
        </w:rPr>
        <w:t>.6-1本项目产品方案及规模</w:t>
      </w:r>
    </w:p>
    <w:tbl>
      <w:tblPr>
        <w:tblStyle w:val="22"/>
        <w:tblW w:w="87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735"/>
        <w:gridCol w:w="1891"/>
        <w:gridCol w:w="1565"/>
        <w:gridCol w:w="1691"/>
        <w:gridCol w:w="1544"/>
        <w:gridCol w:w="1343"/>
      </w:tblGrid>
      <w:tr w14:paraId="749A9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40" w:hRule="atLeast"/>
          <w:jc w:val="center"/>
        </w:trPr>
        <w:tc>
          <w:tcPr>
            <w:tcW w:w="735" w:type="dxa"/>
            <w:shd w:val="clear" w:color="auto" w:fill="FFFFFF"/>
            <w:vAlign w:val="center"/>
          </w:tcPr>
          <w:p w14:paraId="55D52066">
            <w:pPr>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序号</w:t>
            </w:r>
          </w:p>
        </w:tc>
        <w:tc>
          <w:tcPr>
            <w:tcW w:w="1891" w:type="dxa"/>
            <w:shd w:val="clear" w:color="auto" w:fill="FFFFFF"/>
            <w:vAlign w:val="center"/>
          </w:tcPr>
          <w:p w14:paraId="176656EB">
            <w:pPr>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产品</w:t>
            </w:r>
            <w:r>
              <w:rPr>
                <w:rFonts w:hint="default" w:ascii="Times New Roman" w:hAnsi="Times New Roman" w:eastAsia="宋体" w:cs="Times New Roman"/>
                <w:bCs/>
                <w:color w:val="auto"/>
                <w:sz w:val="21"/>
                <w:szCs w:val="21"/>
                <w:highlight w:val="none"/>
                <w:u w:val="none" w:color="auto"/>
              </w:rPr>
              <w:t>名称</w:t>
            </w:r>
          </w:p>
        </w:tc>
        <w:tc>
          <w:tcPr>
            <w:tcW w:w="1565" w:type="dxa"/>
            <w:shd w:val="clear" w:color="auto" w:fill="FFFFFF"/>
            <w:vAlign w:val="center"/>
          </w:tcPr>
          <w:p w14:paraId="1D9B29EC">
            <w:pPr>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年产量</w:t>
            </w:r>
            <w:r>
              <w:rPr>
                <w:rFonts w:hint="default" w:ascii="Times New Roman" w:hAnsi="Times New Roman" w:eastAsia="宋体" w:cs="Times New Roman"/>
                <w:bCs/>
                <w:color w:val="auto"/>
                <w:sz w:val="21"/>
                <w:szCs w:val="21"/>
                <w:highlight w:val="none"/>
                <w:u w:val="none" w:color="auto"/>
              </w:rPr>
              <w:t>（万</w:t>
            </w:r>
            <w:r>
              <w:rPr>
                <w:rFonts w:hint="default" w:ascii="Times New Roman" w:hAnsi="Times New Roman" w:eastAsia="宋体" w:cs="Times New Roman"/>
                <w:bCs/>
                <w:color w:val="auto"/>
                <w:sz w:val="21"/>
                <w:szCs w:val="21"/>
                <w:highlight w:val="none"/>
                <w:u w:val="none" w:color="auto"/>
                <w:lang w:eastAsia="zh-CN"/>
              </w:rPr>
              <w:t>件</w:t>
            </w:r>
            <w:r>
              <w:rPr>
                <w:rFonts w:hint="default" w:ascii="Times New Roman" w:hAnsi="Times New Roman" w:eastAsia="宋体" w:cs="Times New Roman"/>
                <w:bCs/>
                <w:color w:val="auto"/>
                <w:sz w:val="21"/>
                <w:szCs w:val="21"/>
                <w:highlight w:val="none"/>
                <w:u w:val="none" w:color="auto"/>
              </w:rPr>
              <w:t>）</w:t>
            </w:r>
          </w:p>
        </w:tc>
        <w:tc>
          <w:tcPr>
            <w:tcW w:w="1691" w:type="dxa"/>
            <w:shd w:val="clear" w:color="auto" w:fill="FFFFFF"/>
            <w:vAlign w:val="center"/>
          </w:tcPr>
          <w:p w14:paraId="314169C1">
            <w:pPr>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镀镍面积</w:t>
            </w:r>
            <w:r>
              <w:rPr>
                <w:rFonts w:hint="default" w:ascii="Times New Roman" w:hAnsi="Times New Roman" w:eastAsia="宋体" w:cs="Times New Roman"/>
                <w:bCs/>
                <w:color w:val="auto"/>
                <w:sz w:val="21"/>
                <w:szCs w:val="21"/>
                <w:highlight w:val="none"/>
                <w:u w:val="none" w:color="auto"/>
              </w:rPr>
              <w:t>（m</w:t>
            </w:r>
            <w:r>
              <w:rPr>
                <w:rFonts w:hint="default" w:ascii="Times New Roman" w:hAnsi="Times New Roman" w:eastAsia="宋体" w:cs="Times New Roman"/>
                <w:bCs/>
                <w:color w:val="auto"/>
                <w:sz w:val="21"/>
                <w:szCs w:val="21"/>
                <w:highlight w:val="none"/>
                <w:u w:val="none" w:color="auto"/>
                <w:vertAlign w:val="superscript"/>
              </w:rPr>
              <w:t>2</w:t>
            </w:r>
            <w:r>
              <w:rPr>
                <w:rFonts w:hint="default" w:ascii="Times New Roman" w:hAnsi="Times New Roman" w:eastAsia="宋体" w:cs="Times New Roman"/>
                <w:bCs/>
                <w:color w:val="auto"/>
                <w:sz w:val="21"/>
                <w:szCs w:val="21"/>
                <w:highlight w:val="none"/>
                <w:u w:val="none" w:color="auto"/>
              </w:rPr>
              <w:t>）</w:t>
            </w:r>
          </w:p>
        </w:tc>
        <w:tc>
          <w:tcPr>
            <w:tcW w:w="1544" w:type="dxa"/>
            <w:shd w:val="clear" w:color="auto" w:fill="FFFFFF"/>
            <w:vAlign w:val="center"/>
          </w:tcPr>
          <w:p w14:paraId="1F6580BB">
            <w:pPr>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浸锌面积</w:t>
            </w:r>
            <w:r>
              <w:rPr>
                <w:rFonts w:hint="default" w:ascii="Times New Roman" w:hAnsi="Times New Roman" w:eastAsia="宋体" w:cs="Times New Roman"/>
                <w:bCs/>
                <w:color w:val="auto"/>
                <w:sz w:val="21"/>
                <w:szCs w:val="21"/>
                <w:highlight w:val="none"/>
                <w:u w:val="none" w:color="auto"/>
              </w:rPr>
              <w:t>（m</w:t>
            </w:r>
            <w:r>
              <w:rPr>
                <w:rFonts w:hint="default" w:ascii="Times New Roman" w:hAnsi="Times New Roman" w:eastAsia="宋体" w:cs="Times New Roman"/>
                <w:bCs/>
                <w:color w:val="auto"/>
                <w:sz w:val="21"/>
                <w:szCs w:val="21"/>
                <w:highlight w:val="none"/>
                <w:u w:val="none" w:color="auto"/>
                <w:vertAlign w:val="superscript"/>
              </w:rPr>
              <w:t>2</w:t>
            </w:r>
            <w:r>
              <w:rPr>
                <w:rFonts w:hint="default" w:ascii="Times New Roman" w:hAnsi="Times New Roman" w:eastAsia="宋体" w:cs="Times New Roman"/>
                <w:bCs/>
                <w:color w:val="auto"/>
                <w:sz w:val="21"/>
                <w:szCs w:val="21"/>
                <w:highlight w:val="none"/>
                <w:u w:val="none" w:color="auto"/>
              </w:rPr>
              <w:t>）</w:t>
            </w:r>
          </w:p>
        </w:tc>
        <w:tc>
          <w:tcPr>
            <w:tcW w:w="1343" w:type="dxa"/>
            <w:shd w:val="clear" w:color="auto" w:fill="FFFFFF"/>
            <w:vAlign w:val="center"/>
          </w:tcPr>
          <w:p w14:paraId="01EE4A67">
            <w:pPr>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镀铜面积</w:t>
            </w:r>
            <w:r>
              <w:rPr>
                <w:rFonts w:hint="default" w:ascii="Times New Roman" w:hAnsi="Times New Roman" w:eastAsia="宋体" w:cs="Times New Roman"/>
                <w:bCs/>
                <w:color w:val="auto"/>
                <w:sz w:val="21"/>
                <w:szCs w:val="21"/>
                <w:highlight w:val="none"/>
                <w:u w:val="none" w:color="auto"/>
              </w:rPr>
              <w:t>（m</w:t>
            </w:r>
            <w:r>
              <w:rPr>
                <w:rFonts w:hint="default" w:ascii="Times New Roman" w:hAnsi="Times New Roman" w:eastAsia="宋体" w:cs="Times New Roman"/>
                <w:bCs/>
                <w:color w:val="auto"/>
                <w:sz w:val="21"/>
                <w:szCs w:val="21"/>
                <w:highlight w:val="none"/>
                <w:u w:val="none" w:color="auto"/>
                <w:vertAlign w:val="superscript"/>
              </w:rPr>
              <w:t>2</w:t>
            </w:r>
            <w:r>
              <w:rPr>
                <w:rFonts w:hint="default" w:ascii="Times New Roman" w:hAnsi="Times New Roman" w:eastAsia="宋体" w:cs="Times New Roman"/>
                <w:bCs/>
                <w:color w:val="auto"/>
                <w:sz w:val="21"/>
                <w:szCs w:val="21"/>
                <w:highlight w:val="none"/>
                <w:u w:val="none" w:color="auto"/>
              </w:rPr>
              <w:t>）</w:t>
            </w:r>
          </w:p>
        </w:tc>
      </w:tr>
      <w:tr w14:paraId="4F641E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5" w:type="dxa"/>
            <w:shd w:val="clear" w:color="auto" w:fill="FFFFFF"/>
            <w:vAlign w:val="center"/>
          </w:tcPr>
          <w:p w14:paraId="2C9A1141">
            <w:pPr>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1</w:t>
            </w:r>
          </w:p>
        </w:tc>
        <w:tc>
          <w:tcPr>
            <w:tcW w:w="1891" w:type="dxa"/>
            <w:shd w:val="clear" w:color="auto" w:fill="FFFFFF"/>
            <w:vAlign w:val="center"/>
          </w:tcPr>
          <w:p w14:paraId="11477FB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金刚石划片刀</w:t>
            </w:r>
          </w:p>
        </w:tc>
        <w:tc>
          <w:tcPr>
            <w:tcW w:w="1565" w:type="dxa"/>
            <w:shd w:val="clear" w:color="auto" w:fill="FFFFFF"/>
            <w:vAlign w:val="center"/>
          </w:tcPr>
          <w:p w14:paraId="27BF122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100</w:t>
            </w:r>
          </w:p>
        </w:tc>
        <w:tc>
          <w:tcPr>
            <w:tcW w:w="1691" w:type="dxa"/>
            <w:shd w:val="clear" w:color="auto" w:fill="FFFFFF"/>
            <w:vAlign w:val="center"/>
          </w:tcPr>
          <w:p w14:paraId="5E24D1FC">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30000</w:t>
            </w:r>
          </w:p>
        </w:tc>
        <w:tc>
          <w:tcPr>
            <w:tcW w:w="1544" w:type="dxa"/>
            <w:shd w:val="clear" w:color="auto" w:fill="FFFFFF"/>
            <w:vAlign w:val="center"/>
          </w:tcPr>
          <w:p w14:paraId="57960DED">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30000</w:t>
            </w:r>
          </w:p>
        </w:tc>
        <w:tc>
          <w:tcPr>
            <w:tcW w:w="1343" w:type="dxa"/>
            <w:shd w:val="clear" w:color="auto" w:fill="FFFFFF"/>
            <w:vAlign w:val="center"/>
          </w:tcPr>
          <w:p w14:paraId="76A89789">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w:t>
            </w:r>
          </w:p>
        </w:tc>
      </w:tr>
      <w:tr w14:paraId="6D6FC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90" w:hRule="atLeast"/>
          <w:jc w:val="center"/>
        </w:trPr>
        <w:tc>
          <w:tcPr>
            <w:tcW w:w="735" w:type="dxa"/>
            <w:shd w:val="clear" w:color="auto" w:fill="FFFFFF"/>
            <w:vAlign w:val="center"/>
          </w:tcPr>
          <w:p w14:paraId="0389C4F3">
            <w:pPr>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2</w:t>
            </w:r>
          </w:p>
        </w:tc>
        <w:tc>
          <w:tcPr>
            <w:tcW w:w="1891" w:type="dxa"/>
            <w:shd w:val="clear" w:color="auto" w:fill="FFFFFF"/>
            <w:vAlign w:val="center"/>
          </w:tcPr>
          <w:p w14:paraId="291A2FC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超硬材料砂轮</w:t>
            </w:r>
          </w:p>
        </w:tc>
        <w:tc>
          <w:tcPr>
            <w:tcW w:w="1565" w:type="dxa"/>
            <w:shd w:val="clear" w:color="auto" w:fill="FFFFFF"/>
            <w:vAlign w:val="center"/>
          </w:tcPr>
          <w:p w14:paraId="19EFD32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50</w:t>
            </w:r>
          </w:p>
        </w:tc>
        <w:tc>
          <w:tcPr>
            <w:tcW w:w="1691" w:type="dxa"/>
            <w:shd w:val="clear" w:color="auto" w:fill="FFFFFF"/>
            <w:vAlign w:val="center"/>
          </w:tcPr>
          <w:p w14:paraId="6622E110">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150000</w:t>
            </w:r>
          </w:p>
        </w:tc>
        <w:tc>
          <w:tcPr>
            <w:tcW w:w="1544" w:type="dxa"/>
            <w:shd w:val="clear" w:color="auto" w:fill="FFFFFF"/>
            <w:vAlign w:val="center"/>
          </w:tcPr>
          <w:p w14:paraId="1147BF09">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w:t>
            </w:r>
          </w:p>
        </w:tc>
        <w:tc>
          <w:tcPr>
            <w:tcW w:w="1343" w:type="dxa"/>
            <w:shd w:val="clear" w:color="auto" w:fill="FFFFFF"/>
            <w:vAlign w:val="center"/>
          </w:tcPr>
          <w:p w14:paraId="107C9412">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75000</w:t>
            </w:r>
          </w:p>
        </w:tc>
      </w:tr>
      <w:tr w14:paraId="167B0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5" w:type="dxa"/>
            <w:shd w:val="clear" w:color="auto" w:fill="FFFFFF"/>
            <w:vAlign w:val="center"/>
          </w:tcPr>
          <w:p w14:paraId="379B0AEA">
            <w:pPr>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3</w:t>
            </w:r>
          </w:p>
        </w:tc>
        <w:tc>
          <w:tcPr>
            <w:tcW w:w="1891" w:type="dxa"/>
            <w:shd w:val="clear" w:color="auto" w:fill="FFFFFF"/>
            <w:vAlign w:val="center"/>
          </w:tcPr>
          <w:p w14:paraId="3F8DD5F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超硬材料磨头</w:t>
            </w:r>
          </w:p>
        </w:tc>
        <w:tc>
          <w:tcPr>
            <w:tcW w:w="1565" w:type="dxa"/>
            <w:shd w:val="clear" w:color="auto" w:fill="FFFFFF"/>
            <w:vAlign w:val="center"/>
          </w:tcPr>
          <w:p w14:paraId="24E15AD3">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300</w:t>
            </w:r>
          </w:p>
        </w:tc>
        <w:tc>
          <w:tcPr>
            <w:tcW w:w="1691" w:type="dxa"/>
            <w:shd w:val="clear" w:color="auto" w:fill="FFFFFF"/>
            <w:vAlign w:val="center"/>
          </w:tcPr>
          <w:p w14:paraId="69DD3009">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10000</w:t>
            </w:r>
          </w:p>
        </w:tc>
        <w:tc>
          <w:tcPr>
            <w:tcW w:w="1544" w:type="dxa"/>
            <w:shd w:val="clear" w:color="auto" w:fill="FFFFFF"/>
            <w:vAlign w:val="center"/>
          </w:tcPr>
          <w:p w14:paraId="2CE44B18">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w:t>
            </w:r>
          </w:p>
        </w:tc>
        <w:tc>
          <w:tcPr>
            <w:tcW w:w="1343" w:type="dxa"/>
            <w:shd w:val="clear" w:color="auto" w:fill="FFFFFF"/>
            <w:vAlign w:val="center"/>
          </w:tcPr>
          <w:p w14:paraId="53D241C2">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5000</w:t>
            </w:r>
          </w:p>
        </w:tc>
      </w:tr>
      <w:tr w14:paraId="303C36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5" w:type="dxa"/>
            <w:shd w:val="clear" w:color="auto" w:fill="FFFFFF"/>
            <w:vAlign w:val="center"/>
          </w:tcPr>
          <w:p w14:paraId="12A96011">
            <w:pPr>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4</w:t>
            </w:r>
          </w:p>
        </w:tc>
        <w:tc>
          <w:tcPr>
            <w:tcW w:w="1891" w:type="dxa"/>
            <w:shd w:val="clear" w:color="auto" w:fill="FFFFFF"/>
            <w:vAlign w:val="center"/>
          </w:tcPr>
          <w:p w14:paraId="636B8F5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超硬材料套瓦刀及套孔钻</w:t>
            </w:r>
          </w:p>
        </w:tc>
        <w:tc>
          <w:tcPr>
            <w:tcW w:w="1565" w:type="dxa"/>
            <w:shd w:val="clear" w:color="auto" w:fill="FFFFFF"/>
            <w:vAlign w:val="center"/>
          </w:tcPr>
          <w:p w14:paraId="119C0CC8">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470</w:t>
            </w:r>
          </w:p>
        </w:tc>
        <w:tc>
          <w:tcPr>
            <w:tcW w:w="1691" w:type="dxa"/>
            <w:shd w:val="clear" w:color="auto" w:fill="FFFFFF"/>
            <w:vAlign w:val="center"/>
          </w:tcPr>
          <w:p w14:paraId="0A862F68">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5640</w:t>
            </w:r>
          </w:p>
        </w:tc>
        <w:tc>
          <w:tcPr>
            <w:tcW w:w="1544" w:type="dxa"/>
            <w:shd w:val="clear" w:color="auto" w:fill="FFFFFF"/>
            <w:vAlign w:val="center"/>
          </w:tcPr>
          <w:p w14:paraId="3B5FCC43">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w:t>
            </w:r>
          </w:p>
        </w:tc>
        <w:tc>
          <w:tcPr>
            <w:tcW w:w="1343" w:type="dxa"/>
            <w:shd w:val="clear" w:color="auto" w:fill="FFFFFF"/>
            <w:vAlign w:val="center"/>
          </w:tcPr>
          <w:p w14:paraId="798F8898">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2820</w:t>
            </w:r>
          </w:p>
        </w:tc>
      </w:tr>
      <w:tr w14:paraId="5CAEB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5" w:type="dxa"/>
            <w:shd w:val="clear" w:color="auto" w:fill="FFFFFF"/>
            <w:vAlign w:val="center"/>
          </w:tcPr>
          <w:p w14:paraId="21EC566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1891" w:type="dxa"/>
            <w:shd w:val="clear" w:color="auto" w:fill="FFFFFF"/>
            <w:vAlign w:val="center"/>
          </w:tcPr>
          <w:p w14:paraId="18BA816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烧结超硬材料制品</w:t>
            </w:r>
          </w:p>
        </w:tc>
        <w:tc>
          <w:tcPr>
            <w:tcW w:w="1565" w:type="dxa"/>
            <w:shd w:val="clear" w:color="auto" w:fill="FFFFFF"/>
            <w:vAlign w:val="center"/>
          </w:tcPr>
          <w:p w14:paraId="4F35B45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80</w:t>
            </w:r>
          </w:p>
        </w:tc>
        <w:tc>
          <w:tcPr>
            <w:tcW w:w="1691" w:type="dxa"/>
            <w:shd w:val="clear" w:color="auto" w:fill="FFFFFF"/>
            <w:vAlign w:val="center"/>
          </w:tcPr>
          <w:p w14:paraId="481469ED">
            <w:pPr>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val="en-US" w:eastAsia="zh-CN"/>
              </w:rPr>
              <w:t>/</w:t>
            </w:r>
          </w:p>
        </w:tc>
        <w:tc>
          <w:tcPr>
            <w:tcW w:w="1544" w:type="dxa"/>
            <w:shd w:val="clear" w:color="auto" w:fill="FFFFFF"/>
            <w:vAlign w:val="center"/>
          </w:tcPr>
          <w:p w14:paraId="654C2A8B">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w:t>
            </w:r>
          </w:p>
        </w:tc>
        <w:tc>
          <w:tcPr>
            <w:tcW w:w="1343" w:type="dxa"/>
            <w:shd w:val="clear" w:color="auto" w:fill="FFFFFF"/>
            <w:vAlign w:val="center"/>
          </w:tcPr>
          <w:p w14:paraId="0F285738">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w:t>
            </w:r>
          </w:p>
        </w:tc>
      </w:tr>
      <w:tr w14:paraId="48B966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26" w:type="dxa"/>
            <w:gridSpan w:val="2"/>
            <w:shd w:val="clear" w:color="auto" w:fill="FFFFFF"/>
            <w:vAlign w:val="center"/>
          </w:tcPr>
          <w:p w14:paraId="7AE961A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合计</w:t>
            </w:r>
          </w:p>
        </w:tc>
        <w:tc>
          <w:tcPr>
            <w:tcW w:w="1565" w:type="dxa"/>
            <w:shd w:val="clear" w:color="auto" w:fill="FFFFFF"/>
            <w:vAlign w:val="center"/>
          </w:tcPr>
          <w:p w14:paraId="376716E4">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1000</w:t>
            </w:r>
          </w:p>
        </w:tc>
        <w:tc>
          <w:tcPr>
            <w:tcW w:w="1691" w:type="dxa"/>
            <w:shd w:val="clear" w:color="auto" w:fill="FFFFFF"/>
            <w:vAlign w:val="center"/>
          </w:tcPr>
          <w:p w14:paraId="2F6968DE">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195640</w:t>
            </w:r>
          </w:p>
        </w:tc>
        <w:tc>
          <w:tcPr>
            <w:tcW w:w="1544" w:type="dxa"/>
            <w:shd w:val="clear" w:color="auto" w:fill="FFFFFF"/>
            <w:vAlign w:val="center"/>
          </w:tcPr>
          <w:p w14:paraId="594810E2">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30000</w:t>
            </w:r>
          </w:p>
        </w:tc>
        <w:tc>
          <w:tcPr>
            <w:tcW w:w="1343" w:type="dxa"/>
            <w:shd w:val="clear" w:color="auto" w:fill="FFFFFF"/>
            <w:vAlign w:val="center"/>
          </w:tcPr>
          <w:p w14:paraId="54C69F0C">
            <w:pPr>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82820</w:t>
            </w:r>
          </w:p>
        </w:tc>
      </w:tr>
    </w:tbl>
    <w:p w14:paraId="25BCB2AC">
      <w:pPr>
        <w:pStyle w:val="3"/>
        <w:wordWrap/>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29" w:name="_Toc22971"/>
      <w:r>
        <w:rPr>
          <w:rFonts w:hint="default" w:ascii="Times New Roman" w:hAnsi="Times New Roman" w:eastAsia="宋体" w:cs="Times New Roman"/>
          <w:color w:val="auto"/>
          <w:sz w:val="28"/>
          <w:szCs w:val="28"/>
          <w:highlight w:val="none"/>
          <w:u w:val="none" w:color="auto"/>
          <w:lang w:val="en-US" w:eastAsia="zh-CN"/>
        </w:rPr>
        <w:t>3.7项目公用工程</w:t>
      </w:r>
      <w:bookmarkEnd w:id="29"/>
    </w:p>
    <w:p w14:paraId="605CA2A1">
      <w:pPr>
        <w:pStyle w:val="4"/>
        <w:wordWrap/>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3.7</w:t>
      </w:r>
      <w:r>
        <w:rPr>
          <w:rFonts w:hint="default" w:ascii="Times New Roman" w:hAnsi="Times New Roman" w:eastAsia="宋体" w:cs="Times New Roman"/>
          <w:color w:val="auto"/>
          <w:sz w:val="24"/>
          <w:szCs w:val="24"/>
          <w:highlight w:val="none"/>
          <w:u w:val="none" w:color="auto"/>
        </w:rPr>
        <w:t>.1给排水</w:t>
      </w:r>
    </w:p>
    <w:p w14:paraId="323AA81E">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（1）给水</w:t>
      </w:r>
    </w:p>
    <w:p w14:paraId="509CC1F4">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项目用水来自</w:t>
      </w:r>
      <w:r>
        <w:rPr>
          <w:rFonts w:hint="default" w:ascii="Times New Roman" w:hAnsi="Times New Roman" w:eastAsia="宋体" w:cs="Times New Roman"/>
          <w:color w:val="auto"/>
          <w:sz w:val="24"/>
          <w:szCs w:val="24"/>
          <w:highlight w:val="none"/>
          <w:u w:val="none" w:color="auto"/>
          <w:lang w:eastAsia="zh-CN"/>
        </w:rPr>
        <w:t>园区</w:t>
      </w:r>
      <w:r>
        <w:rPr>
          <w:rFonts w:hint="default" w:ascii="Times New Roman" w:hAnsi="Times New Roman" w:eastAsia="宋体" w:cs="Times New Roman"/>
          <w:color w:val="auto"/>
          <w:sz w:val="24"/>
          <w:szCs w:val="24"/>
          <w:highlight w:val="none"/>
          <w:u w:val="none" w:color="auto"/>
        </w:rPr>
        <w:t>配套的自来水系统。</w:t>
      </w:r>
    </w:p>
    <w:p w14:paraId="2A2FFD22">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项目区设置有纯水系统，纯水站位于生产厂房，纯水站工艺以</w:t>
      </w:r>
      <w:r>
        <w:rPr>
          <w:rFonts w:hint="default" w:ascii="Times New Roman" w:hAnsi="Times New Roman" w:eastAsia="宋体" w:cs="Times New Roman"/>
          <w:color w:val="auto"/>
          <w:sz w:val="24"/>
          <w:szCs w:val="24"/>
          <w:highlight w:val="none"/>
          <w:u w:val="none" w:color="auto"/>
          <w:lang w:val="en-US" w:eastAsia="zh-CN"/>
        </w:rPr>
        <w:t>自来水</w:t>
      </w:r>
      <w:r>
        <w:rPr>
          <w:rFonts w:hint="default" w:ascii="Times New Roman" w:hAnsi="Times New Roman" w:eastAsia="宋体" w:cs="Times New Roman"/>
          <w:color w:val="auto"/>
          <w:sz w:val="24"/>
          <w:szCs w:val="24"/>
          <w:highlight w:val="none"/>
          <w:u w:val="none" w:color="auto"/>
        </w:rPr>
        <w:t>为原水，设计规模为</w:t>
      </w:r>
      <w:r>
        <w:rPr>
          <w:rFonts w:hint="default" w:ascii="Times New Roman" w:hAnsi="Times New Roman" w:eastAsia="宋体" w:cs="Times New Roman"/>
          <w:color w:val="auto"/>
          <w:sz w:val="24"/>
          <w:szCs w:val="24"/>
          <w:highlight w:val="none"/>
          <w:u w:val="none" w:color="auto"/>
          <w:lang w:val="en-US" w:eastAsia="zh-CN"/>
        </w:rPr>
        <w:t>30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w:t>
      </w:r>
      <w:r>
        <w:rPr>
          <w:rFonts w:hint="default" w:ascii="Times New Roman" w:hAnsi="Times New Roman" w:eastAsia="宋体" w:cs="Times New Roman"/>
          <w:color w:val="auto"/>
          <w:sz w:val="24"/>
          <w:szCs w:val="24"/>
          <w:highlight w:val="none"/>
          <w:u w:val="none" w:color="auto"/>
          <w:lang w:eastAsia="zh-CN"/>
        </w:rPr>
        <w:t>，采用砂滤+碳滤+反渗透纯水制备工艺。纯水站主要负责供应各生产车间所需纯水。</w:t>
      </w:r>
    </w:p>
    <w:p w14:paraId="2F872A76">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（2）排水</w:t>
      </w:r>
    </w:p>
    <w:p w14:paraId="5ACB5D01">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项目运营期废水主要包括各</w:t>
      </w:r>
      <w:r>
        <w:rPr>
          <w:rFonts w:hint="eastAsia" w:ascii="Times New Roman" w:hAnsi="Times New Roman" w:eastAsia="宋体" w:cs="Times New Roman"/>
          <w:color w:val="auto"/>
          <w:sz w:val="24"/>
          <w:szCs w:val="24"/>
          <w:highlight w:val="none"/>
          <w:u w:val="none" w:color="auto"/>
          <w:lang w:val="en-US" w:eastAsia="zh-CN"/>
        </w:rPr>
        <w:t>电镀</w:t>
      </w:r>
      <w:r>
        <w:rPr>
          <w:rFonts w:hint="default" w:ascii="Times New Roman" w:hAnsi="Times New Roman" w:eastAsia="宋体" w:cs="Times New Roman"/>
          <w:color w:val="auto"/>
          <w:sz w:val="24"/>
          <w:szCs w:val="24"/>
          <w:highlight w:val="none"/>
          <w:u w:val="none" w:color="auto"/>
        </w:rPr>
        <w:t>工艺废水（</w:t>
      </w:r>
      <w:r>
        <w:rPr>
          <w:rFonts w:hint="default" w:ascii="Times New Roman" w:hAnsi="Times New Roman" w:eastAsia="宋体" w:cs="Times New Roman"/>
          <w:color w:val="auto"/>
          <w:sz w:val="24"/>
          <w:szCs w:val="24"/>
          <w:highlight w:val="none"/>
          <w:u w:val="none" w:color="auto"/>
          <w:lang w:eastAsia="zh-CN"/>
        </w:rPr>
        <w:t>酸碱</w:t>
      </w:r>
      <w:r>
        <w:rPr>
          <w:rFonts w:hint="default" w:ascii="Times New Roman" w:hAnsi="Times New Roman" w:eastAsia="宋体" w:cs="Times New Roman"/>
          <w:color w:val="auto"/>
          <w:sz w:val="24"/>
          <w:szCs w:val="24"/>
          <w:highlight w:val="none"/>
          <w:u w:val="none" w:color="auto"/>
        </w:rPr>
        <w:t>含油废水、含</w:t>
      </w:r>
      <w:r>
        <w:rPr>
          <w:rFonts w:hint="default" w:ascii="Times New Roman" w:hAnsi="Times New Roman" w:eastAsia="宋体" w:cs="Times New Roman"/>
          <w:color w:val="auto"/>
          <w:sz w:val="24"/>
          <w:szCs w:val="24"/>
          <w:highlight w:val="none"/>
          <w:u w:val="none" w:color="auto"/>
          <w:lang w:eastAsia="zh-CN"/>
        </w:rPr>
        <w:t>镍</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、含铜废水、含锌镍废水、退镀废水</w:t>
      </w:r>
      <w:r>
        <w:rPr>
          <w:rFonts w:hint="default" w:ascii="Times New Roman" w:hAnsi="Times New Roman" w:eastAsia="宋体" w:cs="Times New Roman"/>
          <w:color w:val="auto"/>
          <w:sz w:val="24"/>
          <w:szCs w:val="24"/>
          <w:highlight w:val="none"/>
          <w:u w:val="none" w:color="auto"/>
        </w:rPr>
        <w:t>）、</w:t>
      </w:r>
      <w:r>
        <w:rPr>
          <w:rFonts w:hint="eastAsia" w:ascii="Times New Roman" w:hAnsi="Times New Roman" w:eastAsia="宋体" w:cs="Times New Roman"/>
          <w:color w:val="auto"/>
          <w:sz w:val="24"/>
          <w:szCs w:val="24"/>
          <w:highlight w:val="none"/>
          <w:u w:val="none" w:color="auto"/>
          <w:lang w:val="en-US" w:eastAsia="zh-CN"/>
        </w:rPr>
        <w:t>电镀</w:t>
      </w:r>
      <w:r>
        <w:rPr>
          <w:rFonts w:hint="default" w:ascii="Times New Roman" w:hAnsi="Times New Roman" w:eastAsia="宋体" w:cs="Times New Roman"/>
          <w:color w:val="auto"/>
          <w:sz w:val="24"/>
          <w:szCs w:val="24"/>
          <w:highlight w:val="none"/>
          <w:u w:val="none" w:color="auto"/>
        </w:rPr>
        <w:t>车间地面清洗废水、</w:t>
      </w:r>
      <w:r>
        <w:rPr>
          <w:rFonts w:hint="eastAsia" w:ascii="Times New Roman" w:hAnsi="Times New Roman" w:eastAsia="宋体" w:cs="Times New Roman"/>
          <w:color w:val="auto"/>
          <w:sz w:val="24"/>
          <w:szCs w:val="24"/>
          <w:highlight w:val="none"/>
          <w:u w:val="none" w:color="auto"/>
          <w:lang w:val="en-US" w:eastAsia="zh-CN"/>
        </w:rPr>
        <w:t>机加工车间废水（卫生废水、容器清洗废水、直接冷却废水）、</w:t>
      </w:r>
      <w:r>
        <w:rPr>
          <w:rFonts w:hint="default" w:ascii="Times New Roman" w:hAnsi="Times New Roman" w:eastAsia="宋体" w:cs="Times New Roman"/>
          <w:color w:val="auto"/>
          <w:sz w:val="24"/>
          <w:szCs w:val="24"/>
          <w:highlight w:val="none"/>
          <w:u w:val="none" w:color="auto"/>
        </w:rPr>
        <w:t>废气处理设施废水、生活污水及初期雨水。</w:t>
      </w:r>
    </w:p>
    <w:p w14:paraId="6BE21E33">
      <w:pPr>
        <w:ind w:firstLine="480" w:firstLineChars="200"/>
        <w:rPr>
          <w:rFonts w:hint="eastAsia"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项目</w:t>
      </w:r>
      <w:r>
        <w:rPr>
          <w:rFonts w:hint="default" w:ascii="Times New Roman" w:hAnsi="Times New Roman" w:eastAsia="宋体" w:cs="Times New Roman"/>
          <w:color w:val="auto"/>
          <w:sz w:val="24"/>
          <w:szCs w:val="24"/>
          <w:highlight w:val="none"/>
          <w:u w:val="none" w:color="auto"/>
          <w:lang w:eastAsia="zh-CN"/>
        </w:rPr>
        <w:t>含重金属废水（</w:t>
      </w:r>
      <w:r>
        <w:rPr>
          <w:rFonts w:hint="default" w:ascii="Times New Roman" w:hAnsi="Times New Roman" w:eastAsia="宋体" w:cs="Times New Roman"/>
          <w:color w:val="auto"/>
          <w:sz w:val="24"/>
          <w:szCs w:val="24"/>
          <w:highlight w:val="none"/>
          <w:u w:val="none" w:color="auto"/>
        </w:rPr>
        <w:t>含</w:t>
      </w:r>
      <w:r>
        <w:rPr>
          <w:rFonts w:hint="default" w:ascii="Times New Roman" w:hAnsi="Times New Roman" w:eastAsia="宋体" w:cs="Times New Roman"/>
          <w:color w:val="auto"/>
          <w:sz w:val="24"/>
          <w:szCs w:val="24"/>
          <w:highlight w:val="none"/>
          <w:u w:val="none" w:color="auto"/>
          <w:lang w:eastAsia="zh-CN"/>
        </w:rPr>
        <w:t>镍</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、含铜废水、含锌镍废水、退镀废水、</w:t>
      </w:r>
      <w:r>
        <w:rPr>
          <w:rFonts w:hint="eastAsia" w:ascii="Times New Roman" w:hAnsi="Times New Roman" w:eastAsia="宋体" w:cs="Times New Roman"/>
          <w:color w:val="auto"/>
          <w:sz w:val="24"/>
          <w:szCs w:val="24"/>
          <w:highlight w:val="none"/>
          <w:u w:val="none" w:color="auto"/>
          <w:lang w:val="en-US" w:eastAsia="zh-CN"/>
        </w:rPr>
        <w:t>电镀车间</w:t>
      </w:r>
      <w:r>
        <w:rPr>
          <w:rFonts w:hint="default" w:ascii="Times New Roman" w:hAnsi="Times New Roman" w:eastAsia="宋体" w:cs="Times New Roman"/>
          <w:color w:val="auto"/>
          <w:sz w:val="24"/>
          <w:szCs w:val="24"/>
          <w:highlight w:val="none"/>
          <w:u w:val="none" w:color="auto"/>
          <w:lang w:eastAsia="zh-CN"/>
        </w:rPr>
        <w:t>地面清洗废水）经</w:t>
      </w:r>
      <w:r>
        <w:rPr>
          <w:rFonts w:hint="default" w:ascii="Times New Roman" w:hAnsi="Times New Roman" w:eastAsia="宋体" w:cs="Times New Roman"/>
          <w:color w:val="auto"/>
          <w:sz w:val="24"/>
          <w:szCs w:val="24"/>
          <w:highlight w:val="none"/>
          <w:u w:val="none" w:color="auto"/>
          <w:lang w:val="en-US" w:eastAsia="zh-CN"/>
        </w:rPr>
        <w:t>pH中和+</w:t>
      </w:r>
      <w:r>
        <w:rPr>
          <w:rFonts w:hint="eastAsia" w:ascii="Times New Roman" w:hAnsi="Times New Roman" w:eastAsia="宋体" w:cs="Times New Roman"/>
          <w:color w:val="auto"/>
          <w:sz w:val="24"/>
          <w:szCs w:val="24"/>
          <w:highlight w:val="none"/>
          <w:u w:val="none" w:color="auto"/>
          <w:lang w:val="en-US" w:eastAsia="zh-CN"/>
        </w:rPr>
        <w:t>沉淀（自由沉降）</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回用，酸碱含油废水及废气处理设施废水经</w:t>
      </w:r>
      <w:r>
        <w:rPr>
          <w:rFonts w:hint="default" w:ascii="Times New Roman" w:hAnsi="Times New Roman" w:eastAsia="宋体" w:cs="Times New Roman"/>
          <w:color w:val="auto"/>
          <w:sz w:val="24"/>
          <w:szCs w:val="24"/>
          <w:highlight w:val="none"/>
          <w:u w:val="none" w:color="auto"/>
          <w:lang w:eastAsia="zh-CN"/>
        </w:rPr>
        <w:t>隔油</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气浮</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混凝沉淀+</w:t>
      </w:r>
      <w:r>
        <w:rPr>
          <w:rFonts w:hint="default" w:ascii="Times New Roman" w:hAnsi="Times New Roman" w:eastAsia="宋体" w:cs="Times New Roman"/>
          <w:color w:val="auto"/>
          <w:sz w:val="24"/>
          <w:szCs w:val="24"/>
          <w:highlight w:val="none"/>
          <w:u w:val="none" w:color="auto"/>
          <w:lang w:eastAsia="zh-CN"/>
        </w:rPr>
        <w:t>袋滤</w:t>
      </w:r>
      <w:r>
        <w:rPr>
          <w:rFonts w:hint="default" w:ascii="Times New Roman" w:hAnsi="Times New Roman" w:eastAsia="宋体" w:cs="Times New Roman"/>
          <w:color w:val="auto"/>
          <w:sz w:val="24"/>
          <w:szCs w:val="24"/>
          <w:highlight w:val="none"/>
          <w:u w:val="none" w:color="auto"/>
        </w:rPr>
        <w:t>+超滤处理后</w:t>
      </w:r>
      <w:r>
        <w:rPr>
          <w:rFonts w:hint="eastAsia" w:ascii="Times New Roman" w:hAnsi="Times New Roman" w:eastAsia="宋体" w:cs="Times New Roman"/>
          <w:color w:val="auto"/>
          <w:sz w:val="24"/>
          <w:szCs w:val="24"/>
          <w:highlight w:val="none"/>
          <w:u w:val="none" w:color="auto"/>
          <w:lang w:val="en-US" w:eastAsia="zh-CN"/>
        </w:rPr>
        <w:t>清水部分</w:t>
      </w:r>
      <w:r>
        <w:rPr>
          <w:rFonts w:hint="default" w:ascii="Times New Roman" w:hAnsi="Times New Roman" w:eastAsia="宋体" w:cs="Times New Roman"/>
          <w:color w:val="auto"/>
          <w:sz w:val="24"/>
          <w:szCs w:val="24"/>
          <w:highlight w:val="none"/>
          <w:u w:val="none" w:color="auto"/>
          <w:lang w:eastAsia="zh-CN"/>
        </w:rPr>
        <w:t>回用</w:t>
      </w:r>
      <w:r>
        <w:rPr>
          <w:rFonts w:hint="eastAsia" w:ascii="Times New Roman" w:hAnsi="Times New Roman" w:eastAsia="宋体" w:cs="Times New Roman"/>
          <w:color w:val="auto"/>
          <w:sz w:val="24"/>
          <w:szCs w:val="24"/>
          <w:highlight w:val="none"/>
          <w:u w:val="none" w:color="auto"/>
          <w:lang w:val="en-US" w:eastAsia="zh-CN"/>
        </w:rPr>
        <w:t>于生产及电镀车间地面清洗</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浓水</w:t>
      </w:r>
      <w:r>
        <w:rPr>
          <w:rFonts w:hint="default" w:ascii="Times New Roman" w:hAnsi="Times New Roman" w:eastAsia="宋体" w:cs="Times New Roman"/>
          <w:color w:val="auto"/>
          <w:sz w:val="24"/>
          <w:szCs w:val="24"/>
          <w:highlight w:val="none"/>
          <w:u w:val="none" w:color="auto"/>
          <w:lang w:eastAsia="zh-CN"/>
        </w:rPr>
        <w:t>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w:t>
      </w:r>
      <w:r>
        <w:rPr>
          <w:rFonts w:hint="eastAsia" w:ascii="Times New Roman" w:hAnsi="Times New Roman" w:eastAsia="宋体" w:cs="Times New Roman"/>
          <w:color w:val="auto"/>
          <w:sz w:val="24"/>
          <w:szCs w:val="24"/>
          <w:highlight w:val="none"/>
          <w:u w:val="none" w:color="auto"/>
          <w:lang w:val="en-US" w:eastAsia="zh-CN"/>
        </w:rPr>
        <w:t>于生产</w:t>
      </w:r>
      <w:r>
        <w:rPr>
          <w:rFonts w:hint="default" w:ascii="Times New Roman" w:hAnsi="Times New Roman" w:eastAsia="宋体" w:cs="Times New Roman"/>
          <w:color w:val="auto"/>
          <w:sz w:val="24"/>
          <w:szCs w:val="24"/>
          <w:highlight w:val="none"/>
          <w:u w:val="none" w:color="auto"/>
        </w:rPr>
        <w:t>，不外排</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机加工车间卫生废水、容器清洗废水、直接冷却废水经沉淀池预处理后</w:t>
      </w:r>
      <w:r>
        <w:rPr>
          <w:rFonts w:hint="default" w:ascii="Times New Roman" w:hAnsi="Times New Roman" w:eastAsia="宋体" w:cs="Times New Roman"/>
          <w:color w:val="auto"/>
          <w:sz w:val="24"/>
          <w:szCs w:val="24"/>
          <w:highlight w:val="none"/>
          <w:u w:val="none" w:color="auto"/>
        </w:rPr>
        <w:t>排至松木污水处理厂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生活污水经厂内化粪池预处理后排至松木污水处理厂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初期</w:t>
      </w:r>
      <w:r>
        <w:rPr>
          <w:rFonts w:hint="default" w:ascii="Times New Roman" w:hAnsi="Times New Roman" w:eastAsia="宋体" w:cs="Times New Roman"/>
          <w:color w:val="auto"/>
          <w:sz w:val="24"/>
          <w:szCs w:val="24"/>
          <w:highlight w:val="none"/>
          <w:u w:val="none" w:color="auto"/>
        </w:rPr>
        <w:t>雨水</w:t>
      </w:r>
      <w:r>
        <w:rPr>
          <w:rFonts w:hint="eastAsia" w:ascii="Times New Roman" w:hAnsi="Times New Roman" w:eastAsia="宋体" w:cs="Times New Roman"/>
          <w:color w:val="auto"/>
          <w:sz w:val="24"/>
          <w:szCs w:val="24"/>
          <w:highlight w:val="none"/>
          <w:u w:val="none" w:color="auto"/>
          <w:lang w:val="en-US" w:eastAsia="zh-CN"/>
        </w:rPr>
        <w:t>经非重金属废水设施处理后回用于生产。</w:t>
      </w:r>
    </w:p>
    <w:p w14:paraId="29269347">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本项目各类废水处理及排放示意图如下：</w:t>
      </w:r>
    </w:p>
    <w:p w14:paraId="636F7578">
      <w:pPr>
        <w:spacing w:line="240" w:lineRule="auto"/>
        <w:jc w:val="center"/>
        <w:rPr>
          <w:rFonts w:hint="default" w:ascii="Times New Roman" w:hAnsi="Times New Roman" w:cs="Times New Roman"/>
          <w:color w:val="auto"/>
          <w:highlight w:val="none"/>
          <w:u w:val="none" w:color="auto"/>
        </w:rPr>
      </w:pPr>
      <w:r>
        <w:rPr>
          <w:rFonts w:hint="default" w:ascii="Times New Roman" w:hAnsi="Times New Roman" w:eastAsia="仿宋_GB2312" w:cs="Times New Roman"/>
          <w:color w:val="auto"/>
          <w:kern w:val="2"/>
          <w:sz w:val="28"/>
          <w:szCs w:val="22"/>
          <w:highlight w:val="none"/>
          <w:u w:val="single" w:color="auto"/>
          <w:lang w:val="en-US" w:eastAsia="zh-CN" w:bidi="ar-SA"/>
        </w:rPr>
        <w:object>
          <v:shape id="_x0000_i1026" o:spt="75" type="#_x0000_t75" style="height:184.25pt;width:416.25pt;" o:ole="t" fillcolor="#FFFFFF" filled="f" o:preferrelative="t" stroked="f" coordsize="21600,21600">
            <v:path/>
            <v:fill on="f" color2="#FFFFFF" focussize="0,0"/>
            <v:stroke on="f"/>
            <v:imagedata r:id="rId18" gain="65536f" blacklevel="0f" gamma="0" o:title=""/>
            <o:lock v:ext="edit" position="f" selection="f" grouping="f" rotation="f" cropping="f" text="f" aspectratio="f"/>
            <w10:wrap type="none"/>
            <w10:anchorlock/>
          </v:shape>
          <o:OLEObject Type="Embed" ProgID="" ShapeID="_x0000_i1026" DrawAspect="Content" ObjectID="_1468075726" r:id="rId17">
            <o:LockedField>false</o:LockedField>
          </o:OLEObject>
        </w:object>
      </w:r>
    </w:p>
    <w:p w14:paraId="62858996">
      <w:pPr>
        <w:spacing w:line="240" w:lineRule="auto"/>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图</w:t>
      </w:r>
      <w:r>
        <w:rPr>
          <w:rFonts w:hint="default" w:ascii="Times New Roman" w:hAnsi="Times New Roman" w:eastAsia="宋体" w:cs="Times New Roman"/>
          <w:b/>
          <w:bCs/>
          <w:color w:val="auto"/>
          <w:sz w:val="21"/>
          <w:szCs w:val="21"/>
          <w:highlight w:val="none"/>
          <w:u w:val="none" w:color="auto"/>
          <w:lang w:val="en-US" w:eastAsia="zh-CN"/>
        </w:rPr>
        <w:t>3.7-1</w:t>
      </w:r>
      <w:r>
        <w:rPr>
          <w:rFonts w:hint="default" w:ascii="Times New Roman" w:hAnsi="Times New Roman" w:eastAsia="宋体" w:cs="Times New Roman"/>
          <w:b/>
          <w:bCs/>
          <w:color w:val="auto"/>
          <w:sz w:val="21"/>
          <w:szCs w:val="21"/>
          <w:highlight w:val="none"/>
          <w:u w:val="none" w:color="auto"/>
        </w:rPr>
        <w:t xml:space="preserve"> 本项目废水处理工艺流程图</w:t>
      </w:r>
    </w:p>
    <w:p w14:paraId="63982E79">
      <w:pPr>
        <w:pStyle w:val="4"/>
        <w:wordWrap/>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3.7.2供配电</w:t>
      </w:r>
    </w:p>
    <w:p w14:paraId="1C5BC2C2">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本项目从松木经济开发区市政电网供电，拟设置</w:t>
      </w:r>
      <w:r>
        <w:rPr>
          <w:rFonts w:hint="eastAsia" w:ascii="Times New Roman" w:hAnsi="Times New Roman" w:eastAsia="宋体" w:cs="Times New Roman"/>
          <w:color w:val="auto"/>
          <w:sz w:val="24"/>
          <w:szCs w:val="24"/>
          <w:highlight w:val="none"/>
          <w:u w:val="none" w:color="auto"/>
          <w:lang w:eastAsia="zh-CN"/>
        </w:rPr>
        <w:t>一台室外厢变和</w:t>
      </w:r>
      <w:r>
        <w:rPr>
          <w:rFonts w:hint="default" w:ascii="Times New Roman" w:hAnsi="Times New Roman" w:eastAsia="宋体" w:cs="Times New Roman"/>
          <w:color w:val="auto"/>
          <w:sz w:val="24"/>
          <w:szCs w:val="24"/>
          <w:highlight w:val="none"/>
          <w:u w:val="none" w:color="auto"/>
        </w:rPr>
        <w:t>一间配电房。</w:t>
      </w:r>
    </w:p>
    <w:p w14:paraId="200B691A">
      <w:pPr>
        <w:pStyle w:val="4"/>
        <w:wordWrap/>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3.7.3消防</w:t>
      </w:r>
    </w:p>
    <w:p w14:paraId="2A3DB41A">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本项目设有完整的消防道路系统，建筑物之间的防火间距按规范要求设计；建筑物的生产类别为丙类，其耐火等级按二级设计，15m以上的建（构）筑物设置了防雷接地保护措施。</w:t>
      </w:r>
    </w:p>
    <w:p w14:paraId="3995EEE2">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本项目消防系统分为室外消防系统和室内消防系统，以水消防为主，其他消防为辅的设计。室外消防系统采用DN200环状供水管网直接供水，设置室外地上式消火栓；室内消防灭火系统主要为干粉灭火器。</w:t>
      </w:r>
    </w:p>
    <w:p w14:paraId="19D72518">
      <w:pPr>
        <w:pStyle w:val="3"/>
        <w:wordWrap/>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30" w:name="_Toc5490"/>
      <w:r>
        <w:rPr>
          <w:rFonts w:hint="default" w:ascii="Times New Roman" w:hAnsi="Times New Roman" w:eastAsia="宋体" w:cs="Times New Roman"/>
          <w:color w:val="auto"/>
          <w:sz w:val="28"/>
          <w:szCs w:val="28"/>
          <w:highlight w:val="none"/>
          <w:u w:val="none" w:color="auto"/>
          <w:lang w:val="en-US" w:eastAsia="zh-CN"/>
        </w:rPr>
        <w:t>3.8项目劳动定员及工作制度</w:t>
      </w:r>
      <w:bookmarkEnd w:id="30"/>
    </w:p>
    <w:p w14:paraId="530E5D76">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本项目考虑充分利用设备设施以提高生产负荷率，生产制度确定为年工作300天，其中</w:t>
      </w:r>
      <w:r>
        <w:rPr>
          <w:rFonts w:hint="default" w:ascii="Times New Roman" w:hAnsi="Times New Roman" w:eastAsia="宋体" w:cs="Times New Roman"/>
          <w:color w:val="auto"/>
          <w:sz w:val="24"/>
          <w:szCs w:val="24"/>
          <w:highlight w:val="none"/>
          <w:u w:val="none" w:color="auto"/>
          <w:lang w:eastAsia="zh-CN"/>
        </w:rPr>
        <w:t>生产</w:t>
      </w:r>
      <w:r>
        <w:rPr>
          <w:rFonts w:hint="default" w:ascii="Times New Roman" w:hAnsi="Times New Roman" w:eastAsia="宋体" w:cs="Times New Roman"/>
          <w:color w:val="auto"/>
          <w:sz w:val="24"/>
          <w:szCs w:val="24"/>
          <w:highlight w:val="none"/>
          <w:u w:val="none" w:color="auto"/>
        </w:rPr>
        <w:t>线采用两班制，每班1</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小时，行政管理人员及技术工艺人员为白班制</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每班</w:t>
      </w:r>
      <w:r>
        <w:rPr>
          <w:rFonts w:hint="default" w:ascii="Times New Roman" w:hAnsi="Times New Roman" w:eastAsia="宋体" w:cs="Times New Roman"/>
          <w:color w:val="auto"/>
          <w:sz w:val="24"/>
          <w:szCs w:val="24"/>
          <w:highlight w:val="none"/>
          <w:u w:val="none" w:color="auto"/>
          <w:lang w:val="en-US" w:eastAsia="zh-CN"/>
        </w:rPr>
        <w:t>8</w:t>
      </w:r>
      <w:r>
        <w:rPr>
          <w:rFonts w:hint="default" w:ascii="Times New Roman" w:hAnsi="Times New Roman" w:eastAsia="宋体" w:cs="Times New Roman"/>
          <w:color w:val="auto"/>
          <w:sz w:val="24"/>
          <w:szCs w:val="24"/>
          <w:highlight w:val="none"/>
          <w:u w:val="none" w:color="auto"/>
        </w:rPr>
        <w:t>小时。</w:t>
      </w:r>
    </w:p>
    <w:p w14:paraId="7E2A5DB6">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本项目劳动定员共计</w:t>
      </w:r>
      <w:r>
        <w:rPr>
          <w:rFonts w:hint="eastAsia" w:ascii="Times New Roman" w:hAnsi="Times New Roman" w:eastAsia="宋体" w:cs="Times New Roman"/>
          <w:color w:val="auto"/>
          <w:sz w:val="24"/>
          <w:szCs w:val="24"/>
          <w:highlight w:val="none"/>
          <w:u w:val="none" w:color="auto"/>
          <w:lang w:val="en-US" w:eastAsia="zh-CN"/>
        </w:rPr>
        <w:t>475</w:t>
      </w:r>
      <w:r>
        <w:rPr>
          <w:rFonts w:hint="default" w:ascii="Times New Roman" w:hAnsi="Times New Roman" w:eastAsia="宋体" w:cs="Times New Roman"/>
          <w:color w:val="auto"/>
          <w:sz w:val="24"/>
          <w:szCs w:val="24"/>
          <w:highlight w:val="none"/>
          <w:u w:val="none" w:color="auto"/>
        </w:rPr>
        <w:t>人</w:t>
      </w:r>
      <w:r>
        <w:rPr>
          <w:rFonts w:hint="default" w:ascii="Times New Roman" w:hAnsi="Times New Roman" w:eastAsia="宋体" w:cs="Times New Roman"/>
          <w:color w:val="auto"/>
          <w:sz w:val="24"/>
          <w:szCs w:val="24"/>
          <w:highlight w:val="none"/>
          <w:u w:val="none" w:color="auto"/>
          <w:lang w:eastAsia="zh-CN"/>
        </w:rPr>
        <w:t>，用餐</w:t>
      </w:r>
      <w:r>
        <w:rPr>
          <w:rFonts w:hint="eastAsia" w:ascii="Times New Roman" w:hAnsi="Times New Roman" w:eastAsia="宋体" w:cs="Times New Roman"/>
          <w:color w:val="auto"/>
          <w:sz w:val="24"/>
          <w:szCs w:val="24"/>
          <w:highlight w:val="none"/>
          <w:u w:val="none" w:color="auto"/>
          <w:lang w:val="en-US" w:eastAsia="zh-CN"/>
        </w:rPr>
        <w:t>150</w:t>
      </w:r>
      <w:r>
        <w:rPr>
          <w:rFonts w:hint="default" w:ascii="Times New Roman" w:hAnsi="Times New Roman" w:eastAsia="宋体" w:cs="Times New Roman"/>
          <w:color w:val="auto"/>
          <w:sz w:val="24"/>
          <w:szCs w:val="24"/>
          <w:highlight w:val="none"/>
          <w:u w:val="none" w:color="auto"/>
          <w:lang w:val="en-US" w:eastAsia="zh-CN"/>
        </w:rPr>
        <w:t>人，</w:t>
      </w:r>
      <w:r>
        <w:rPr>
          <w:rFonts w:hint="default" w:ascii="Times New Roman" w:hAnsi="Times New Roman" w:eastAsia="宋体" w:cs="Times New Roman"/>
          <w:color w:val="auto"/>
          <w:sz w:val="24"/>
          <w:szCs w:val="24"/>
          <w:highlight w:val="none"/>
          <w:u w:val="none" w:color="auto"/>
          <w:lang w:eastAsia="zh-CN"/>
        </w:rPr>
        <w:t>住宿</w:t>
      </w:r>
      <w:r>
        <w:rPr>
          <w:rFonts w:hint="eastAsia" w:ascii="Times New Roman" w:hAnsi="Times New Roman" w:eastAsia="宋体" w:cs="Times New Roman"/>
          <w:color w:val="auto"/>
          <w:sz w:val="24"/>
          <w:szCs w:val="24"/>
          <w:highlight w:val="none"/>
          <w:u w:val="none" w:color="auto"/>
          <w:lang w:val="en-US" w:eastAsia="zh-CN"/>
        </w:rPr>
        <w:t>150</w:t>
      </w:r>
      <w:r>
        <w:rPr>
          <w:rFonts w:hint="default" w:ascii="Times New Roman" w:hAnsi="Times New Roman" w:eastAsia="宋体" w:cs="Times New Roman"/>
          <w:color w:val="auto"/>
          <w:sz w:val="24"/>
          <w:szCs w:val="24"/>
          <w:highlight w:val="none"/>
          <w:u w:val="none" w:color="auto"/>
          <w:lang w:val="en-US" w:eastAsia="zh-CN"/>
        </w:rPr>
        <w:t>人</w:t>
      </w:r>
      <w:r>
        <w:rPr>
          <w:rFonts w:hint="default" w:ascii="Times New Roman" w:hAnsi="Times New Roman" w:eastAsia="宋体" w:cs="Times New Roman"/>
          <w:color w:val="auto"/>
          <w:sz w:val="24"/>
          <w:szCs w:val="24"/>
          <w:highlight w:val="none"/>
          <w:u w:val="none" w:color="auto"/>
        </w:rPr>
        <w:t>。</w:t>
      </w:r>
    </w:p>
    <w:p w14:paraId="49B5D0C1">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r>
        <w:rPr>
          <w:rFonts w:hint="default" w:ascii="Times New Roman" w:hAnsi="Times New Roman" w:eastAsia="宋体" w:cs="Times New Roman"/>
          <w:color w:val="auto"/>
          <w:sz w:val="28"/>
          <w:szCs w:val="28"/>
          <w:highlight w:val="none"/>
          <w:u w:val="none" w:color="auto"/>
          <w:lang w:val="en-US" w:eastAsia="zh-CN"/>
        </w:rPr>
        <w:t>3.9施工组织</w:t>
      </w:r>
      <w:bookmarkEnd w:id="22"/>
    </w:p>
    <w:p w14:paraId="0F78E33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（1）施工进度及人员配置</w:t>
      </w:r>
    </w:p>
    <w:p w14:paraId="553FC391">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根据项目进度安排，项目预计于202</w:t>
      </w:r>
      <w:r>
        <w:rPr>
          <w:rFonts w:hint="default" w:ascii="Times New Roman" w:hAnsi="Times New Roman" w:eastAsia="宋体" w:cs="Times New Roman"/>
          <w:color w:val="auto"/>
          <w:sz w:val="24"/>
          <w:szCs w:val="21"/>
          <w:highlight w:val="none"/>
          <w:u w:val="none" w:color="auto"/>
          <w:lang w:val="en-US" w:eastAsia="zh-CN"/>
        </w:rPr>
        <w:t>2</w:t>
      </w:r>
      <w:r>
        <w:rPr>
          <w:rFonts w:hint="default" w:ascii="Times New Roman" w:hAnsi="Times New Roman" w:eastAsia="宋体" w:cs="Times New Roman"/>
          <w:color w:val="auto"/>
          <w:sz w:val="24"/>
          <w:szCs w:val="21"/>
          <w:highlight w:val="none"/>
          <w:u w:val="none" w:color="auto"/>
        </w:rPr>
        <w:t>年12月初开始动工，202</w:t>
      </w:r>
      <w:r>
        <w:rPr>
          <w:rFonts w:hint="default" w:ascii="Times New Roman" w:hAnsi="Times New Roman" w:eastAsia="宋体" w:cs="Times New Roman"/>
          <w:color w:val="auto"/>
          <w:sz w:val="24"/>
          <w:szCs w:val="21"/>
          <w:highlight w:val="none"/>
          <w:u w:val="none" w:color="auto"/>
          <w:lang w:val="en-US" w:eastAsia="zh-CN"/>
        </w:rPr>
        <w:t>3</w:t>
      </w:r>
      <w:r>
        <w:rPr>
          <w:rFonts w:hint="default" w:ascii="Times New Roman" w:hAnsi="Times New Roman" w:eastAsia="宋体" w:cs="Times New Roman"/>
          <w:color w:val="auto"/>
          <w:sz w:val="24"/>
          <w:szCs w:val="21"/>
          <w:highlight w:val="none"/>
          <w:u w:val="none" w:color="auto"/>
        </w:rPr>
        <w:t>年12月完工，施工工期为12个月，计划最大用工人数为80人。</w:t>
      </w:r>
    </w:p>
    <w:p w14:paraId="31F534F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（2）施工交通条件</w:t>
      </w:r>
    </w:p>
    <w:p w14:paraId="34D8390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项目位于</w:t>
      </w:r>
      <w:r>
        <w:rPr>
          <w:rFonts w:hint="default" w:ascii="Times New Roman" w:hAnsi="Times New Roman" w:eastAsia="宋体" w:cs="Times New Roman"/>
          <w:color w:val="auto"/>
          <w:sz w:val="24"/>
          <w:szCs w:val="24"/>
          <w:highlight w:val="none"/>
          <w:u w:val="none" w:color="auto"/>
          <w:lang w:eastAsia="zh-CN"/>
        </w:rPr>
        <w:t>湖南省衡阳市石鼓区</w:t>
      </w:r>
      <w:r>
        <w:rPr>
          <w:rFonts w:hint="default" w:ascii="Times New Roman" w:hAnsi="Times New Roman" w:eastAsia="宋体" w:cs="Times New Roman"/>
          <w:color w:val="auto"/>
          <w:kern w:val="0"/>
          <w:sz w:val="24"/>
          <w:szCs w:val="24"/>
          <w:highlight w:val="none"/>
          <w:u w:val="none" w:color="auto"/>
          <w:lang w:eastAsia="zh-CN"/>
        </w:rPr>
        <w:t>松木经济开发区松枫路</w:t>
      </w:r>
      <w:r>
        <w:rPr>
          <w:rFonts w:hint="default" w:ascii="Times New Roman" w:hAnsi="Times New Roman" w:eastAsia="宋体" w:cs="Times New Roman"/>
          <w:color w:val="auto"/>
          <w:sz w:val="24"/>
          <w:szCs w:val="21"/>
          <w:highlight w:val="none"/>
          <w:u w:val="none" w:color="auto"/>
        </w:rPr>
        <w:t>，能满足项目施工期间的运输要求。</w:t>
      </w:r>
    </w:p>
    <w:p w14:paraId="1BDF4E7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（3）施工用电、用水</w:t>
      </w:r>
    </w:p>
    <w:p w14:paraId="6BA876B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项目用地周边已有完善的供水、供电设施，能够满足项目施工期用水、用电需求。</w:t>
      </w:r>
    </w:p>
    <w:p w14:paraId="4D1050A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（4）施工材料来源</w:t>
      </w:r>
    </w:p>
    <w:p w14:paraId="41BE4CAA">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项目建设过程中的水泥、钢材、砖块、石板及其它建筑材料，按工程计划购买，以上施工材料均在</w:t>
      </w:r>
      <w:r>
        <w:rPr>
          <w:rFonts w:hint="default" w:ascii="Times New Roman" w:hAnsi="Times New Roman" w:eastAsia="宋体" w:cs="Times New Roman"/>
          <w:color w:val="auto"/>
          <w:sz w:val="24"/>
          <w:szCs w:val="21"/>
          <w:highlight w:val="none"/>
          <w:u w:val="none" w:color="auto"/>
          <w:lang w:eastAsia="zh-CN"/>
        </w:rPr>
        <w:t>衡阳</w:t>
      </w:r>
      <w:r>
        <w:rPr>
          <w:rFonts w:hint="default" w:ascii="Times New Roman" w:hAnsi="Times New Roman" w:eastAsia="宋体" w:cs="Times New Roman"/>
          <w:color w:val="auto"/>
          <w:sz w:val="24"/>
          <w:szCs w:val="21"/>
          <w:highlight w:val="none"/>
          <w:u w:val="none" w:color="auto"/>
        </w:rPr>
        <w:t>地区购买。</w:t>
      </w:r>
    </w:p>
    <w:p w14:paraId="0F339B27">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2B377486">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eastAsia="zh-CN"/>
        </w:rPr>
      </w:pPr>
      <w:bookmarkStart w:id="31" w:name="_Toc20840"/>
      <w:r>
        <w:rPr>
          <w:rFonts w:hint="default" w:ascii="Times New Roman" w:hAnsi="Times New Roman" w:eastAsia="宋体" w:cs="Times New Roman"/>
          <w:color w:val="auto"/>
          <w:sz w:val="32"/>
          <w:szCs w:val="32"/>
          <w:highlight w:val="none"/>
          <w:u w:val="none" w:color="auto"/>
          <w:lang w:val="en-US" w:eastAsia="zh-CN"/>
        </w:rPr>
        <w:t>4</w:t>
      </w:r>
      <w:r>
        <w:rPr>
          <w:rFonts w:hint="default" w:ascii="Times New Roman" w:hAnsi="Times New Roman" w:eastAsia="宋体" w:cs="Times New Roman"/>
          <w:color w:val="auto"/>
          <w:sz w:val="32"/>
          <w:szCs w:val="32"/>
          <w:highlight w:val="none"/>
          <w:u w:val="none" w:color="auto"/>
          <w:lang w:eastAsia="zh-CN"/>
        </w:rPr>
        <w:t>工程分析</w:t>
      </w:r>
      <w:bookmarkEnd w:id="31"/>
    </w:p>
    <w:p w14:paraId="60CA9423">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32" w:name="_Toc30000"/>
      <w:r>
        <w:rPr>
          <w:rFonts w:hint="default" w:ascii="Times New Roman" w:hAnsi="Times New Roman" w:eastAsia="宋体" w:cs="Times New Roman"/>
          <w:color w:val="auto"/>
          <w:sz w:val="28"/>
          <w:szCs w:val="28"/>
          <w:highlight w:val="none"/>
          <w:u w:val="none" w:color="auto"/>
          <w:lang w:val="en-US" w:eastAsia="zh-CN"/>
        </w:rPr>
        <w:t>4.1 工艺流程及说明</w:t>
      </w:r>
      <w:bookmarkEnd w:id="32"/>
    </w:p>
    <w:p w14:paraId="594E0169">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4.1.1 金刚石划片刀生产线</w:t>
      </w:r>
    </w:p>
    <w:p w14:paraId="36527F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（1）下料、粗车、精车</w:t>
      </w:r>
    </w:p>
    <w:p w14:paraId="331691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kern w:val="2"/>
          <w:sz w:val="24"/>
          <w:szCs w:val="21"/>
          <w:highlight w:val="none"/>
          <w:u w:val="single" w:color="auto"/>
          <w:lang w:val="en-US" w:eastAsia="zh-CN" w:bidi="ar-SA"/>
        </w:rPr>
        <w:t>按工艺图纸要求，把外购的铝棒先用锯床锯成规定厚度的铝圆片，再用数控</w:t>
      </w:r>
      <w:r>
        <w:rPr>
          <w:rFonts w:hint="default" w:ascii="Times New Roman" w:hAnsi="Times New Roman" w:eastAsia="宋体" w:cs="Times New Roman"/>
          <w:color w:val="auto"/>
          <w:sz w:val="24"/>
          <w:szCs w:val="24"/>
          <w:highlight w:val="none"/>
          <w:u w:val="single" w:color="auto"/>
          <w:lang w:val="en-US" w:eastAsia="zh-CN"/>
        </w:rPr>
        <w:t>车床加工成图纸要求的形状的铝基体，本项目机加工过程需用切削液对工件进行冷却和润滑，切削液与水混合比例为1：20。切削液循环使用，定期补充，约半年清理一次。该工序产生的污染物主要有粉尘、金属边角料、废切削液。</w:t>
      </w:r>
    </w:p>
    <w:p w14:paraId="65FB51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sz w:val="24"/>
          <w:szCs w:val="24"/>
          <w:highlight w:val="none"/>
          <w:u w:val="single" w:color="auto"/>
          <w:lang w:val="en-US" w:eastAsia="zh-CN"/>
        </w:rPr>
        <w:t>（</w:t>
      </w:r>
      <w:r>
        <w:rPr>
          <w:rFonts w:hint="default" w:ascii="Times New Roman" w:hAnsi="Times New Roman" w:eastAsia="宋体" w:cs="Times New Roman"/>
          <w:color w:val="auto"/>
          <w:kern w:val="2"/>
          <w:sz w:val="24"/>
          <w:szCs w:val="21"/>
          <w:highlight w:val="none"/>
          <w:u w:val="single" w:color="auto"/>
          <w:lang w:val="en-US" w:eastAsia="zh-CN" w:bidi="ar-SA"/>
        </w:rPr>
        <w:t>2）装夹、除油及水洗</w:t>
      </w:r>
    </w:p>
    <w:p w14:paraId="44E151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用专用夹具将铝基体装夹好露出需电镀的工作面，本项目采用超声波除油，在除油槽液中设置超声波发生器震源，利用超声波产生的"空化"效应从而强化除油过程。除油槽槽液由碳酸钠、磷酸三钠、氢氧化钠与纯水站浓排水直接配制而成，槽液中碳酸钠含量为20～30 g/L、磷酸三钠含量为10～30 g/L、氢氧化钠含量为10～20 g/L（电间接加热至80℃，操作时间30min），除油槽配套设置油水分离器，除油槽槽液无需更换，定期补充槽液和纯水站浓排水即可，除油槽清渣每月清理一次（沉渣自然沉降后倒出上清液）。除油工序产生的污染物主要为含油槽渣。本项目每栋厂房均设置槽液配置区，所有槽液配置均在配置区内进行配置。</w:t>
      </w:r>
    </w:p>
    <w:p w14:paraId="5DE88C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除油后的工件采用纯水常温三级逆流清洗，以除去工件表面的除油剂，该工序产生含油废水。</w:t>
      </w:r>
    </w:p>
    <w:p w14:paraId="26E3EB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（3）碱蚀及水洗</w:t>
      </w:r>
    </w:p>
    <w:p w14:paraId="6ECC63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碱蚀可以去除铝基体表面的机械纹和自然氧化膜、起砂。碱蚀槽槽液由碳酸钠、磷酸三钠、氢氧化钠与自来水直接配制而成，槽液中碳酸钠含量为20～30 g/L、磷酸三钠含量为10～30 g/L、氢氧化钠含量为10～20 g/L（电间接加热至80℃，操作时间5min）。碱蚀槽液无需更换，定期补充槽液即可，碱蚀槽清渣每月清理一次（沉渣自然沉降后倒出上清液）。该产生的污染物主要为含铝槽渣。</w:t>
      </w:r>
    </w:p>
    <w:p w14:paraId="4E141D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碱蚀完成后采用纯水常温三级逆流清洗，彻底清除工件表面的碱，该工序会产生碱性废水。</w:t>
      </w:r>
    </w:p>
    <w:p w14:paraId="114237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（4）出光及水洗</w:t>
      </w:r>
    </w:p>
    <w:p w14:paraId="6FFBEB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铝质制件经碱蚀后虽经清水清洗，但由于碱的水洗性差，制件表面仍呈碱性，铝在碱性条件下又会很快氧化变色。出光处理既能中和掉制件表面的碱性物质，抑制了再度产生氧化膜的速率，又能除去碱蚀时不参与碱性反应却依然吸附在制件表面疏松的灰状物质和较为牢固的黑膜。本项目出光槽液采用低浓度的硝酸，槽液成分为45～50ml/L硝酸（常温，操作时间10s）。出光槽液无需更换，定期补充槽液即可，出光槽每月清理一次（沉渣自然沉降后倒出上清液）。该产生的污染物主要为含铝槽渣。出光过程会产生酸雾和含铝槽渣。</w:t>
      </w:r>
    </w:p>
    <w:p w14:paraId="4F7FB0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出光完成后采用纯水常温三级逆流清洗，产生酸性废水。</w:t>
      </w:r>
    </w:p>
    <w:p w14:paraId="52B148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（5）浸锌镍</w:t>
      </w:r>
      <w:r>
        <w:rPr>
          <w:rFonts w:hint="eastAsia" w:ascii="Times New Roman" w:hAnsi="Times New Roman" w:eastAsia="宋体" w:cs="Times New Roman"/>
          <w:color w:val="auto"/>
          <w:kern w:val="2"/>
          <w:sz w:val="24"/>
          <w:szCs w:val="21"/>
          <w:highlight w:val="none"/>
          <w:u w:val="single" w:color="auto"/>
          <w:lang w:val="en-US" w:eastAsia="zh-CN" w:bidi="ar-SA"/>
        </w:rPr>
        <w:t>（化学镀）</w:t>
      </w:r>
      <w:r>
        <w:rPr>
          <w:rFonts w:hint="default" w:ascii="Times New Roman" w:hAnsi="Times New Roman" w:eastAsia="宋体" w:cs="Times New Roman"/>
          <w:color w:val="auto"/>
          <w:kern w:val="2"/>
          <w:sz w:val="24"/>
          <w:szCs w:val="21"/>
          <w:highlight w:val="none"/>
          <w:u w:val="single" w:color="auto"/>
          <w:lang w:val="en-US" w:eastAsia="zh-CN" w:bidi="ar-SA"/>
        </w:rPr>
        <w:t>及水洗</w:t>
      </w:r>
    </w:p>
    <w:p w14:paraId="551F8F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浸锌镍是不依靠外界电流作用，而依靠化学试剂的氧化还原反应在物体表面沉积一层金属的方法，在一定pH值和温度下，溶液中锌、镍离子被还原为金属并沉积在表面上。</w:t>
      </w:r>
    </w:p>
    <w:p w14:paraId="337D6C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本项目浸锌镍合金镀液成分为20~25g/L硫酸镍、25~30g/L酒石酸钾钠、0~15g/L氧化锌、20~25g/L氢氧化钠、1~3ml/L添加剂；浸锌镍控制条件为：pH 值4.5～5.0、温度25℃、操作时间10~40s，镀层厚度1-3微米。</w:t>
      </w:r>
    </w:p>
    <w:p w14:paraId="7101BE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浸锌镍槽配套有副槽，副槽内设置过滤机（内置过滤棉），镀液经副槽过滤后返回镀槽，槽液无需更换（定期更换镍板），镀液使用三个月后经活性炭在副槽内经过滤处理后返回镀槽。该工序产生的污染物主要为含镍槽渣及过滤棉滤袋清洗产生的含锌镍废水，该部分废水直接进入废水处理站。</w:t>
      </w:r>
    </w:p>
    <w:p w14:paraId="0E7BB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浸锌镍后采用纯水常温三级逆流清洗，水洗工序产生的含锌镍废水部分直接回用于渡槽，部分直接进入废水处理站。</w:t>
      </w:r>
    </w:p>
    <w:p w14:paraId="6D9B79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（6）预镀镍</w:t>
      </w:r>
    </w:p>
    <w:p w14:paraId="68E2B1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预镀镍是为了更好的保证镀层与基本的良好结合力，是多层镍系统电镀中的底层，预镀镍层与电镀镍层电位差达120-145MV，耐蚀性极好。</w:t>
      </w:r>
    </w:p>
    <w:p w14:paraId="1EE068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本项目预镀镍以镍板作为阳极，电镀液成分为氯化镍0~15g/L、氨基磺酸镍300~450g/L、硼酸30-40g/L；预镀镍控制条件为：pH 值3～5、温度45～60℃、阴极电流密度1～2.5A/(dm2)、操作时间10~20min、镀层厚度0.5~3微米。</w:t>
      </w:r>
    </w:p>
    <w:p w14:paraId="628A7C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预镀镍槽配套有副槽，副槽内设置过滤机（内置过滤棉），镀液经副槽过滤后返回镀槽，槽液无需更换（定期更换镍板），镀液使用三个月后经活性炭在副槽内经过滤处理后返回镀槽。该工序产生的污染物主要为含镍槽渣及过滤棉滤袋清洗产生的含镍废水，该部分废水直接进入废水处理站。</w:t>
      </w:r>
    </w:p>
    <w:p w14:paraId="3D5B77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（7）镀超硬材料（光亮镍镀金刚石）</w:t>
      </w:r>
    </w:p>
    <w:p w14:paraId="57D432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镀超硬材料采用电镀，根据金刚石粒度不同设置不同的镀砂槽，工件根据需要进入特定的镀砂槽。镀超硬材料以镍板作为阳极，镀金刚石槽内镀液镀液成分为氯化镍0~15g/L、氨基磺酸镍300~450g/L、硼酸30-40g/L，金刚石颗粒沉于槽底，搅拌装置开启进行镀砂工序，金刚石即附着于工件之上，镀金刚石控制条件为：pH 值3～5、温度45～60℃、阴极电流密度1～6A/(dm2)、操作时间20-120min、镀镍层厚度16~600微米（等同于镀金刚石厚度）。镀金刚石完成后工件还需在镀砂槽内停留10~15min以保证金刚石固定在工件上。</w:t>
      </w:r>
    </w:p>
    <w:p w14:paraId="0393B3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镀金刚石槽配有副槽，副槽内设置过滤机（内置过滤棉），镀液经副槽过滤后返回镀槽，槽液无需更换（定期补充硫酸镍等），镀液使用三个月后经活性炭在副槽内经过滤处理后返回镀槽。该工序产生的污染物主要为含镍槽渣及过滤棉滤袋清洗产生的含镍废水，该部分废水直接进入废水处理站。</w:t>
      </w:r>
    </w:p>
    <w:p w14:paraId="426AEB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镀超硬材料后采用纯水常温单槽清洗，水洗产生的含镍废水部分直接回用于部分直接回用于渡槽，部分直接进入废水处理站。</w:t>
      </w:r>
    </w:p>
    <w:p w14:paraId="443B0D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（7）烘干、精加工、检验</w:t>
      </w:r>
    </w:p>
    <w:p w14:paraId="77687C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本项目采用烘箱进行烘干（温度约120℃），烘干后的工件经精加工（车、磨、电火花等）后经检验合格后入库。该工序产生粉尘。</w:t>
      </w:r>
    </w:p>
    <w:p w14:paraId="7F3A35F7">
      <w:pPr>
        <w:rPr>
          <w:rFonts w:hint="default" w:ascii="Times New Roman" w:hAnsi="Times New Roman" w:cs="Times New Roman"/>
          <w:color w:val="auto"/>
          <w:highlight w:val="none"/>
          <w:u w:val="single" w:color="auto"/>
          <w:lang w:val="en-US" w:eastAsia="zh-CN"/>
        </w:rPr>
      </w:pPr>
    </w:p>
    <w:p w14:paraId="3323F395">
      <w:pPr>
        <w:pStyle w:val="10"/>
        <w:spacing w:line="240" w:lineRule="auto"/>
        <w:jc w:val="center"/>
        <w:rPr>
          <w:rFonts w:hint="default" w:ascii="Times New Roman" w:hAnsi="Times New Roman" w:cs="Times New Roman"/>
          <w:color w:val="auto"/>
          <w:highlight w:val="none"/>
          <w:u w:val="single" w:color="auto"/>
          <w:lang w:val="en-US" w:eastAsia="zh-CN"/>
        </w:rPr>
      </w:pPr>
    </w:p>
    <w:p w14:paraId="20F7A3B0">
      <w:pPr>
        <w:spacing w:line="240" w:lineRule="auto"/>
        <w:jc w:val="center"/>
        <w:rPr>
          <w:rFonts w:hint="default" w:ascii="Times New Roman" w:hAnsi="Times New Roman" w:cs="Times New Roman"/>
          <w:color w:val="auto"/>
          <w:highlight w:val="none"/>
          <w:u w:val="single" w:color="auto"/>
          <w:lang w:val="en-US" w:eastAsia="zh-CN"/>
        </w:rPr>
      </w:pPr>
      <w:r>
        <w:rPr>
          <w:rFonts w:hint="default" w:ascii="Times New Roman" w:hAnsi="Times New Roman" w:cs="Times New Roman"/>
          <w:color w:val="auto"/>
          <w:highlight w:val="none"/>
          <w:u w:val="single" w:color="auto"/>
          <w:lang w:val="en-US" w:eastAsia="zh-CN"/>
        </w:rPr>
        <w:object>
          <v:shape id="_x0000_i1027" o:spt="75" type="#_x0000_t75" style="height:632.1pt;width:292.45pt;" o:ole="t" filled="f" o:preferrelative="t" stroked="f" coordsize="21600,21600">
            <v:path/>
            <v:fill on="f" focussize="0,0"/>
            <v:stroke on="f"/>
            <v:imagedata r:id="rId20" o:title=""/>
            <o:lock v:ext="edit" aspectratio="f"/>
            <w10:wrap type="none"/>
            <w10:anchorlock/>
          </v:shape>
          <o:OLEObject Type="Embed" ProgID="Visio.Drawing.15" ShapeID="_x0000_i1027" DrawAspect="Content" ObjectID="_1468075727" r:id="rId19">
            <o:LockedField>false</o:LockedField>
          </o:OLEObject>
        </w:object>
      </w:r>
    </w:p>
    <w:p w14:paraId="480C39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1"/>
          <w:highlight w:val="none"/>
          <w:u w:val="single" w:color="auto"/>
          <w:lang w:val="en-US"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图4.1-1 金刚石划片刀生产工艺流程及产污节点</w:t>
      </w:r>
    </w:p>
    <w:p w14:paraId="769AD1CB">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4.1.2 超硬材料砂轮、超硬材料磨头、超硬材料套瓦刀及套孔钻生产线</w:t>
      </w:r>
    </w:p>
    <w:p w14:paraId="290AE3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超硬材料砂轮、</w:t>
      </w:r>
      <w:r>
        <w:rPr>
          <w:rFonts w:hint="default" w:ascii="Times New Roman" w:hAnsi="Times New Roman" w:eastAsia="宋体" w:cs="Times New Roman"/>
          <w:color w:val="auto"/>
          <w:kern w:val="2"/>
          <w:sz w:val="24"/>
          <w:szCs w:val="21"/>
          <w:highlight w:val="none"/>
          <w:u w:val="single" w:color="auto"/>
          <w:lang w:val="en-US" w:eastAsia="zh-CN" w:bidi="ar-SA"/>
        </w:rPr>
        <w:t>超硬材料磨头、超硬材料套瓦刀及套孔钻生产工艺流程基本一致。其中部分</w:t>
      </w:r>
      <w:r>
        <w:rPr>
          <w:rFonts w:hint="default" w:ascii="Times New Roman" w:hAnsi="Times New Roman" w:eastAsia="宋体" w:cs="Times New Roman"/>
          <w:b w:val="0"/>
          <w:bCs w:val="0"/>
          <w:color w:val="auto"/>
          <w:kern w:val="2"/>
          <w:sz w:val="24"/>
          <w:szCs w:val="21"/>
          <w:highlight w:val="none"/>
          <w:u w:val="single" w:color="auto"/>
          <w:lang w:val="en-US" w:eastAsia="zh-CN" w:bidi="ar-SA"/>
        </w:rPr>
        <w:t>超硬材料砂轮、</w:t>
      </w:r>
      <w:r>
        <w:rPr>
          <w:rFonts w:hint="default" w:ascii="Times New Roman" w:hAnsi="Times New Roman" w:eastAsia="宋体" w:cs="Times New Roman"/>
          <w:color w:val="auto"/>
          <w:kern w:val="2"/>
          <w:sz w:val="24"/>
          <w:szCs w:val="21"/>
          <w:highlight w:val="none"/>
          <w:u w:val="single" w:color="auto"/>
          <w:lang w:val="en-US" w:eastAsia="zh-CN" w:bidi="ar-SA"/>
        </w:rPr>
        <w:t>超硬材料磨头、超硬材料套瓦刀及套孔钻生产工艺主要为</w:t>
      </w:r>
      <w:r>
        <w:rPr>
          <w:rFonts w:hint="default" w:ascii="Times New Roman" w:hAnsi="Times New Roman" w:eastAsia="宋体" w:cs="Times New Roman"/>
          <w:b w:val="0"/>
          <w:bCs w:val="0"/>
          <w:color w:val="auto"/>
          <w:kern w:val="2"/>
          <w:sz w:val="24"/>
          <w:szCs w:val="21"/>
          <w:highlight w:val="none"/>
          <w:u w:val="single" w:color="auto"/>
          <w:lang w:val="en-US" w:eastAsia="zh-CN" w:bidi="ar-SA"/>
        </w:rPr>
        <w:t>机加工、镀超硬材料/装饰镀，建设单位将圆钢管下料机加工成需要形状的钢基体后根据需求选择：①仅镀超硬材料；②仅装饰镀；③先镀超硬材料后装饰镀；④先装饰镀后镀超硬材料。</w:t>
      </w:r>
    </w:p>
    <w:p w14:paraId="3DA45C8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single" w:color="auto"/>
          <w:lang w:val="en-US"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工艺流程说明：</w:t>
      </w:r>
    </w:p>
    <w:p w14:paraId="5F40121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single" w:color="auto"/>
          <w:lang w:val="en-US"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4.1.2.1 下料粗车、精车工艺流程</w:t>
      </w:r>
    </w:p>
    <w:p w14:paraId="664876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按工艺图纸要求，把外购的园钢光用锯床锯成规定厚度的薄片，再用数控车床加工成图纸要求的形状的钢基体，本项目机加工过程需用切削液对工件进行冷却和润滑，切削液与水混合比例为1：20。切削液循环使用，不外排，定期补充。该过程会产生少量的机加工粉尘、废金属边角料及噪声。</w:t>
      </w:r>
    </w:p>
    <w:p w14:paraId="2D8F238E">
      <w:pPr>
        <w:pStyle w:val="10"/>
        <w:spacing w:line="240" w:lineRule="auto"/>
        <w:jc w:val="center"/>
        <w:rPr>
          <w:rFonts w:hint="default" w:ascii="Times New Roman" w:hAnsi="Times New Roman" w:cs="Times New Roman"/>
          <w:color w:val="auto"/>
          <w:highlight w:val="none"/>
          <w:u w:val="single" w:color="auto"/>
          <w:lang w:val="en-US" w:eastAsia="zh-CN"/>
        </w:rPr>
      </w:pPr>
      <w:r>
        <w:rPr>
          <w:rFonts w:hint="default" w:ascii="Times New Roman" w:hAnsi="Times New Roman" w:cs="Times New Roman"/>
          <w:color w:val="auto"/>
          <w:highlight w:val="none"/>
          <w:u w:val="single" w:color="auto"/>
          <w:lang w:val="en-US" w:eastAsia="zh-CN"/>
        </w:rPr>
        <w:object>
          <v:shape id="_x0000_i1028" o:spt="75" type="#_x0000_t75" style="height:207pt;width:371.25pt;" o:ole="t" filled="f" o:preferrelative="t" stroked="f" coordsize="21600,21600">
            <v:path/>
            <v:fill on="f" focussize="0,0"/>
            <v:stroke on="f"/>
            <v:imagedata r:id="rId22" o:title=""/>
            <o:lock v:ext="edit" aspectratio="f"/>
            <w10:wrap type="none"/>
            <w10:anchorlock/>
          </v:shape>
          <o:OLEObject Type="Embed" ProgID="Visio.Drawing.15" ShapeID="_x0000_i1028" DrawAspect="Content" ObjectID="_1468075728" r:id="rId21">
            <o:LockedField>false</o:LockedField>
          </o:OLEObject>
        </w:object>
      </w:r>
    </w:p>
    <w:p w14:paraId="7E55AD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1"/>
          <w:highlight w:val="none"/>
          <w:u w:val="single" w:color="auto"/>
          <w:lang w:val="en-US"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图4.1-2 机加工工艺流程图</w:t>
      </w:r>
    </w:p>
    <w:p w14:paraId="2938012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single" w:color="auto"/>
          <w:lang w:val="en-US"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4.1.2.2 镀超硬材料工艺流程</w:t>
      </w:r>
    </w:p>
    <w:p w14:paraId="109C2F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（1）装夹、除油、水洗</w:t>
      </w:r>
    </w:p>
    <w:p w14:paraId="726469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用专用夹具将钢基体装夹好露出需电镀的工作面，本项目采用超声波除油，在除油槽液中设置超声波发生器震源，利用超声波产生的"空化"效应从而强化除油过程。除油槽槽液由碳酸钠、磷酸三钠、氢氧化钠与纯水站浓排水直接配制而成，槽液中碳酸钠含量为20～30 g/L、磷酸三钠含量为10～30 g/L、氢氧化钠含量为10～20 g/L（电间接加热至80℃，操作时间30min），除油槽配套设置油水分离器，除油槽槽液无需更换，定期补充槽液和纯水站浓排水即可，除油槽清渣每月清理一次（沉渣自然沉降后倒出上清液）。除油工序产生的污染物主要为含油槽渣。</w:t>
      </w:r>
    </w:p>
    <w:p w14:paraId="0CBCD0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除油后的工件采用纯水常温三级逆流清洗，以除去工件表面的除油剂，该工序产生含油废水。</w:t>
      </w:r>
    </w:p>
    <w:p w14:paraId="1F94E1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（2）活化及水洗</w:t>
      </w:r>
    </w:p>
    <w:p w14:paraId="2B88C9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铁质基体经除油清水清洗后，表面还残留有氧化皮及加工硬化层，若不去除影响后续镍镀层与基体的结合力。本项目采用阳极电化学，以石墨作为阳极，活化活化液采用低浓度的盐酸、硫酸，槽液成分为100~150me/L盐酸和50~100me/L的硫酸，阳极电流密度1～2.5A/(dm2)，常温，操作时间20s。活化槽槽液无需更换，定期补充槽液和水即可，活化槽清渣每月清理一次（沉渣自然沉降后倒出上清液）。活化工序产生的污染物主要为含铁槽渣和酸雾。</w:t>
      </w:r>
    </w:p>
    <w:p w14:paraId="28AF34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活化完成后采用纯水常温三级逆流漂洗，产生酸性废水。</w:t>
      </w:r>
    </w:p>
    <w:p w14:paraId="3463B3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（3）预镀镍</w:t>
      </w:r>
    </w:p>
    <w:p w14:paraId="04E373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预镀镍是为了更好的保证镀层与基本的良好结合力，是多层镍系统电镀中的底层，预镀镍层与电镀镍层电位差达120-145MV，耐蚀性极好。</w:t>
      </w:r>
    </w:p>
    <w:p w14:paraId="0AB91C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本项目预镀镍以镍板作为阳极，电镀液成分为氯化镍30~60g/L、硫酸镍180~250g/L、硼酸30-40g/L；预镀镍控制条件为：pH 值3～5、温度45～60℃、阴极电流密度1～2.5A/(dm2)、操作时间20min、镀层厚度5~10微米。</w:t>
      </w:r>
    </w:p>
    <w:p w14:paraId="4225AC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预镀镍槽配套有副槽，副槽内设置过滤机（内置过滤棉），镀液经副槽过滤后返回镀槽，槽液无需更换（定期更换镍板），镀液使用三个月后经活性炭在副槽内经过滤处理后返回镀槽。该工序产生的污染物主要为含镍槽渣及过滤棉滤袋清洗产生的含镍废水，该部分废水直接进入废水处理站。</w:t>
      </w:r>
    </w:p>
    <w:p w14:paraId="7B93F8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（4）镀超硬材料（光亮镍镀金刚石）</w:t>
      </w:r>
    </w:p>
    <w:p w14:paraId="0BFA68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根据金刚石粒度不同设置不同的镀砂槽，工件根据需要进入特定的镀砂槽。本项目镀超硬材料以镍板作为阳极，镀金刚石槽内镀液镀液成分为氯化镍30~60g/L、硫酸镍180~250g/L、硼酸30-40g/L，金刚石颗粒沉于槽底，搅拌装置开启进行镀砂工序，金刚石即附着于工件之上，镀金刚石控制条件为：pH值3～5、温度45～60℃、阴极电流密度1～6A/(dm2)、操作时间60~360min、镀镍层厚度16~600微米（等同于镀金刚石厚度）。</w:t>
      </w:r>
    </w:p>
    <w:p w14:paraId="007304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镀金刚石槽配有副槽，副槽内设置过滤机（内置过滤棉），镀液经副槽过滤后返回镀槽，槽液无需更换（定期更换镍板），镀液使用三个月后经活性炭在副槽内经过滤处理后返回镀槽。该工序产生的污染物主要为含镍槽渣及过滤棉滤袋清洗产生的含镍废水，该部分废水直接进入废水处理站。</w:t>
      </w:r>
    </w:p>
    <w:p w14:paraId="7EE0E7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镀超硬材料后采用纯水常温单槽清洗，水洗产生的含镍废水部分直接回用于部分直接回用于渡槽，部分直接进入废水处理站。</w:t>
      </w:r>
    </w:p>
    <w:p w14:paraId="62A7E2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（5）烘干、精加工、检验</w:t>
      </w:r>
    </w:p>
    <w:p w14:paraId="6FB4DF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本项目采用烘箱进行烘干，烘干后的工件经投影检验合格后入库（或转入装饰镀）。</w:t>
      </w:r>
    </w:p>
    <w:p w14:paraId="4910B5E4">
      <w:pPr>
        <w:pStyle w:val="10"/>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highlight w:val="none"/>
          <w:u w:val="single" w:color="auto"/>
          <w:lang w:val="en-US" w:eastAsia="zh-CN"/>
        </w:rPr>
      </w:pPr>
      <w:r>
        <w:rPr>
          <w:rFonts w:hint="default" w:ascii="Times New Roman" w:hAnsi="Times New Roman" w:cs="Times New Roman"/>
          <w:b/>
          <w:bCs/>
          <w:color w:val="auto"/>
          <w:kern w:val="2"/>
          <w:sz w:val="24"/>
          <w:szCs w:val="21"/>
          <w:highlight w:val="none"/>
          <w:u w:val="single" w:color="auto"/>
          <w:lang w:val="en-US" w:eastAsia="zh-CN" w:bidi="ar-SA"/>
        </w:rPr>
        <w:t>工艺流程图如下：</w:t>
      </w:r>
    </w:p>
    <w:p w14:paraId="52163816">
      <w:pPr>
        <w:pStyle w:val="10"/>
        <w:spacing w:line="240" w:lineRule="auto"/>
        <w:jc w:val="center"/>
        <w:rPr>
          <w:rFonts w:hint="default" w:ascii="Times New Roman" w:hAnsi="Times New Roman" w:cs="Times New Roman"/>
          <w:color w:val="auto"/>
          <w:highlight w:val="none"/>
          <w:u w:val="single" w:color="auto"/>
          <w:lang w:val="en-US" w:eastAsia="zh-CN"/>
        </w:rPr>
      </w:pPr>
      <w:r>
        <w:rPr>
          <w:rFonts w:hint="default" w:ascii="Times New Roman" w:hAnsi="Times New Roman" w:cs="Times New Roman"/>
          <w:color w:val="auto"/>
          <w:highlight w:val="none"/>
          <w:u w:val="single" w:color="auto"/>
          <w:lang w:val="en-US" w:eastAsia="zh-CN"/>
        </w:rPr>
        <w:object>
          <v:shape id="_x0000_i1029" o:spt="75" type="#_x0000_t75" style="height:418.1pt;width:269.2pt;" o:ole="t" filled="f" o:preferrelative="t" stroked="f" coordsize="21600,21600">
            <v:path/>
            <v:fill on="f" focussize="0,0"/>
            <v:stroke on="f"/>
            <v:imagedata r:id="rId24" o:title=""/>
            <o:lock v:ext="edit" aspectratio="f"/>
            <w10:wrap type="none"/>
            <w10:anchorlock/>
          </v:shape>
          <o:OLEObject Type="Embed" ProgID="Visio.Drawing.15" ShapeID="_x0000_i1029" DrawAspect="Content" ObjectID="_1468075729" r:id="rId23">
            <o:LockedField>false</o:LockedField>
          </o:OLEObject>
        </w:object>
      </w:r>
    </w:p>
    <w:p w14:paraId="7DBBDD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1"/>
          <w:highlight w:val="none"/>
          <w:u w:val="single" w:color="auto"/>
          <w:lang w:val="en-US"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图4.1-3 镀超硬材料工艺流程图</w:t>
      </w:r>
    </w:p>
    <w:p w14:paraId="76C6EF4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single" w:color="auto"/>
          <w:lang w:val="en-US"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4.1.2.2 装饰镀生产工艺</w:t>
      </w:r>
    </w:p>
    <w:p w14:paraId="658D3B0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1"/>
          <w:highlight w:val="none"/>
          <w:u w:val="single" w:color="auto"/>
          <w:lang w:val="en-US"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工艺描述：</w:t>
      </w:r>
    </w:p>
    <w:p w14:paraId="0C2DDD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（1）除油</w:t>
      </w:r>
    </w:p>
    <w:p w14:paraId="1B61E3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将已镀好超硬材料或未镀超硬材料的钢基体除油，本项目采用超声波除油，在除油槽液中设置超声波发生器震源，利用超声波产生的"空化"效应从而强化除油过程。除油槽槽液由碳酸钠、磷酸三钠、氢氧化钠与自来水直接配制而成，槽液中碳酸钠含量为20～30 g/L、磷酸三钠含量为10～30 g/L、氢氧化钠含量为10～20 g/L（电间接加热至80℃，操作时间30min），除油槽配套设置油水分离器，除油槽槽液无需更换，定期补充槽液和水即可，除油槽清渣每月清理一次（沉渣自然沉降后倒出上清液）。除油工序产生的污染物主要为含油槽渣。</w:t>
      </w:r>
    </w:p>
    <w:p w14:paraId="35463F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除油后的工件采用纯水常温三级逆流清洗，以除去工件表面的除油剂，该工序产生含油废水。</w:t>
      </w:r>
    </w:p>
    <w:p w14:paraId="72E0FF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（2）酸洗及水洗</w:t>
      </w:r>
    </w:p>
    <w:p w14:paraId="5C733A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基体经除油清水清洗后，表面还残留有氧化皮及加工硬化层，若不去除影响后续镍镀层与基体的结合力。本项目采用酸低浓度的盐酸、硫酸进行酸浸蚀，槽液成分为250me/L的盐酸50~100me/L的硫酸，常温，操作时间0.5~1.5分钟，酸洗槽槽内无需更换，定期补充槽液和水即可，酸洗槽槽渣每月清理一次（沉渣自然沉降后倒出上清液）。酸洗工序生产的污染物主要为含铁槽渣和酸雾。</w:t>
      </w:r>
    </w:p>
    <w:p w14:paraId="18CAAC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活化完成后采用纯水常温三级逆流漂洗，产生酸性废水。</w:t>
      </w:r>
    </w:p>
    <w:p w14:paraId="71F3B5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（3）酸性镀铜</w:t>
      </w:r>
    </w:p>
    <w:p w14:paraId="1DF79C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为了增加基体的防蚀能力，增加后续镍镀层的亮度，降低镀槽成本，在光亮镍镀前加一道镀铜底层。本项目镀镍线采用无氰酸性镀铜工艺，以铜板作为阳极，电镀成分为：硫酸铜150~200g/L，硫酸40~60me/L，温度：20~35℃，阳极电流密度1~2A/dm</w:t>
      </w:r>
      <w:r>
        <w:rPr>
          <w:rFonts w:hint="default" w:ascii="Times New Roman" w:hAnsi="Times New Roman" w:eastAsia="宋体" w:cs="Times New Roman"/>
          <w:color w:val="auto"/>
          <w:kern w:val="2"/>
          <w:sz w:val="24"/>
          <w:szCs w:val="21"/>
          <w:highlight w:val="none"/>
          <w:u w:val="single" w:color="auto"/>
          <w:vertAlign w:val="superscript"/>
          <w:lang w:val="en-US" w:eastAsia="zh-CN" w:bidi="ar-SA"/>
        </w:rPr>
        <w:t>2</w:t>
      </w:r>
      <w:r>
        <w:rPr>
          <w:rFonts w:hint="default" w:ascii="Times New Roman" w:hAnsi="Times New Roman" w:eastAsia="宋体" w:cs="Times New Roman"/>
          <w:color w:val="auto"/>
          <w:kern w:val="2"/>
          <w:sz w:val="24"/>
          <w:szCs w:val="21"/>
          <w:highlight w:val="none"/>
          <w:u w:val="single" w:color="auto"/>
          <w:lang w:val="en-US" w:eastAsia="zh-CN" w:bidi="ar-SA"/>
        </w:rPr>
        <w:t>，时间20~30min，镀层厚度5~10微米。</w:t>
      </w:r>
    </w:p>
    <w:p w14:paraId="48AD7A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酸性镀铜槽配套有副槽，副槽内设置过滤机（内置过滤棉），镀液经副槽过滤后返回镀槽，槽液无需更换（定期更换铜板），镀液使用三个月后经活性炭在副槽内经过滤处理后返回镀槽。该工序产生的污染物主要为含铜槽渣及过滤棉滤袋清洗产生的含铜废水，该部分废水直接进入废水处理站。</w:t>
      </w:r>
    </w:p>
    <w:p w14:paraId="4562A6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镀铜后采用纯水三级常温逆流漂洗，该工序产生的含铜废水部分直接回用酸性镀铜工序，部分直接进入废水处理站。</w:t>
      </w:r>
    </w:p>
    <w:p w14:paraId="607C60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（4）光亮镀镍</w:t>
      </w:r>
    </w:p>
    <w:p w14:paraId="4AFC75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本项目光亮镀镍以镍板作为阳极，电镀液成分为：氯化镍30~60g/L，硫酸镍200~300g/L，硼酸40~50g/L，光亮镀镍控制条件为：pH值3~5，温度45~60℃，阳极电流密度1~2.5A/dm</w:t>
      </w:r>
      <w:r>
        <w:rPr>
          <w:rFonts w:hint="default" w:ascii="Times New Roman" w:hAnsi="Times New Roman" w:eastAsia="宋体" w:cs="Times New Roman"/>
          <w:color w:val="auto"/>
          <w:kern w:val="2"/>
          <w:sz w:val="24"/>
          <w:szCs w:val="21"/>
          <w:highlight w:val="none"/>
          <w:u w:val="single" w:color="auto"/>
          <w:vertAlign w:val="superscript"/>
          <w:lang w:val="en-US" w:eastAsia="zh-CN" w:bidi="ar-SA"/>
        </w:rPr>
        <w:t>2</w:t>
      </w:r>
      <w:r>
        <w:rPr>
          <w:rFonts w:hint="default" w:ascii="Times New Roman" w:hAnsi="Times New Roman" w:eastAsia="宋体" w:cs="Times New Roman"/>
          <w:color w:val="auto"/>
          <w:kern w:val="2"/>
          <w:sz w:val="24"/>
          <w:szCs w:val="21"/>
          <w:highlight w:val="none"/>
          <w:u w:val="single" w:color="auto"/>
          <w:lang w:val="en-US" w:eastAsia="zh-CN" w:bidi="ar-SA"/>
        </w:rPr>
        <w:t>，工作时间10~40min，镀层厚度2~10微米。</w:t>
      </w:r>
    </w:p>
    <w:p w14:paraId="547847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光亮镍镀槽配套有副槽，副槽内设置过滤机（内置过滤棉），镀液经副槽过滤后返回镀槽，槽液无需更换（定期更换镍板），镀液使用三个月后经活性炭在副槽内经过滤处理后返回镀槽。该工序产生的污染物主要为含镍槽渣及过滤棉滤袋清洗产生的含镍废水，该部分废水直接进入废水处理站。</w:t>
      </w:r>
    </w:p>
    <w:p w14:paraId="7A45D2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镀镍后采用纯水三级常温逆流漂洗，水洗产生的含镍废水部分直接回用于光亮镀镍工序，部分直接进入废水处理站。</w:t>
      </w:r>
    </w:p>
    <w:p w14:paraId="7BF1AD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（5）烘干、检验入库</w:t>
      </w:r>
    </w:p>
    <w:p w14:paraId="580C88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本项目采用烘箱进行烘干，烘干后的工件经投影检验合格后入库（或转入镀超硬材料工序）。</w:t>
      </w:r>
    </w:p>
    <w:p w14:paraId="25E67D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object>
          <v:shape id="_x0000_i1030" o:spt="75" type="#_x0000_t75" style="height:491.35pt;width:283.45pt;" o:ole="t" filled="f" o:preferrelative="t" stroked="f" coordsize="21600,21600">
            <v:path/>
            <v:fill on="f" focussize="0,0"/>
            <v:stroke on="f"/>
            <v:imagedata r:id="rId26" o:title=""/>
            <o:lock v:ext="edit" aspectratio="f"/>
            <w10:wrap type="none"/>
            <w10:anchorlock/>
          </v:shape>
          <o:OLEObject Type="Embed" ProgID="Visio.Drawing.15" ShapeID="_x0000_i1030" DrawAspect="Content" ObjectID="_1468075730" r:id="rId25">
            <o:LockedField>false</o:LockedField>
          </o:OLEObject>
        </w:object>
      </w:r>
    </w:p>
    <w:p w14:paraId="61B983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1"/>
          <w:highlight w:val="none"/>
          <w:u w:val="single" w:color="auto"/>
          <w:lang w:val="en-US"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图4.1-4 装饰镀生产工艺流程图</w:t>
      </w:r>
    </w:p>
    <w:p w14:paraId="7CB321A7">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4.1.3 烧结超硬材料制品生产线</w:t>
      </w:r>
    </w:p>
    <w:p w14:paraId="3F60A71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工艺描述：</w:t>
      </w:r>
    </w:p>
    <w:p w14:paraId="00C7D0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（1）下料、粗车、精车</w:t>
      </w:r>
    </w:p>
    <w:p w14:paraId="3F7428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按工艺图纸要求，把外购的铝坯，再用数控车床加工成图纸要求的形状的铝基体，本项目机加工过程需用切削液对工件进行冷却和润滑，切削液与水混合比例为1：20。</w:t>
      </w:r>
      <w:r>
        <w:rPr>
          <w:rFonts w:hint="default" w:ascii="Times New Roman" w:hAnsi="Times New Roman" w:eastAsia="宋体" w:cs="Times New Roman"/>
          <w:color w:val="auto"/>
          <w:sz w:val="24"/>
          <w:szCs w:val="24"/>
          <w:highlight w:val="none"/>
          <w:u w:val="none" w:color="auto"/>
          <w:lang w:val="en-US" w:eastAsia="zh-CN"/>
        </w:rPr>
        <w:t>切削液循环使用，定期补充，约半年清理一次。该工序产生的污染物主要有粉尘、金属边角料、废切削液。</w:t>
      </w:r>
    </w:p>
    <w:p w14:paraId="3EE38A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（2）装模压制</w:t>
      </w:r>
    </w:p>
    <w:p w14:paraId="7275B616">
      <w:pPr>
        <w:pStyle w:val="38"/>
        <w:spacing w:line="360" w:lineRule="auto"/>
        <w:ind w:firstLine="482"/>
        <w:rPr>
          <w:rFonts w:hint="default" w:ascii="Times New Roman" w:hAnsi="Times New Roman" w:cs="Times New Roman"/>
          <w:b/>
          <w:color w:val="auto"/>
          <w:sz w:val="24"/>
          <w:szCs w:val="24"/>
          <w:highlight w:val="none"/>
          <w:u w:val="none" w:color="auto"/>
          <w:lang w:val="en-US"/>
        </w:rPr>
      </w:pPr>
      <w:r>
        <w:rPr>
          <w:rFonts w:hint="default" w:ascii="Times New Roman" w:hAnsi="Times New Roman" w:eastAsia="宋体" w:cs="Times New Roman"/>
          <w:color w:val="auto"/>
          <w:kern w:val="2"/>
          <w:sz w:val="24"/>
          <w:szCs w:val="21"/>
          <w:highlight w:val="none"/>
          <w:u w:val="none" w:color="auto"/>
          <w:lang w:val="en-US" w:eastAsia="zh-CN" w:bidi="ar-SA"/>
        </w:rPr>
        <w:t>把加工好的铝基体装入专用磨具内，在磨具外框与铝基体的空隙内倒入混有超硬材料的树脂粉/金属粉/陶瓷粉，根据工艺需求采用冷压（金属粉/陶瓷粉）或者热压（酚醛树脂粉）的方式，把混有超硬材料（立方氮化硼/金刚石）的树脂粉/金属粉（铜粉、锡粉、镍粉）/陶瓷粉压制在铝基体上，压制时间小于1h。其中冷压是冷压是指颗粒组成的松散粉末在室温下在一定压力以及器械下压制成具有一定形状、尺寸、强度、密度的坯体；热压是粉末或粉末压坯在一定的外界条件下和低于主要组元熔点的温度下，所发生粉末颗粒表面减少、空隙体积降低的过程，热压的结果是颗粒之间相互粘结，热压体的强度和密度都有所提高；本项目热压加热过程完全密闭，热压温度为150~200℃，热压工序会产生少量的热压废气</w:t>
      </w:r>
      <w:r>
        <w:rPr>
          <w:rFonts w:hint="default" w:ascii="Times New Roman" w:hAnsi="Times New Roman" w:eastAsia="宋体" w:cs="Times New Roman"/>
          <w:color w:val="auto"/>
          <w:kern w:val="2"/>
          <w:sz w:val="24"/>
          <w:szCs w:val="24"/>
          <w:highlight w:val="none"/>
          <w:u w:val="none" w:color="auto"/>
          <w:lang w:val="en-US" w:eastAsia="zh-CN" w:bidi="ar-SA"/>
        </w:rPr>
        <w:t>（</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kern w:val="2"/>
          <w:sz w:val="24"/>
          <w:szCs w:val="24"/>
          <w:highlight w:val="none"/>
          <w:u w:val="none" w:color="auto"/>
          <w:lang w:val="en-US" w:eastAsia="zh-CN" w:bidi="ar-SA"/>
        </w:rPr>
        <w:t>）</w:t>
      </w:r>
      <w:r>
        <w:rPr>
          <w:rFonts w:hint="default" w:ascii="Times New Roman" w:hAnsi="Times New Roman" w:eastAsia="宋体" w:cs="Times New Roman"/>
          <w:color w:val="auto"/>
          <w:kern w:val="2"/>
          <w:sz w:val="24"/>
          <w:szCs w:val="21"/>
          <w:highlight w:val="none"/>
          <w:u w:val="none" w:color="auto"/>
          <w:lang w:val="en-US" w:eastAsia="zh-CN" w:bidi="ar-SA"/>
        </w:rPr>
        <w:t>。</w:t>
      </w:r>
    </w:p>
    <w:p w14:paraId="2BB420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（3）脱模</w:t>
      </w:r>
    </w:p>
    <w:p w14:paraId="0E0A33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混有超硬材料的树脂粉/金属粉/陶瓷粉经压制与铝基体成一定形状后将专用模具拆卸，得到超硬材料制品初坯。</w:t>
      </w:r>
    </w:p>
    <w:p w14:paraId="7D2A49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（4）烧结</w:t>
      </w:r>
    </w:p>
    <w:p w14:paraId="0CE744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根据工艺需求，树脂超硬材料制品初坯放入烘箱，在150~200℃下烧结2~5h，</w:t>
      </w:r>
      <w:r>
        <w:rPr>
          <w:rFonts w:hint="eastAsia" w:ascii="Times New Roman" w:hAnsi="Times New Roman" w:eastAsia="宋体" w:cs="Times New Roman"/>
          <w:color w:val="auto"/>
          <w:kern w:val="2"/>
          <w:sz w:val="24"/>
          <w:szCs w:val="21"/>
          <w:highlight w:val="none"/>
          <w:u w:val="none" w:color="auto"/>
          <w:lang w:val="en-US" w:eastAsia="zh-CN" w:bidi="ar-SA"/>
        </w:rPr>
        <w:t>采用水直接冷却</w:t>
      </w:r>
      <w:r>
        <w:rPr>
          <w:rFonts w:hint="default" w:ascii="Times New Roman" w:hAnsi="Times New Roman" w:eastAsia="宋体" w:cs="Times New Roman"/>
          <w:color w:val="auto"/>
          <w:kern w:val="2"/>
          <w:sz w:val="24"/>
          <w:szCs w:val="21"/>
          <w:highlight w:val="none"/>
          <w:u w:val="none" w:color="auto"/>
          <w:lang w:val="en-US" w:eastAsia="zh-CN" w:bidi="ar-SA"/>
        </w:rPr>
        <w:t>后即得到超硬材料制品半成品，</w:t>
      </w:r>
      <w:r>
        <w:rPr>
          <w:rFonts w:hint="eastAsia" w:ascii="Times New Roman" w:hAnsi="Times New Roman" w:eastAsia="宋体" w:cs="Times New Roman"/>
          <w:color w:val="auto"/>
          <w:kern w:val="2"/>
          <w:sz w:val="24"/>
          <w:szCs w:val="21"/>
          <w:highlight w:val="none"/>
          <w:u w:val="none" w:color="auto"/>
          <w:lang w:val="en-US" w:eastAsia="zh-CN" w:bidi="ar-SA"/>
        </w:rPr>
        <w:t>冷却后的产品自然晾干，</w:t>
      </w:r>
      <w:r>
        <w:rPr>
          <w:rFonts w:hint="default" w:ascii="Times New Roman" w:hAnsi="Times New Roman" w:eastAsia="宋体" w:cs="Times New Roman"/>
          <w:color w:val="auto"/>
          <w:kern w:val="2"/>
          <w:sz w:val="24"/>
          <w:szCs w:val="21"/>
          <w:highlight w:val="none"/>
          <w:u w:val="none" w:color="auto"/>
          <w:lang w:val="en-US" w:eastAsia="zh-CN" w:bidi="ar-SA"/>
        </w:rPr>
        <w:t>该过程会产生少量的烧结废气（非甲烷总烃）；金属/陶瓷超硬材料制品初坯则放入钟罩炉，在500~850℃下烧结2~5h，该过程为密闭状态，项目热压温度约为500~850℃，低于金属合金的沸点，因此锡、镍、铜等金属基本不会升华成气体溢出</w:t>
      </w:r>
      <w:r>
        <w:rPr>
          <w:rFonts w:hint="eastAsia" w:ascii="Times New Roman" w:hAnsi="Times New Roman" w:eastAsia="宋体" w:cs="Times New Roman"/>
          <w:color w:val="auto"/>
          <w:kern w:val="2"/>
          <w:sz w:val="24"/>
          <w:szCs w:val="21"/>
          <w:highlight w:val="none"/>
          <w:u w:val="none" w:color="auto"/>
          <w:lang w:val="en-US" w:eastAsia="zh-CN" w:bidi="ar-SA"/>
        </w:rPr>
        <w:t>，烧结后的制品采用水直接冷却后</w:t>
      </w:r>
      <w:r>
        <w:rPr>
          <w:rFonts w:hint="default" w:ascii="Times New Roman" w:hAnsi="Times New Roman" w:eastAsia="宋体" w:cs="Times New Roman"/>
          <w:color w:val="auto"/>
          <w:kern w:val="2"/>
          <w:sz w:val="24"/>
          <w:szCs w:val="21"/>
          <w:highlight w:val="none"/>
          <w:u w:val="none" w:color="auto"/>
          <w:lang w:val="en-US" w:eastAsia="zh-CN" w:bidi="ar-SA"/>
        </w:rPr>
        <w:t>即得到超硬材料制品半成品，</w:t>
      </w:r>
      <w:r>
        <w:rPr>
          <w:rFonts w:hint="eastAsia" w:ascii="Times New Roman" w:hAnsi="Times New Roman" w:eastAsia="宋体" w:cs="Times New Roman"/>
          <w:color w:val="auto"/>
          <w:kern w:val="2"/>
          <w:sz w:val="24"/>
          <w:szCs w:val="21"/>
          <w:highlight w:val="none"/>
          <w:u w:val="none" w:color="auto"/>
          <w:lang w:val="en-US" w:eastAsia="zh-CN" w:bidi="ar-SA"/>
        </w:rPr>
        <w:t>冷却后的产品自然晾干。</w:t>
      </w:r>
    </w:p>
    <w:p w14:paraId="526376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（5）精加工、检验入库</w:t>
      </w:r>
    </w:p>
    <w:p w14:paraId="254D0B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超硬材料制品半成品经过后续车、磨、电火花等多道工序加工后成为符合客户使用要求超硬材料制品，根据客户图纸要求，按企业标准或国家标准经检验合格后包装入库。</w:t>
      </w:r>
    </w:p>
    <w:p w14:paraId="5FF2B0EE">
      <w:pPr>
        <w:pStyle w:val="1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object>
          <v:shape id="_x0000_i1031" o:spt="75" type="#_x0000_t75" style="height:444.75pt;width:406.5pt;" o:ole="t" filled="f" o:preferrelative="t" stroked="f" coordsize="21600,21600">
            <v:path/>
            <v:fill on="f" focussize="0,0"/>
            <v:stroke on="f"/>
            <v:imagedata r:id="rId28" o:title=""/>
            <o:lock v:ext="edit" aspectratio="f"/>
            <w10:wrap type="none"/>
            <w10:anchorlock/>
          </v:shape>
          <o:OLEObject Type="Embed" ProgID="Visio.Drawing.15" ShapeID="_x0000_i1031" DrawAspect="Content" ObjectID="_1468075731" r:id="rId27">
            <o:LockedField>false</o:LockedField>
          </o:OLEObject>
        </w:object>
      </w:r>
    </w:p>
    <w:p w14:paraId="3DA308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图4.1-5 烧结超硬材料制品工艺流程图</w:t>
      </w:r>
    </w:p>
    <w:p w14:paraId="27F628BA">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4.1.4 退镀</w:t>
      </w:r>
      <w:r>
        <w:rPr>
          <w:rFonts w:hint="eastAsia" w:ascii="Times New Roman" w:hAnsi="Times New Roman" w:eastAsia="宋体" w:cs="Times New Roman"/>
          <w:color w:val="auto"/>
          <w:sz w:val="24"/>
          <w:szCs w:val="24"/>
          <w:highlight w:val="none"/>
          <w:u w:val="none" w:color="auto"/>
          <w:lang w:val="en-US" w:eastAsia="zh-CN"/>
        </w:rPr>
        <w:t>工序</w:t>
      </w:r>
    </w:p>
    <w:p w14:paraId="0940DE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本项目镀铜镀镍过程中不合格产品需要进行退镀，约占各种产品的0.5%，每栋厂房设置一个退镀区，退镀后的工件回到各电镀生产线重新进行电镀，直至镀层合格后外售。</w:t>
      </w:r>
    </w:p>
    <w:p w14:paraId="60B5B8D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退镀采用两种方法，部分对工件要求比较比较高的采用电化学退镀工艺，对工件要求不高的采用化学退镀，电化学退镀和化学退镀比约为1：10。镀件退镀前先进行除油，除油后采用三级逆流常温清洗，清洗后镀件进行退镀。不合格或返厂返修产品根据要求不同采取如下工艺：（1）电解退镀：采用镀件作为阳极，阳极电流密度5~10A/dm</w:t>
      </w:r>
      <w:r>
        <w:rPr>
          <w:rFonts w:hint="default" w:ascii="Times New Roman" w:hAnsi="Times New Roman" w:eastAsia="宋体" w:cs="Times New Roman"/>
          <w:color w:val="auto"/>
          <w:kern w:val="2"/>
          <w:sz w:val="24"/>
          <w:szCs w:val="21"/>
          <w:highlight w:val="none"/>
          <w:u w:val="single" w:color="auto"/>
          <w:vertAlign w:val="superscript"/>
          <w:lang w:val="en-US" w:eastAsia="zh-CN" w:bidi="ar-SA"/>
        </w:rPr>
        <w:t>2</w:t>
      </w:r>
      <w:r>
        <w:rPr>
          <w:rFonts w:hint="default" w:ascii="Times New Roman" w:hAnsi="Times New Roman" w:eastAsia="宋体" w:cs="Times New Roman"/>
          <w:color w:val="auto"/>
          <w:kern w:val="2"/>
          <w:sz w:val="24"/>
          <w:szCs w:val="21"/>
          <w:highlight w:val="none"/>
          <w:u w:val="single" w:color="auto"/>
          <w:lang w:val="en-US" w:eastAsia="zh-CN" w:bidi="ar-SA"/>
        </w:rPr>
        <w:t>，槽液为：酒石酸钾钠0~100g/L，温度：室温，时间：退净为止。主要用于高精度不合格产品退镀，如：金刚石磨头。（2）化学退镀：成品退镀粉200g/L，温度：80℃，时间：退净为止。主要用于不合格壁薄产品退镀，如：金刚石套刀。（3）化学退镀：硝酸500me/L，盐酸500me/L，温度：室温，时间：退净为止。主要用于不合格或返修大批量产品退镀，如：金刚石砂轮。</w:t>
      </w:r>
    </w:p>
    <w:p w14:paraId="4A00BFE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退镀液无需更换，退镀槽内定期补加溶质，镀液经副槽过滤后返回镀槽，镀液使用三个月后经活性炭在副槽内经过滤处理后返回镀槽，退镀后的工件采用三级逆流漂洗。退镀过程中污染物主要有退镀废气（氯化氢、氮氧化物）、退镀废水及退镀槽渣。</w:t>
      </w:r>
    </w:p>
    <w:p w14:paraId="53FFE806">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33" w:name="_Toc8241"/>
      <w:r>
        <w:rPr>
          <w:rFonts w:hint="default" w:ascii="Times New Roman" w:hAnsi="Times New Roman" w:eastAsia="宋体" w:cs="Times New Roman"/>
          <w:color w:val="auto"/>
          <w:sz w:val="28"/>
          <w:szCs w:val="28"/>
          <w:highlight w:val="none"/>
          <w:u w:val="none" w:color="auto"/>
          <w:lang w:val="en-US" w:eastAsia="zh-CN"/>
        </w:rPr>
        <w:t>4.2项目相关平衡</w:t>
      </w:r>
      <w:bookmarkEnd w:id="33"/>
    </w:p>
    <w:p w14:paraId="08D2D6CB">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4.2.1物料平衡</w:t>
      </w:r>
    </w:p>
    <w:p w14:paraId="129A9F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根据本项目生产线设置情况，本项目选取锌、镍、铜等计算整个项目的物料平衡。根据建设单位提供资料，由于浸锌属于化学镀，镀镍及镀铜均为电镀，所以镀锌效率远低于镀铜镀镍效率。</w:t>
      </w:r>
    </w:p>
    <w:p w14:paraId="3634AB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（1）锌平衡</w:t>
      </w:r>
    </w:p>
    <w:p w14:paraId="625E86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本项目浸锌镍工序主要涉及氧化锌、硫酸镍，生产过程中锌、镍部分被镀到产品表面，剩余部分主要进入废水及槽渣等，其中锌层占85%，锌层密度为7140kg/m</w:t>
      </w:r>
      <w:r>
        <w:rPr>
          <w:rFonts w:hint="default" w:ascii="Times New Roman" w:hAnsi="Times New Roman" w:eastAsia="宋体" w:cs="Times New Roman"/>
          <w:color w:val="auto"/>
          <w:kern w:val="2"/>
          <w:sz w:val="24"/>
          <w:szCs w:val="21"/>
          <w:highlight w:val="none"/>
          <w:u w:val="single" w:color="auto"/>
          <w:vertAlign w:val="superscript"/>
          <w:lang w:val="en-US" w:eastAsia="zh-CN" w:bidi="ar-SA"/>
        </w:rPr>
        <w:t>3</w:t>
      </w:r>
      <w:r>
        <w:rPr>
          <w:rFonts w:hint="default" w:ascii="Times New Roman" w:hAnsi="Times New Roman" w:eastAsia="宋体" w:cs="Times New Roman"/>
          <w:color w:val="auto"/>
          <w:kern w:val="2"/>
          <w:sz w:val="24"/>
          <w:szCs w:val="21"/>
          <w:highlight w:val="none"/>
          <w:u w:val="single" w:color="auto"/>
          <w:lang w:val="en-US" w:eastAsia="zh-CN" w:bidi="ar-SA"/>
        </w:rPr>
        <w:t>，本项目镀锌面积及镀层厚度、锌元素物料平衡详见下表：</w:t>
      </w:r>
    </w:p>
    <w:p w14:paraId="16EFC3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1"/>
          <w:szCs w:val="18"/>
          <w:highlight w:val="none"/>
          <w:u w:val="single" w:color="auto"/>
          <w:lang w:val="en-US" w:eastAsia="zh-CN" w:bidi="ar-SA"/>
        </w:rPr>
      </w:pPr>
      <w:r>
        <w:rPr>
          <w:rFonts w:hint="default" w:ascii="Times New Roman" w:hAnsi="Times New Roman" w:eastAsia="宋体" w:cs="Times New Roman"/>
          <w:b/>
          <w:bCs/>
          <w:color w:val="auto"/>
          <w:kern w:val="2"/>
          <w:sz w:val="21"/>
          <w:szCs w:val="18"/>
          <w:highlight w:val="none"/>
          <w:u w:val="single" w:color="auto"/>
          <w:lang w:val="en-US" w:eastAsia="zh-CN" w:bidi="ar-SA"/>
        </w:rPr>
        <w:t>表4.2-1 镀锌面积及镀层厚度</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0"/>
        <w:gridCol w:w="2841"/>
        <w:gridCol w:w="2841"/>
      </w:tblGrid>
      <w:tr w14:paraId="598EA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6" w:type="pct"/>
            <w:vAlign w:val="center"/>
          </w:tcPr>
          <w:p w14:paraId="7D95084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项目</w:t>
            </w:r>
          </w:p>
        </w:tc>
        <w:tc>
          <w:tcPr>
            <w:tcW w:w="1667" w:type="pct"/>
            <w:vAlign w:val="center"/>
          </w:tcPr>
          <w:p w14:paraId="6E5CB88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镀锌面积（m</w:t>
            </w:r>
            <w:r>
              <w:rPr>
                <w:rFonts w:hint="default" w:ascii="Times New Roman" w:hAnsi="Times New Roman" w:eastAsia="宋体" w:cs="Times New Roman"/>
                <w:color w:val="auto"/>
                <w:sz w:val="21"/>
                <w:szCs w:val="21"/>
                <w:highlight w:val="none"/>
                <w:u w:val="single" w:color="auto"/>
                <w:vertAlign w:val="superscript"/>
              </w:rPr>
              <w:t>2</w:t>
            </w:r>
            <w:r>
              <w:rPr>
                <w:rFonts w:hint="default" w:ascii="Times New Roman" w:hAnsi="Times New Roman" w:eastAsia="宋体" w:cs="Times New Roman"/>
                <w:color w:val="auto"/>
                <w:sz w:val="21"/>
                <w:szCs w:val="21"/>
                <w:highlight w:val="none"/>
                <w:u w:val="single" w:color="auto"/>
              </w:rPr>
              <w:t>/a）</w:t>
            </w:r>
          </w:p>
        </w:tc>
        <w:tc>
          <w:tcPr>
            <w:tcW w:w="1667" w:type="pct"/>
            <w:vAlign w:val="center"/>
          </w:tcPr>
          <w:p w14:paraId="5C07617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镀层厚度（μm）</w:t>
            </w:r>
          </w:p>
        </w:tc>
      </w:tr>
      <w:tr w14:paraId="289B2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6" w:type="pct"/>
            <w:vAlign w:val="center"/>
          </w:tcPr>
          <w:p w14:paraId="6A5DEDD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镀锌</w:t>
            </w:r>
          </w:p>
        </w:tc>
        <w:tc>
          <w:tcPr>
            <w:tcW w:w="1667" w:type="pct"/>
            <w:vAlign w:val="center"/>
          </w:tcPr>
          <w:p w14:paraId="3861ED2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30000</w:t>
            </w:r>
          </w:p>
        </w:tc>
        <w:tc>
          <w:tcPr>
            <w:tcW w:w="1667" w:type="pct"/>
            <w:vAlign w:val="center"/>
          </w:tcPr>
          <w:p w14:paraId="3B7920F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w:t>
            </w:r>
          </w:p>
        </w:tc>
      </w:tr>
    </w:tbl>
    <w:p w14:paraId="2DBE58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1"/>
          <w:szCs w:val="18"/>
          <w:highlight w:val="none"/>
          <w:u w:val="single" w:color="auto"/>
          <w:lang w:val="en-US" w:eastAsia="zh-CN" w:bidi="ar-SA"/>
        </w:rPr>
      </w:pPr>
      <w:r>
        <w:rPr>
          <w:rFonts w:hint="default" w:ascii="Times New Roman" w:hAnsi="Times New Roman" w:eastAsia="宋体" w:cs="Times New Roman"/>
          <w:b/>
          <w:bCs/>
          <w:color w:val="auto"/>
          <w:kern w:val="2"/>
          <w:sz w:val="21"/>
          <w:szCs w:val="18"/>
          <w:highlight w:val="none"/>
          <w:u w:val="single" w:color="auto"/>
          <w:lang w:val="en-US" w:eastAsia="zh-CN" w:bidi="ar-SA"/>
        </w:rPr>
        <w:t>表4.2-2锌平衡</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3"/>
        <w:gridCol w:w="1133"/>
        <w:gridCol w:w="1133"/>
        <w:gridCol w:w="992"/>
        <w:gridCol w:w="1839"/>
        <w:gridCol w:w="1275"/>
        <w:gridCol w:w="1047"/>
      </w:tblGrid>
      <w:tr w14:paraId="1AC7C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59" w:type="pct"/>
            <w:gridSpan w:val="4"/>
            <w:vAlign w:val="center"/>
          </w:tcPr>
          <w:p w14:paraId="44A00AD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输入</w:t>
            </w:r>
          </w:p>
        </w:tc>
        <w:tc>
          <w:tcPr>
            <w:tcW w:w="2441" w:type="pct"/>
            <w:gridSpan w:val="3"/>
            <w:vAlign w:val="center"/>
          </w:tcPr>
          <w:p w14:paraId="4C0E930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输出</w:t>
            </w:r>
          </w:p>
        </w:tc>
      </w:tr>
      <w:tr w14:paraId="23B2F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pct"/>
            <w:vAlign w:val="center"/>
          </w:tcPr>
          <w:p w14:paraId="55ED203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来源</w:t>
            </w:r>
          </w:p>
        </w:tc>
        <w:tc>
          <w:tcPr>
            <w:tcW w:w="665" w:type="pct"/>
            <w:vAlign w:val="center"/>
          </w:tcPr>
          <w:p w14:paraId="344A614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原料用量</w:t>
            </w:r>
          </w:p>
          <w:p w14:paraId="2E2B826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665" w:type="pct"/>
            <w:vAlign w:val="center"/>
          </w:tcPr>
          <w:p w14:paraId="15ABFD3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含锌量</w:t>
            </w:r>
          </w:p>
          <w:p w14:paraId="0595C6D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582" w:type="pct"/>
            <w:vAlign w:val="center"/>
          </w:tcPr>
          <w:p w14:paraId="1FDD919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锌含量</w:t>
            </w:r>
          </w:p>
          <w:p w14:paraId="210DA4B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w:t>
            </w:r>
          </w:p>
        </w:tc>
        <w:tc>
          <w:tcPr>
            <w:tcW w:w="1079" w:type="pct"/>
            <w:vAlign w:val="center"/>
          </w:tcPr>
          <w:p w14:paraId="1AC693A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去向</w:t>
            </w:r>
          </w:p>
        </w:tc>
        <w:tc>
          <w:tcPr>
            <w:tcW w:w="748" w:type="pct"/>
            <w:vAlign w:val="center"/>
          </w:tcPr>
          <w:p w14:paraId="3C9E4BF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含锌量</w:t>
            </w:r>
          </w:p>
          <w:p w14:paraId="768B018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614" w:type="pct"/>
            <w:vAlign w:val="center"/>
          </w:tcPr>
          <w:p w14:paraId="09942E0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占比</w:t>
            </w:r>
          </w:p>
          <w:p w14:paraId="0428188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w:t>
            </w:r>
          </w:p>
        </w:tc>
      </w:tr>
      <w:tr w14:paraId="15571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pct"/>
            <w:vAlign w:val="center"/>
          </w:tcPr>
          <w:p w14:paraId="48076BD5">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氧化锌</w:t>
            </w:r>
          </w:p>
        </w:tc>
        <w:tc>
          <w:tcPr>
            <w:tcW w:w="665" w:type="pct"/>
            <w:vAlign w:val="center"/>
          </w:tcPr>
          <w:p w14:paraId="6D714FD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665" w:type="pct"/>
            <w:vAlign w:val="center"/>
          </w:tcPr>
          <w:p w14:paraId="755FBB3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1.6</w:t>
            </w:r>
          </w:p>
        </w:tc>
        <w:tc>
          <w:tcPr>
            <w:tcW w:w="582" w:type="pct"/>
            <w:vAlign w:val="center"/>
          </w:tcPr>
          <w:p w14:paraId="69DB8D0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80</w:t>
            </w:r>
          </w:p>
        </w:tc>
        <w:tc>
          <w:tcPr>
            <w:tcW w:w="1079" w:type="pct"/>
            <w:vAlign w:val="center"/>
          </w:tcPr>
          <w:p w14:paraId="53CA787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镀件镀层</w:t>
            </w:r>
          </w:p>
        </w:tc>
        <w:tc>
          <w:tcPr>
            <w:tcW w:w="748" w:type="pct"/>
            <w:vAlign w:val="center"/>
          </w:tcPr>
          <w:p w14:paraId="2C339D2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0.4384</w:t>
            </w:r>
          </w:p>
        </w:tc>
        <w:tc>
          <w:tcPr>
            <w:tcW w:w="614" w:type="pct"/>
            <w:vAlign w:val="center"/>
          </w:tcPr>
          <w:p w14:paraId="10C6102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27.4</w:t>
            </w:r>
          </w:p>
        </w:tc>
      </w:tr>
      <w:tr w14:paraId="59EBF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pct"/>
            <w:vAlign w:val="center"/>
          </w:tcPr>
          <w:p w14:paraId="3C93687B">
            <w:pPr>
              <w:spacing w:line="240" w:lineRule="auto"/>
              <w:jc w:val="center"/>
              <w:rPr>
                <w:rFonts w:hint="default" w:ascii="Times New Roman" w:hAnsi="Times New Roman" w:eastAsia="宋体" w:cs="Times New Roman"/>
                <w:color w:val="auto"/>
                <w:sz w:val="21"/>
                <w:szCs w:val="21"/>
                <w:highlight w:val="none"/>
                <w:u w:val="single" w:color="auto"/>
              </w:rPr>
            </w:pPr>
          </w:p>
        </w:tc>
        <w:tc>
          <w:tcPr>
            <w:tcW w:w="665" w:type="pct"/>
            <w:vAlign w:val="center"/>
          </w:tcPr>
          <w:p w14:paraId="4827C684">
            <w:pPr>
              <w:spacing w:line="240" w:lineRule="auto"/>
              <w:jc w:val="center"/>
              <w:rPr>
                <w:rFonts w:hint="default" w:ascii="Times New Roman" w:hAnsi="Times New Roman" w:eastAsia="宋体" w:cs="Times New Roman"/>
                <w:color w:val="auto"/>
                <w:sz w:val="21"/>
                <w:szCs w:val="21"/>
                <w:highlight w:val="none"/>
                <w:u w:val="single" w:color="auto"/>
              </w:rPr>
            </w:pPr>
          </w:p>
        </w:tc>
        <w:tc>
          <w:tcPr>
            <w:tcW w:w="665" w:type="pct"/>
            <w:vAlign w:val="center"/>
          </w:tcPr>
          <w:p w14:paraId="75C224D7">
            <w:pPr>
              <w:spacing w:line="240" w:lineRule="auto"/>
              <w:jc w:val="center"/>
              <w:rPr>
                <w:rFonts w:hint="default" w:ascii="Times New Roman" w:hAnsi="Times New Roman" w:eastAsia="宋体" w:cs="Times New Roman"/>
                <w:color w:val="auto"/>
                <w:sz w:val="21"/>
                <w:szCs w:val="21"/>
                <w:highlight w:val="none"/>
                <w:u w:val="single" w:color="auto"/>
              </w:rPr>
            </w:pPr>
          </w:p>
        </w:tc>
        <w:tc>
          <w:tcPr>
            <w:tcW w:w="582" w:type="pct"/>
            <w:vAlign w:val="center"/>
          </w:tcPr>
          <w:p w14:paraId="2124AA1B">
            <w:pPr>
              <w:spacing w:line="240" w:lineRule="auto"/>
              <w:jc w:val="center"/>
              <w:rPr>
                <w:rFonts w:hint="default" w:ascii="Times New Roman" w:hAnsi="Times New Roman" w:eastAsia="宋体" w:cs="Times New Roman"/>
                <w:color w:val="auto"/>
                <w:sz w:val="21"/>
                <w:szCs w:val="21"/>
                <w:highlight w:val="none"/>
                <w:u w:val="single" w:color="auto"/>
              </w:rPr>
            </w:pPr>
          </w:p>
        </w:tc>
        <w:tc>
          <w:tcPr>
            <w:tcW w:w="1079" w:type="pct"/>
            <w:vAlign w:val="center"/>
          </w:tcPr>
          <w:p w14:paraId="63972915">
            <w:pPr>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废水</w:t>
            </w:r>
          </w:p>
        </w:tc>
        <w:tc>
          <w:tcPr>
            <w:tcW w:w="748" w:type="pct"/>
            <w:vAlign w:val="center"/>
          </w:tcPr>
          <w:p w14:paraId="2EE3D133">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0.11</w:t>
            </w:r>
          </w:p>
        </w:tc>
        <w:tc>
          <w:tcPr>
            <w:tcW w:w="614" w:type="pct"/>
            <w:vAlign w:val="center"/>
          </w:tcPr>
          <w:p w14:paraId="282382D1">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6.875</w:t>
            </w:r>
          </w:p>
        </w:tc>
      </w:tr>
      <w:tr w14:paraId="4E13D0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7" w:type="pct"/>
            <w:vAlign w:val="center"/>
          </w:tcPr>
          <w:p w14:paraId="0F7E020E">
            <w:pPr>
              <w:spacing w:line="240" w:lineRule="auto"/>
              <w:jc w:val="center"/>
              <w:rPr>
                <w:rFonts w:hint="default" w:ascii="Times New Roman" w:hAnsi="Times New Roman" w:eastAsia="宋体" w:cs="Times New Roman"/>
                <w:color w:val="auto"/>
                <w:sz w:val="21"/>
                <w:szCs w:val="21"/>
                <w:highlight w:val="none"/>
                <w:u w:val="single" w:color="auto"/>
              </w:rPr>
            </w:pPr>
          </w:p>
        </w:tc>
        <w:tc>
          <w:tcPr>
            <w:tcW w:w="665" w:type="pct"/>
            <w:vAlign w:val="center"/>
          </w:tcPr>
          <w:p w14:paraId="76145802">
            <w:pPr>
              <w:spacing w:line="240" w:lineRule="auto"/>
              <w:jc w:val="center"/>
              <w:rPr>
                <w:rFonts w:hint="default" w:ascii="Times New Roman" w:hAnsi="Times New Roman" w:eastAsia="宋体" w:cs="Times New Roman"/>
                <w:color w:val="auto"/>
                <w:sz w:val="21"/>
                <w:szCs w:val="21"/>
                <w:highlight w:val="none"/>
                <w:u w:val="single" w:color="auto"/>
              </w:rPr>
            </w:pPr>
          </w:p>
        </w:tc>
        <w:tc>
          <w:tcPr>
            <w:tcW w:w="665" w:type="pct"/>
            <w:vAlign w:val="center"/>
          </w:tcPr>
          <w:p w14:paraId="32FCA2ED">
            <w:pPr>
              <w:spacing w:line="240" w:lineRule="auto"/>
              <w:jc w:val="center"/>
              <w:rPr>
                <w:rFonts w:hint="default" w:ascii="Times New Roman" w:hAnsi="Times New Roman" w:eastAsia="宋体" w:cs="Times New Roman"/>
                <w:color w:val="auto"/>
                <w:sz w:val="21"/>
                <w:szCs w:val="21"/>
                <w:highlight w:val="none"/>
                <w:u w:val="single" w:color="auto"/>
              </w:rPr>
            </w:pPr>
          </w:p>
        </w:tc>
        <w:tc>
          <w:tcPr>
            <w:tcW w:w="582" w:type="pct"/>
            <w:vAlign w:val="center"/>
          </w:tcPr>
          <w:p w14:paraId="6248CF7A">
            <w:pPr>
              <w:spacing w:line="240" w:lineRule="auto"/>
              <w:jc w:val="center"/>
              <w:rPr>
                <w:rFonts w:hint="default" w:ascii="Times New Roman" w:hAnsi="Times New Roman" w:eastAsia="宋体" w:cs="Times New Roman"/>
                <w:color w:val="auto"/>
                <w:sz w:val="21"/>
                <w:szCs w:val="21"/>
                <w:highlight w:val="none"/>
                <w:u w:val="single" w:color="auto"/>
              </w:rPr>
            </w:pPr>
          </w:p>
        </w:tc>
        <w:tc>
          <w:tcPr>
            <w:tcW w:w="1079" w:type="pct"/>
            <w:vAlign w:val="center"/>
          </w:tcPr>
          <w:p w14:paraId="6F0967A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槽渣、</w:t>
            </w:r>
          </w:p>
          <w:p w14:paraId="63C10EAA">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废过滤棉</w:t>
            </w:r>
            <w:r>
              <w:rPr>
                <w:rFonts w:hint="default" w:ascii="Times New Roman" w:hAnsi="Times New Roman" w:eastAsia="宋体" w:cs="Times New Roman"/>
                <w:color w:val="auto"/>
                <w:sz w:val="21"/>
                <w:szCs w:val="21"/>
                <w:highlight w:val="none"/>
                <w:u w:val="single" w:color="auto"/>
                <w:lang w:eastAsia="zh-CN"/>
              </w:rPr>
              <w:t>等</w:t>
            </w:r>
          </w:p>
        </w:tc>
        <w:tc>
          <w:tcPr>
            <w:tcW w:w="748" w:type="pct"/>
            <w:vAlign w:val="center"/>
          </w:tcPr>
          <w:p w14:paraId="21BB461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1.0516</w:t>
            </w:r>
          </w:p>
        </w:tc>
        <w:tc>
          <w:tcPr>
            <w:tcW w:w="614" w:type="pct"/>
            <w:vAlign w:val="center"/>
          </w:tcPr>
          <w:p w14:paraId="441493F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65.725</w:t>
            </w:r>
          </w:p>
        </w:tc>
      </w:tr>
      <w:tr w14:paraId="23701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2" w:type="pct"/>
            <w:gridSpan w:val="2"/>
            <w:vAlign w:val="center"/>
          </w:tcPr>
          <w:p w14:paraId="54DE048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合计</w:t>
            </w:r>
          </w:p>
        </w:tc>
        <w:tc>
          <w:tcPr>
            <w:tcW w:w="665" w:type="pct"/>
            <w:vAlign w:val="center"/>
          </w:tcPr>
          <w:p w14:paraId="6B54C94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1.6</w:t>
            </w:r>
          </w:p>
        </w:tc>
        <w:tc>
          <w:tcPr>
            <w:tcW w:w="582" w:type="pct"/>
            <w:vAlign w:val="center"/>
          </w:tcPr>
          <w:p w14:paraId="31DD6D57">
            <w:pPr>
              <w:spacing w:line="240" w:lineRule="auto"/>
              <w:jc w:val="center"/>
              <w:rPr>
                <w:rFonts w:hint="default" w:ascii="Times New Roman" w:hAnsi="Times New Roman" w:eastAsia="宋体" w:cs="Times New Roman"/>
                <w:color w:val="auto"/>
                <w:sz w:val="21"/>
                <w:szCs w:val="21"/>
                <w:highlight w:val="none"/>
                <w:u w:val="single" w:color="auto"/>
              </w:rPr>
            </w:pPr>
          </w:p>
        </w:tc>
        <w:tc>
          <w:tcPr>
            <w:tcW w:w="1079" w:type="pct"/>
            <w:vAlign w:val="center"/>
          </w:tcPr>
          <w:p w14:paraId="37CF852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合计</w:t>
            </w:r>
          </w:p>
        </w:tc>
        <w:tc>
          <w:tcPr>
            <w:tcW w:w="748" w:type="pct"/>
            <w:vAlign w:val="center"/>
          </w:tcPr>
          <w:p w14:paraId="6F1AD0F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1.6</w:t>
            </w:r>
          </w:p>
        </w:tc>
        <w:tc>
          <w:tcPr>
            <w:tcW w:w="614" w:type="pct"/>
            <w:vAlign w:val="center"/>
          </w:tcPr>
          <w:p w14:paraId="4DEB51C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100</w:t>
            </w:r>
          </w:p>
        </w:tc>
      </w:tr>
    </w:tbl>
    <w:p w14:paraId="5230C7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（2）铜平衡</w:t>
      </w:r>
    </w:p>
    <w:p w14:paraId="16666D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本项目镀铜涉及铜板、硫酸铜，生产过程中铜大部分被电镀到产品表面，剩余部分主要进入废水及槽渣等。各产品表面铜层密度为8920kg/m</w:t>
      </w:r>
      <w:r>
        <w:rPr>
          <w:rFonts w:hint="default" w:ascii="Times New Roman" w:hAnsi="Times New Roman" w:eastAsia="宋体" w:cs="Times New Roman"/>
          <w:color w:val="auto"/>
          <w:kern w:val="2"/>
          <w:sz w:val="24"/>
          <w:szCs w:val="21"/>
          <w:highlight w:val="none"/>
          <w:u w:val="single" w:color="auto"/>
          <w:vertAlign w:val="superscript"/>
          <w:lang w:val="en-US" w:eastAsia="zh-CN" w:bidi="ar-SA"/>
        </w:rPr>
        <w:t>3</w:t>
      </w:r>
      <w:r>
        <w:rPr>
          <w:rFonts w:hint="default" w:ascii="Times New Roman" w:hAnsi="Times New Roman" w:eastAsia="宋体" w:cs="Times New Roman"/>
          <w:color w:val="auto"/>
          <w:kern w:val="2"/>
          <w:sz w:val="24"/>
          <w:szCs w:val="21"/>
          <w:highlight w:val="none"/>
          <w:u w:val="single" w:color="auto"/>
          <w:lang w:val="en-US" w:eastAsia="zh-CN" w:bidi="ar-SA"/>
        </w:rPr>
        <w:t>，本项目镀铜面积及镀层厚度、铜元素物料平衡详见下表：</w:t>
      </w:r>
    </w:p>
    <w:p w14:paraId="70011A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1"/>
          <w:szCs w:val="18"/>
          <w:highlight w:val="none"/>
          <w:u w:val="single" w:color="auto"/>
          <w:lang w:val="en-US" w:eastAsia="zh-CN" w:bidi="ar-SA"/>
        </w:rPr>
      </w:pPr>
      <w:r>
        <w:rPr>
          <w:rFonts w:hint="default" w:ascii="Times New Roman" w:hAnsi="Times New Roman" w:eastAsia="宋体" w:cs="Times New Roman"/>
          <w:b/>
          <w:bCs/>
          <w:color w:val="auto"/>
          <w:kern w:val="2"/>
          <w:sz w:val="21"/>
          <w:szCs w:val="18"/>
          <w:highlight w:val="none"/>
          <w:u w:val="single" w:color="auto"/>
          <w:lang w:val="en-US" w:eastAsia="zh-CN" w:bidi="ar-SA"/>
        </w:rPr>
        <w:t>表4.2-3 镀铜面积及镀层厚度</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0"/>
        <w:gridCol w:w="2841"/>
        <w:gridCol w:w="2841"/>
      </w:tblGrid>
      <w:tr w14:paraId="23ED2E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666" w:type="pct"/>
            <w:vAlign w:val="center"/>
          </w:tcPr>
          <w:p w14:paraId="1EB7C8A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项目</w:t>
            </w:r>
          </w:p>
        </w:tc>
        <w:tc>
          <w:tcPr>
            <w:tcW w:w="1666" w:type="pct"/>
            <w:vAlign w:val="center"/>
          </w:tcPr>
          <w:p w14:paraId="7C641C7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镀铜面积（m</w:t>
            </w:r>
            <w:r>
              <w:rPr>
                <w:rFonts w:hint="default" w:ascii="Times New Roman" w:hAnsi="Times New Roman" w:eastAsia="宋体" w:cs="Times New Roman"/>
                <w:color w:val="auto"/>
                <w:sz w:val="21"/>
                <w:szCs w:val="21"/>
                <w:highlight w:val="none"/>
                <w:u w:val="single" w:color="auto"/>
                <w:vertAlign w:val="superscript"/>
              </w:rPr>
              <w:t>2</w:t>
            </w:r>
            <w:r>
              <w:rPr>
                <w:rFonts w:hint="default" w:ascii="Times New Roman" w:hAnsi="Times New Roman" w:eastAsia="宋体" w:cs="Times New Roman"/>
                <w:color w:val="auto"/>
                <w:sz w:val="21"/>
                <w:szCs w:val="21"/>
                <w:highlight w:val="none"/>
                <w:u w:val="single" w:color="auto"/>
              </w:rPr>
              <w:t>/a）</w:t>
            </w:r>
          </w:p>
        </w:tc>
        <w:tc>
          <w:tcPr>
            <w:tcW w:w="1666" w:type="pct"/>
            <w:vAlign w:val="center"/>
          </w:tcPr>
          <w:p w14:paraId="531D392D">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镀层厚度（μm）</w:t>
            </w:r>
          </w:p>
        </w:tc>
      </w:tr>
      <w:tr w14:paraId="060DD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666" w:type="pct"/>
            <w:vAlign w:val="center"/>
          </w:tcPr>
          <w:p w14:paraId="12428B07">
            <w:pPr>
              <w:tabs>
                <w:tab w:val="left" w:pos="679"/>
              </w:tabs>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镀铜</w:t>
            </w:r>
          </w:p>
        </w:tc>
        <w:tc>
          <w:tcPr>
            <w:tcW w:w="1666" w:type="pct"/>
            <w:vAlign w:val="center"/>
          </w:tcPr>
          <w:p w14:paraId="5582A80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82820</w:t>
            </w:r>
          </w:p>
        </w:tc>
        <w:tc>
          <w:tcPr>
            <w:tcW w:w="1666" w:type="pct"/>
            <w:vAlign w:val="center"/>
          </w:tcPr>
          <w:p w14:paraId="03BB856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5-10</w:t>
            </w:r>
          </w:p>
        </w:tc>
      </w:tr>
    </w:tbl>
    <w:p w14:paraId="1F501E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1"/>
          <w:szCs w:val="18"/>
          <w:highlight w:val="none"/>
          <w:u w:val="single" w:color="auto"/>
          <w:lang w:val="en-US" w:eastAsia="zh-CN" w:bidi="ar-SA"/>
        </w:rPr>
      </w:pPr>
      <w:r>
        <w:rPr>
          <w:rFonts w:hint="default" w:ascii="Times New Roman" w:hAnsi="Times New Roman" w:eastAsia="宋体" w:cs="Times New Roman"/>
          <w:b/>
          <w:bCs/>
          <w:color w:val="auto"/>
          <w:kern w:val="2"/>
          <w:sz w:val="21"/>
          <w:szCs w:val="18"/>
          <w:highlight w:val="none"/>
          <w:u w:val="single" w:color="auto"/>
          <w:lang w:val="en-US" w:eastAsia="zh-CN" w:bidi="ar-SA"/>
        </w:rPr>
        <w:t>表4.2-4 铜平衡</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3"/>
        <w:gridCol w:w="1132"/>
        <w:gridCol w:w="1132"/>
        <w:gridCol w:w="994"/>
        <w:gridCol w:w="1838"/>
        <w:gridCol w:w="1275"/>
        <w:gridCol w:w="1048"/>
      </w:tblGrid>
      <w:tr w14:paraId="6F5E8C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558" w:type="pct"/>
            <w:gridSpan w:val="4"/>
            <w:vAlign w:val="center"/>
          </w:tcPr>
          <w:p w14:paraId="4893CB6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输入</w:t>
            </w:r>
          </w:p>
        </w:tc>
        <w:tc>
          <w:tcPr>
            <w:tcW w:w="2441" w:type="pct"/>
            <w:gridSpan w:val="3"/>
            <w:vAlign w:val="center"/>
          </w:tcPr>
          <w:p w14:paraId="6DDB536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输出</w:t>
            </w:r>
          </w:p>
        </w:tc>
      </w:tr>
      <w:tr w14:paraId="1D3E76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47" w:type="pct"/>
            <w:vAlign w:val="center"/>
          </w:tcPr>
          <w:p w14:paraId="6B1DEA3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来源</w:t>
            </w:r>
          </w:p>
        </w:tc>
        <w:tc>
          <w:tcPr>
            <w:tcW w:w="664" w:type="pct"/>
            <w:vAlign w:val="center"/>
          </w:tcPr>
          <w:p w14:paraId="62F83B8C">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原料用量</w:t>
            </w:r>
          </w:p>
          <w:p w14:paraId="574AD5C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664" w:type="pct"/>
            <w:vAlign w:val="center"/>
          </w:tcPr>
          <w:p w14:paraId="5D4362E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含铜量</w:t>
            </w:r>
          </w:p>
          <w:p w14:paraId="22D11B5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583" w:type="pct"/>
            <w:vAlign w:val="center"/>
          </w:tcPr>
          <w:p w14:paraId="5BAB408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铜含量</w:t>
            </w:r>
          </w:p>
          <w:p w14:paraId="4BBCB9E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w:t>
            </w:r>
          </w:p>
        </w:tc>
        <w:tc>
          <w:tcPr>
            <w:tcW w:w="1078" w:type="pct"/>
            <w:vAlign w:val="center"/>
          </w:tcPr>
          <w:p w14:paraId="3D2B099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去向</w:t>
            </w:r>
          </w:p>
        </w:tc>
        <w:tc>
          <w:tcPr>
            <w:tcW w:w="748" w:type="pct"/>
            <w:vAlign w:val="center"/>
          </w:tcPr>
          <w:p w14:paraId="2316905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含铜量</w:t>
            </w:r>
          </w:p>
          <w:p w14:paraId="2F320FF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614" w:type="pct"/>
            <w:vAlign w:val="center"/>
          </w:tcPr>
          <w:p w14:paraId="2DD9923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占比</w:t>
            </w:r>
          </w:p>
          <w:p w14:paraId="26FF5ED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w:t>
            </w:r>
          </w:p>
        </w:tc>
      </w:tr>
      <w:tr w14:paraId="3D5E54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647" w:type="pct"/>
            <w:vAlign w:val="center"/>
          </w:tcPr>
          <w:p w14:paraId="6ACCB43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铜板</w:t>
            </w:r>
          </w:p>
        </w:tc>
        <w:tc>
          <w:tcPr>
            <w:tcW w:w="664" w:type="pct"/>
            <w:vAlign w:val="center"/>
          </w:tcPr>
          <w:p w14:paraId="055A822B">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5</w:t>
            </w:r>
          </w:p>
        </w:tc>
        <w:tc>
          <w:tcPr>
            <w:tcW w:w="664" w:type="pct"/>
            <w:vAlign w:val="center"/>
          </w:tcPr>
          <w:p w14:paraId="291C0A4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4.995</w:t>
            </w:r>
          </w:p>
        </w:tc>
        <w:tc>
          <w:tcPr>
            <w:tcW w:w="583" w:type="pct"/>
            <w:vAlign w:val="center"/>
          </w:tcPr>
          <w:p w14:paraId="6205A88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99.9</w:t>
            </w:r>
          </w:p>
        </w:tc>
        <w:tc>
          <w:tcPr>
            <w:tcW w:w="1078" w:type="pct"/>
            <w:vAlign w:val="center"/>
          </w:tcPr>
          <w:p w14:paraId="744BA21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镀件镀层</w:t>
            </w:r>
          </w:p>
        </w:tc>
        <w:tc>
          <w:tcPr>
            <w:tcW w:w="748" w:type="pct"/>
            <w:vAlign w:val="center"/>
          </w:tcPr>
          <w:p w14:paraId="52EA9C2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6.008</w:t>
            </w:r>
          </w:p>
        </w:tc>
        <w:tc>
          <w:tcPr>
            <w:tcW w:w="614" w:type="pct"/>
            <w:vAlign w:val="center"/>
          </w:tcPr>
          <w:p w14:paraId="2993EFF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92.346</w:t>
            </w:r>
          </w:p>
        </w:tc>
      </w:tr>
      <w:tr w14:paraId="5DA5A7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47" w:type="pct"/>
            <w:vAlign w:val="center"/>
          </w:tcPr>
          <w:p w14:paraId="4D5D253E">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硫酸铜</w:t>
            </w:r>
          </w:p>
        </w:tc>
        <w:tc>
          <w:tcPr>
            <w:tcW w:w="664" w:type="pct"/>
            <w:vAlign w:val="center"/>
          </w:tcPr>
          <w:p w14:paraId="60CF654F">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6</w:t>
            </w:r>
          </w:p>
        </w:tc>
        <w:tc>
          <w:tcPr>
            <w:tcW w:w="664" w:type="pct"/>
            <w:vAlign w:val="center"/>
          </w:tcPr>
          <w:p w14:paraId="41D02594">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1.511</w:t>
            </w:r>
          </w:p>
        </w:tc>
        <w:tc>
          <w:tcPr>
            <w:tcW w:w="583" w:type="pct"/>
            <w:vAlign w:val="center"/>
          </w:tcPr>
          <w:p w14:paraId="0DA48C70">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25.19</w:t>
            </w:r>
          </w:p>
        </w:tc>
        <w:tc>
          <w:tcPr>
            <w:tcW w:w="1078" w:type="pct"/>
            <w:vAlign w:val="center"/>
          </w:tcPr>
          <w:p w14:paraId="3480636E">
            <w:pPr>
              <w:spacing w:line="240" w:lineRule="auto"/>
              <w:jc w:val="center"/>
              <w:rPr>
                <w:rFonts w:hint="default" w:ascii="Times New Roman" w:hAnsi="Times New Roman" w:eastAsia="宋体" w:cs="Times New Roman"/>
                <w:bCs/>
                <w:color w:val="auto"/>
                <w:kern w:val="2"/>
                <w:sz w:val="21"/>
                <w:szCs w:val="21"/>
                <w:highlight w:val="none"/>
                <w:u w:val="single" w:color="auto"/>
                <w:lang w:val="en-US" w:eastAsia="zh-CN" w:bidi="ar-SA"/>
              </w:rPr>
            </w:pPr>
            <w:r>
              <w:rPr>
                <w:rFonts w:hint="default" w:ascii="Times New Roman" w:hAnsi="Times New Roman" w:eastAsia="宋体" w:cs="Times New Roman"/>
                <w:bCs/>
                <w:color w:val="auto"/>
                <w:sz w:val="21"/>
                <w:szCs w:val="21"/>
                <w:highlight w:val="none"/>
                <w:u w:val="single" w:color="auto"/>
              </w:rPr>
              <w:t>外排废水</w:t>
            </w:r>
          </w:p>
        </w:tc>
        <w:tc>
          <w:tcPr>
            <w:tcW w:w="748" w:type="pct"/>
            <w:vAlign w:val="center"/>
          </w:tcPr>
          <w:p w14:paraId="4E88211D">
            <w:pPr>
              <w:spacing w:line="240" w:lineRule="auto"/>
              <w:jc w:val="center"/>
              <w:rPr>
                <w:rFonts w:hint="default" w:ascii="Times New Roman" w:hAnsi="Times New Roman" w:eastAsia="宋体" w:cs="Times New Roman"/>
                <w:bCs/>
                <w:color w:val="auto"/>
                <w:kern w:val="2"/>
                <w:sz w:val="21"/>
                <w:szCs w:val="21"/>
                <w:highlight w:val="none"/>
                <w:u w:val="single" w:color="auto"/>
                <w:lang w:val="en-US" w:eastAsia="zh-CN" w:bidi="ar-SA"/>
              </w:rPr>
            </w:pPr>
            <w:r>
              <w:rPr>
                <w:rFonts w:hint="default" w:ascii="Times New Roman" w:hAnsi="Times New Roman" w:eastAsia="宋体" w:cs="Times New Roman"/>
                <w:bCs/>
                <w:color w:val="auto"/>
                <w:kern w:val="2"/>
                <w:sz w:val="21"/>
                <w:szCs w:val="21"/>
                <w:highlight w:val="none"/>
                <w:u w:val="single" w:color="auto"/>
                <w:lang w:val="en-US" w:eastAsia="zh-CN" w:bidi="ar-SA"/>
              </w:rPr>
              <w:t>0.11</w:t>
            </w:r>
          </w:p>
        </w:tc>
        <w:tc>
          <w:tcPr>
            <w:tcW w:w="614" w:type="pct"/>
            <w:vAlign w:val="center"/>
          </w:tcPr>
          <w:p w14:paraId="07ACA3D6">
            <w:pPr>
              <w:spacing w:line="240" w:lineRule="auto"/>
              <w:jc w:val="center"/>
              <w:rPr>
                <w:rFonts w:hint="default" w:ascii="Times New Roman" w:hAnsi="Times New Roman" w:eastAsia="宋体" w:cs="Times New Roman"/>
                <w:bCs/>
                <w:color w:val="auto"/>
                <w:kern w:val="2"/>
                <w:sz w:val="21"/>
                <w:szCs w:val="21"/>
                <w:highlight w:val="none"/>
                <w:u w:val="single" w:color="auto"/>
                <w:lang w:val="en-US" w:eastAsia="zh-CN" w:bidi="ar-SA"/>
              </w:rPr>
            </w:pPr>
            <w:r>
              <w:rPr>
                <w:rFonts w:hint="default" w:ascii="Times New Roman" w:hAnsi="Times New Roman" w:eastAsia="宋体" w:cs="Times New Roman"/>
                <w:bCs/>
                <w:color w:val="auto"/>
                <w:kern w:val="2"/>
                <w:sz w:val="21"/>
                <w:szCs w:val="21"/>
                <w:highlight w:val="none"/>
                <w:u w:val="single" w:color="auto"/>
                <w:lang w:val="en-US" w:eastAsia="zh-CN" w:bidi="ar-SA"/>
              </w:rPr>
              <w:t>1.691</w:t>
            </w:r>
          </w:p>
        </w:tc>
      </w:tr>
      <w:tr w14:paraId="5CBFB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47" w:type="pct"/>
            <w:vAlign w:val="center"/>
          </w:tcPr>
          <w:p w14:paraId="64113741">
            <w:pPr>
              <w:spacing w:line="240" w:lineRule="auto"/>
              <w:jc w:val="center"/>
              <w:rPr>
                <w:rFonts w:hint="default" w:ascii="Times New Roman" w:hAnsi="Times New Roman" w:eastAsia="宋体" w:cs="Times New Roman"/>
                <w:color w:val="auto"/>
                <w:sz w:val="21"/>
                <w:szCs w:val="21"/>
                <w:highlight w:val="none"/>
                <w:u w:val="single" w:color="auto"/>
              </w:rPr>
            </w:pPr>
          </w:p>
        </w:tc>
        <w:tc>
          <w:tcPr>
            <w:tcW w:w="664" w:type="pct"/>
            <w:vAlign w:val="center"/>
          </w:tcPr>
          <w:p w14:paraId="0094979A">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664" w:type="pct"/>
            <w:vAlign w:val="center"/>
          </w:tcPr>
          <w:p w14:paraId="5B0C484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583" w:type="pct"/>
            <w:vAlign w:val="center"/>
          </w:tcPr>
          <w:p w14:paraId="1D64D65C">
            <w:pPr>
              <w:spacing w:line="240" w:lineRule="auto"/>
              <w:jc w:val="center"/>
              <w:rPr>
                <w:rFonts w:hint="default" w:ascii="Times New Roman" w:hAnsi="Times New Roman" w:eastAsia="宋体" w:cs="Times New Roman"/>
                <w:color w:val="auto"/>
                <w:sz w:val="21"/>
                <w:szCs w:val="21"/>
                <w:highlight w:val="none"/>
                <w:u w:val="single" w:color="auto"/>
              </w:rPr>
            </w:pPr>
          </w:p>
        </w:tc>
        <w:tc>
          <w:tcPr>
            <w:tcW w:w="1078" w:type="pct"/>
            <w:vAlign w:val="center"/>
          </w:tcPr>
          <w:p w14:paraId="29F70CC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污泥、槽渣、</w:t>
            </w:r>
          </w:p>
          <w:p w14:paraId="0DAFA247">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废过滤棉</w:t>
            </w:r>
            <w:r>
              <w:rPr>
                <w:rFonts w:hint="default" w:ascii="Times New Roman" w:hAnsi="Times New Roman" w:eastAsia="宋体" w:cs="Times New Roman"/>
                <w:color w:val="auto"/>
                <w:sz w:val="21"/>
                <w:szCs w:val="21"/>
                <w:highlight w:val="none"/>
                <w:u w:val="single" w:color="auto"/>
                <w:lang w:eastAsia="zh-CN"/>
              </w:rPr>
              <w:t>等</w:t>
            </w:r>
          </w:p>
        </w:tc>
        <w:tc>
          <w:tcPr>
            <w:tcW w:w="748" w:type="pct"/>
            <w:vAlign w:val="center"/>
          </w:tcPr>
          <w:p w14:paraId="286CE60D">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0.388</w:t>
            </w:r>
          </w:p>
        </w:tc>
        <w:tc>
          <w:tcPr>
            <w:tcW w:w="614" w:type="pct"/>
            <w:vAlign w:val="center"/>
          </w:tcPr>
          <w:p w14:paraId="534DAADD">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5.63</w:t>
            </w:r>
          </w:p>
        </w:tc>
      </w:tr>
      <w:tr w14:paraId="7FED0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311" w:type="pct"/>
            <w:gridSpan w:val="2"/>
            <w:vAlign w:val="center"/>
          </w:tcPr>
          <w:p w14:paraId="6602FDB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合计</w:t>
            </w:r>
          </w:p>
        </w:tc>
        <w:tc>
          <w:tcPr>
            <w:tcW w:w="664" w:type="pct"/>
            <w:vAlign w:val="center"/>
          </w:tcPr>
          <w:p w14:paraId="6ECD5FD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6.506</w:t>
            </w:r>
          </w:p>
        </w:tc>
        <w:tc>
          <w:tcPr>
            <w:tcW w:w="583" w:type="pct"/>
            <w:vAlign w:val="center"/>
          </w:tcPr>
          <w:p w14:paraId="34A9FF4E">
            <w:pPr>
              <w:spacing w:line="240" w:lineRule="auto"/>
              <w:jc w:val="center"/>
              <w:rPr>
                <w:rFonts w:hint="default" w:ascii="Times New Roman" w:hAnsi="Times New Roman" w:eastAsia="宋体" w:cs="Times New Roman"/>
                <w:color w:val="auto"/>
                <w:sz w:val="21"/>
                <w:szCs w:val="21"/>
                <w:highlight w:val="none"/>
                <w:u w:val="single" w:color="auto"/>
              </w:rPr>
            </w:pPr>
          </w:p>
        </w:tc>
        <w:tc>
          <w:tcPr>
            <w:tcW w:w="1078" w:type="pct"/>
            <w:vAlign w:val="center"/>
          </w:tcPr>
          <w:p w14:paraId="33A1BFB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合计</w:t>
            </w:r>
          </w:p>
        </w:tc>
        <w:tc>
          <w:tcPr>
            <w:tcW w:w="748" w:type="pct"/>
            <w:vAlign w:val="center"/>
          </w:tcPr>
          <w:p w14:paraId="155B2F2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6.506</w:t>
            </w:r>
          </w:p>
        </w:tc>
        <w:tc>
          <w:tcPr>
            <w:tcW w:w="614" w:type="pct"/>
            <w:vAlign w:val="center"/>
          </w:tcPr>
          <w:p w14:paraId="48AFEA6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100</w:t>
            </w:r>
          </w:p>
        </w:tc>
      </w:tr>
    </w:tbl>
    <w:p w14:paraId="41E438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（3）镍平衡</w:t>
      </w:r>
    </w:p>
    <w:p w14:paraId="50B584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kern w:val="2"/>
          <w:sz w:val="24"/>
          <w:szCs w:val="24"/>
          <w:highlight w:val="none"/>
          <w:u w:val="single" w:color="auto"/>
          <w:lang w:val="en-US" w:eastAsia="zh-CN" w:bidi="ar-SA"/>
        </w:rPr>
        <w:t>本项目镀镍生产线涉及镍板、氯化镍、氨基磺酸镍及硫酸镍，生产过程中镍大部分被电镀到产品表面，剩余部分主要进入废水及槽渣等，其中浸锌镍工序镍层占15%，镀超硬材料中镍层占95%</w:t>
      </w:r>
      <w:r>
        <w:rPr>
          <w:rFonts w:hint="default" w:ascii="Times New Roman" w:hAnsi="Times New Roman" w:eastAsia="宋体" w:cs="Times New Roman"/>
          <w:color w:val="auto"/>
          <w:sz w:val="24"/>
          <w:szCs w:val="24"/>
          <w:highlight w:val="none"/>
          <w:u w:val="single" w:color="auto"/>
        </w:rPr>
        <w:t>。各产品表面镍层密度为8900kg/m</w:t>
      </w:r>
      <w:r>
        <w:rPr>
          <w:rFonts w:hint="default" w:ascii="Times New Roman" w:hAnsi="Times New Roman" w:eastAsia="宋体" w:cs="Times New Roman"/>
          <w:color w:val="auto"/>
          <w:sz w:val="24"/>
          <w:szCs w:val="24"/>
          <w:highlight w:val="none"/>
          <w:u w:val="single" w:color="auto"/>
          <w:vertAlign w:val="superscript"/>
        </w:rPr>
        <w:t>3</w:t>
      </w:r>
      <w:r>
        <w:rPr>
          <w:rFonts w:hint="default" w:ascii="Times New Roman" w:hAnsi="Times New Roman" w:eastAsia="宋体" w:cs="Times New Roman"/>
          <w:color w:val="auto"/>
          <w:sz w:val="24"/>
          <w:szCs w:val="24"/>
          <w:highlight w:val="none"/>
          <w:u w:val="single" w:color="auto"/>
        </w:rPr>
        <w:t>，本项目镀镍面积及镀层厚度、镍元素物料平衡详见下表：</w:t>
      </w:r>
    </w:p>
    <w:p w14:paraId="683058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1"/>
          <w:szCs w:val="18"/>
          <w:highlight w:val="none"/>
          <w:u w:val="single" w:color="auto"/>
          <w:lang w:val="en-US" w:eastAsia="zh-CN" w:bidi="ar-SA"/>
        </w:rPr>
      </w:pPr>
      <w:r>
        <w:rPr>
          <w:rFonts w:hint="default" w:ascii="Times New Roman" w:hAnsi="Times New Roman" w:eastAsia="宋体" w:cs="Times New Roman"/>
          <w:b/>
          <w:bCs/>
          <w:color w:val="auto"/>
          <w:kern w:val="2"/>
          <w:sz w:val="21"/>
          <w:szCs w:val="18"/>
          <w:highlight w:val="none"/>
          <w:u w:val="single" w:color="auto"/>
          <w:lang w:val="en-US" w:eastAsia="zh-CN" w:bidi="ar-SA"/>
        </w:rPr>
        <w:t>表4.2-5 镀镍面积及镀层厚度</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0"/>
        <w:gridCol w:w="2841"/>
        <w:gridCol w:w="2841"/>
      </w:tblGrid>
      <w:tr w14:paraId="10805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666" w:type="pct"/>
            <w:vAlign w:val="center"/>
          </w:tcPr>
          <w:p w14:paraId="3FBB7B4D">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项目</w:t>
            </w:r>
          </w:p>
        </w:tc>
        <w:tc>
          <w:tcPr>
            <w:tcW w:w="1666" w:type="pct"/>
            <w:vAlign w:val="center"/>
          </w:tcPr>
          <w:p w14:paraId="7CC3D81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镀镍面积（m</w:t>
            </w:r>
            <w:r>
              <w:rPr>
                <w:rFonts w:hint="default" w:ascii="Times New Roman" w:hAnsi="Times New Roman" w:eastAsia="宋体" w:cs="Times New Roman"/>
                <w:color w:val="auto"/>
                <w:sz w:val="21"/>
                <w:szCs w:val="21"/>
                <w:highlight w:val="none"/>
                <w:u w:val="single" w:color="auto"/>
                <w:vertAlign w:val="superscript"/>
              </w:rPr>
              <w:t>2</w:t>
            </w:r>
            <w:r>
              <w:rPr>
                <w:rFonts w:hint="default" w:ascii="Times New Roman" w:hAnsi="Times New Roman" w:eastAsia="宋体" w:cs="Times New Roman"/>
                <w:color w:val="auto"/>
                <w:sz w:val="21"/>
                <w:szCs w:val="21"/>
                <w:highlight w:val="none"/>
                <w:u w:val="single" w:color="auto"/>
              </w:rPr>
              <w:t>/a）</w:t>
            </w:r>
          </w:p>
        </w:tc>
        <w:tc>
          <w:tcPr>
            <w:tcW w:w="1666" w:type="pct"/>
            <w:vAlign w:val="center"/>
          </w:tcPr>
          <w:p w14:paraId="2E33FD3D">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镀层厚度（μm）</w:t>
            </w:r>
          </w:p>
        </w:tc>
      </w:tr>
      <w:tr w14:paraId="623BC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6" w:type="pct"/>
            <w:vAlign w:val="center"/>
          </w:tcPr>
          <w:p w14:paraId="7D7E0835">
            <w:pPr>
              <w:tabs>
                <w:tab w:val="left" w:pos="679"/>
              </w:tabs>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电镀镍</w:t>
            </w:r>
          </w:p>
        </w:tc>
        <w:tc>
          <w:tcPr>
            <w:tcW w:w="1666" w:type="pct"/>
            <w:vAlign w:val="center"/>
          </w:tcPr>
          <w:p w14:paraId="5BF3DED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195640</w:t>
            </w:r>
          </w:p>
        </w:tc>
        <w:tc>
          <w:tcPr>
            <w:tcW w:w="1666" w:type="pct"/>
            <w:vAlign w:val="center"/>
          </w:tcPr>
          <w:p w14:paraId="0B2EB73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0.5</w:t>
            </w: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600</w:t>
            </w:r>
          </w:p>
        </w:tc>
      </w:tr>
    </w:tbl>
    <w:p w14:paraId="308F7C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1"/>
          <w:szCs w:val="18"/>
          <w:highlight w:val="none"/>
          <w:u w:val="single" w:color="auto"/>
          <w:lang w:val="en-US" w:eastAsia="zh-CN" w:bidi="ar-SA"/>
        </w:rPr>
      </w:pPr>
      <w:r>
        <w:rPr>
          <w:rFonts w:hint="default" w:ascii="Times New Roman" w:hAnsi="Times New Roman" w:eastAsia="宋体" w:cs="Times New Roman"/>
          <w:b/>
          <w:bCs/>
          <w:color w:val="auto"/>
          <w:kern w:val="2"/>
          <w:sz w:val="21"/>
          <w:szCs w:val="18"/>
          <w:highlight w:val="none"/>
          <w:u w:val="single" w:color="auto"/>
          <w:lang w:val="en-US" w:eastAsia="zh-CN" w:bidi="ar-SA"/>
        </w:rPr>
        <w:t>表4.2-6 镍平衡</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3"/>
        <w:gridCol w:w="1133"/>
        <w:gridCol w:w="1133"/>
        <w:gridCol w:w="992"/>
        <w:gridCol w:w="1839"/>
        <w:gridCol w:w="1275"/>
        <w:gridCol w:w="1047"/>
      </w:tblGrid>
      <w:tr w14:paraId="15809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559" w:type="pct"/>
            <w:gridSpan w:val="4"/>
            <w:vAlign w:val="center"/>
          </w:tcPr>
          <w:p w14:paraId="15F76E0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输入</w:t>
            </w:r>
          </w:p>
        </w:tc>
        <w:tc>
          <w:tcPr>
            <w:tcW w:w="2441" w:type="pct"/>
            <w:gridSpan w:val="3"/>
            <w:vAlign w:val="center"/>
          </w:tcPr>
          <w:p w14:paraId="03BA4A6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输出</w:t>
            </w:r>
          </w:p>
        </w:tc>
      </w:tr>
      <w:tr w14:paraId="2C231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47" w:type="pct"/>
            <w:vAlign w:val="center"/>
          </w:tcPr>
          <w:p w14:paraId="6EE8624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来源</w:t>
            </w:r>
          </w:p>
        </w:tc>
        <w:tc>
          <w:tcPr>
            <w:tcW w:w="665" w:type="pct"/>
            <w:vAlign w:val="center"/>
          </w:tcPr>
          <w:p w14:paraId="4ADF363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原料用量</w:t>
            </w:r>
          </w:p>
          <w:p w14:paraId="4833C91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665" w:type="pct"/>
            <w:vAlign w:val="center"/>
          </w:tcPr>
          <w:p w14:paraId="0398628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含镍量</w:t>
            </w:r>
          </w:p>
          <w:p w14:paraId="3CDE231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582" w:type="pct"/>
            <w:vAlign w:val="center"/>
          </w:tcPr>
          <w:p w14:paraId="72CF304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镍含量</w:t>
            </w:r>
          </w:p>
          <w:p w14:paraId="719E64C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w:t>
            </w:r>
          </w:p>
        </w:tc>
        <w:tc>
          <w:tcPr>
            <w:tcW w:w="1079" w:type="pct"/>
            <w:vAlign w:val="center"/>
          </w:tcPr>
          <w:p w14:paraId="561FB87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去向</w:t>
            </w:r>
          </w:p>
        </w:tc>
        <w:tc>
          <w:tcPr>
            <w:tcW w:w="748" w:type="pct"/>
            <w:vAlign w:val="center"/>
          </w:tcPr>
          <w:p w14:paraId="30FAB07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含镍量</w:t>
            </w:r>
          </w:p>
          <w:p w14:paraId="6883555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614" w:type="pct"/>
            <w:vAlign w:val="center"/>
          </w:tcPr>
          <w:p w14:paraId="4CBF70A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占比</w:t>
            </w:r>
          </w:p>
          <w:p w14:paraId="01DB4AE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w:t>
            </w:r>
          </w:p>
        </w:tc>
      </w:tr>
      <w:tr w14:paraId="289BA9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47" w:type="pct"/>
            <w:vAlign w:val="center"/>
          </w:tcPr>
          <w:p w14:paraId="432C6F1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镍板</w:t>
            </w:r>
          </w:p>
        </w:tc>
        <w:tc>
          <w:tcPr>
            <w:tcW w:w="665" w:type="pct"/>
            <w:vAlign w:val="center"/>
          </w:tcPr>
          <w:p w14:paraId="61EDE0A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w:t>
            </w:r>
          </w:p>
        </w:tc>
        <w:tc>
          <w:tcPr>
            <w:tcW w:w="1133" w:type="dxa"/>
            <w:vAlign w:val="center"/>
          </w:tcPr>
          <w:p w14:paraId="644B9B3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19.98</w:t>
            </w:r>
          </w:p>
        </w:tc>
        <w:tc>
          <w:tcPr>
            <w:tcW w:w="582" w:type="pct"/>
            <w:vAlign w:val="center"/>
          </w:tcPr>
          <w:p w14:paraId="7A5F598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99.9</w:t>
            </w:r>
          </w:p>
        </w:tc>
        <w:tc>
          <w:tcPr>
            <w:tcW w:w="1079" w:type="pct"/>
            <w:vAlign w:val="center"/>
          </w:tcPr>
          <w:p w14:paraId="2DE2E19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镀件镀层</w:t>
            </w:r>
          </w:p>
        </w:tc>
        <w:tc>
          <w:tcPr>
            <w:tcW w:w="748" w:type="pct"/>
            <w:vAlign w:val="center"/>
          </w:tcPr>
          <w:p w14:paraId="2E57DBB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68.23</w:t>
            </w:r>
          </w:p>
        </w:tc>
        <w:tc>
          <w:tcPr>
            <w:tcW w:w="614" w:type="pct"/>
            <w:vAlign w:val="center"/>
          </w:tcPr>
          <w:p w14:paraId="551A8F5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95.394</w:t>
            </w:r>
          </w:p>
        </w:tc>
      </w:tr>
      <w:tr w14:paraId="7F606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47" w:type="pct"/>
            <w:vAlign w:val="center"/>
          </w:tcPr>
          <w:p w14:paraId="122255DC">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硫酸镍</w:t>
            </w:r>
          </w:p>
        </w:tc>
        <w:tc>
          <w:tcPr>
            <w:tcW w:w="665" w:type="pct"/>
            <w:vAlign w:val="center"/>
          </w:tcPr>
          <w:p w14:paraId="081C76D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130</w:t>
            </w:r>
          </w:p>
        </w:tc>
        <w:tc>
          <w:tcPr>
            <w:tcW w:w="1133" w:type="dxa"/>
            <w:vAlign w:val="center"/>
          </w:tcPr>
          <w:p w14:paraId="4017B66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28.86</w:t>
            </w:r>
          </w:p>
        </w:tc>
        <w:tc>
          <w:tcPr>
            <w:tcW w:w="582" w:type="pct"/>
            <w:vAlign w:val="center"/>
          </w:tcPr>
          <w:p w14:paraId="70FE4D2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22.2</w:t>
            </w:r>
          </w:p>
        </w:tc>
        <w:tc>
          <w:tcPr>
            <w:tcW w:w="1079" w:type="pct"/>
            <w:vAlign w:val="center"/>
          </w:tcPr>
          <w:p w14:paraId="69D83431">
            <w:pPr>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外排废水</w:t>
            </w:r>
          </w:p>
        </w:tc>
        <w:tc>
          <w:tcPr>
            <w:tcW w:w="748" w:type="pct"/>
            <w:vAlign w:val="center"/>
          </w:tcPr>
          <w:p w14:paraId="0EAAA42B">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0.11</w:t>
            </w:r>
          </w:p>
        </w:tc>
        <w:tc>
          <w:tcPr>
            <w:tcW w:w="614" w:type="pct"/>
            <w:vAlign w:val="center"/>
          </w:tcPr>
          <w:p w14:paraId="6186534E">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0.154</w:t>
            </w:r>
          </w:p>
        </w:tc>
      </w:tr>
      <w:tr w14:paraId="6226F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47" w:type="pct"/>
            <w:vAlign w:val="center"/>
          </w:tcPr>
          <w:p w14:paraId="51D2C1A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氯化镍</w:t>
            </w:r>
          </w:p>
        </w:tc>
        <w:tc>
          <w:tcPr>
            <w:tcW w:w="665" w:type="pct"/>
            <w:vAlign w:val="center"/>
          </w:tcPr>
          <w:p w14:paraId="7D71541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15</w:t>
            </w:r>
          </w:p>
        </w:tc>
        <w:tc>
          <w:tcPr>
            <w:tcW w:w="1133" w:type="dxa"/>
            <w:vAlign w:val="center"/>
          </w:tcPr>
          <w:p w14:paraId="2C5D05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3.684</w:t>
            </w:r>
          </w:p>
        </w:tc>
        <w:tc>
          <w:tcPr>
            <w:tcW w:w="582" w:type="pct"/>
            <w:vAlign w:val="center"/>
          </w:tcPr>
          <w:p w14:paraId="23C1FAC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24.56</w:t>
            </w:r>
          </w:p>
        </w:tc>
        <w:tc>
          <w:tcPr>
            <w:tcW w:w="1079" w:type="pct"/>
            <w:vAlign w:val="center"/>
          </w:tcPr>
          <w:p w14:paraId="2A915A7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污泥、槽渣、</w:t>
            </w:r>
          </w:p>
          <w:p w14:paraId="34C06D6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废过滤棉</w:t>
            </w:r>
            <w:r>
              <w:rPr>
                <w:rFonts w:hint="default" w:ascii="Times New Roman" w:hAnsi="Times New Roman" w:eastAsia="宋体" w:cs="Times New Roman"/>
                <w:color w:val="auto"/>
                <w:sz w:val="21"/>
                <w:szCs w:val="21"/>
                <w:highlight w:val="none"/>
                <w:u w:val="single" w:color="auto"/>
                <w:lang w:eastAsia="zh-CN"/>
              </w:rPr>
              <w:t>等</w:t>
            </w:r>
          </w:p>
        </w:tc>
        <w:tc>
          <w:tcPr>
            <w:tcW w:w="748" w:type="pct"/>
            <w:vAlign w:val="center"/>
          </w:tcPr>
          <w:p w14:paraId="7A1481C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3.184</w:t>
            </w:r>
          </w:p>
        </w:tc>
        <w:tc>
          <w:tcPr>
            <w:tcW w:w="614" w:type="pct"/>
            <w:vAlign w:val="center"/>
          </w:tcPr>
          <w:p w14:paraId="3A1D3754">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4.452</w:t>
            </w:r>
          </w:p>
        </w:tc>
      </w:tr>
      <w:tr w14:paraId="4406E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47" w:type="pct"/>
            <w:vAlign w:val="center"/>
          </w:tcPr>
          <w:p w14:paraId="00A29160">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氨基磺酸镍</w:t>
            </w:r>
          </w:p>
        </w:tc>
        <w:tc>
          <w:tcPr>
            <w:tcW w:w="665" w:type="pct"/>
            <w:vAlign w:val="center"/>
          </w:tcPr>
          <w:p w14:paraId="12CC01B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60</w:t>
            </w:r>
          </w:p>
        </w:tc>
        <w:tc>
          <w:tcPr>
            <w:tcW w:w="1133" w:type="dxa"/>
            <w:vAlign w:val="center"/>
          </w:tcPr>
          <w:p w14:paraId="6A2866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18</w:t>
            </w:r>
          </w:p>
        </w:tc>
        <w:tc>
          <w:tcPr>
            <w:tcW w:w="582" w:type="pct"/>
            <w:vAlign w:val="center"/>
          </w:tcPr>
          <w:p w14:paraId="5B3656F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18</w:t>
            </w:r>
          </w:p>
        </w:tc>
        <w:tc>
          <w:tcPr>
            <w:tcW w:w="1079" w:type="pct"/>
            <w:vAlign w:val="center"/>
          </w:tcPr>
          <w:p w14:paraId="7DE69561">
            <w:pPr>
              <w:spacing w:line="240" w:lineRule="auto"/>
              <w:jc w:val="center"/>
              <w:rPr>
                <w:rFonts w:hint="default" w:ascii="Times New Roman" w:hAnsi="Times New Roman" w:eastAsia="宋体" w:cs="Times New Roman"/>
                <w:color w:val="auto"/>
                <w:sz w:val="21"/>
                <w:szCs w:val="21"/>
                <w:highlight w:val="none"/>
                <w:u w:val="single" w:color="auto"/>
              </w:rPr>
            </w:pPr>
          </w:p>
        </w:tc>
        <w:tc>
          <w:tcPr>
            <w:tcW w:w="748" w:type="pct"/>
            <w:vAlign w:val="center"/>
          </w:tcPr>
          <w:p w14:paraId="6937011A">
            <w:pPr>
              <w:spacing w:line="240" w:lineRule="auto"/>
              <w:jc w:val="center"/>
              <w:rPr>
                <w:rFonts w:hint="default" w:ascii="Times New Roman" w:hAnsi="Times New Roman" w:eastAsia="宋体" w:cs="Times New Roman"/>
                <w:color w:val="auto"/>
                <w:sz w:val="21"/>
                <w:szCs w:val="21"/>
                <w:highlight w:val="none"/>
                <w:u w:val="single" w:color="auto"/>
              </w:rPr>
            </w:pPr>
          </w:p>
        </w:tc>
        <w:tc>
          <w:tcPr>
            <w:tcW w:w="614" w:type="pct"/>
            <w:vAlign w:val="center"/>
          </w:tcPr>
          <w:p w14:paraId="1309256C">
            <w:pPr>
              <w:spacing w:line="240" w:lineRule="auto"/>
              <w:jc w:val="center"/>
              <w:rPr>
                <w:rFonts w:hint="default" w:ascii="Times New Roman" w:hAnsi="Times New Roman" w:eastAsia="宋体" w:cs="Times New Roman"/>
                <w:color w:val="auto"/>
                <w:sz w:val="21"/>
                <w:szCs w:val="21"/>
                <w:highlight w:val="none"/>
                <w:u w:val="single" w:color="auto"/>
              </w:rPr>
            </w:pPr>
          </w:p>
        </w:tc>
      </w:tr>
      <w:tr w14:paraId="619A02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312" w:type="pct"/>
            <w:gridSpan w:val="2"/>
            <w:vAlign w:val="center"/>
          </w:tcPr>
          <w:p w14:paraId="636F497C">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合计</w:t>
            </w:r>
          </w:p>
        </w:tc>
        <w:tc>
          <w:tcPr>
            <w:tcW w:w="665" w:type="pct"/>
            <w:vAlign w:val="center"/>
          </w:tcPr>
          <w:p w14:paraId="5D2CE85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71.524</w:t>
            </w:r>
          </w:p>
        </w:tc>
        <w:tc>
          <w:tcPr>
            <w:tcW w:w="582" w:type="pct"/>
            <w:vAlign w:val="center"/>
          </w:tcPr>
          <w:p w14:paraId="47A5A838">
            <w:pPr>
              <w:spacing w:line="240" w:lineRule="auto"/>
              <w:jc w:val="center"/>
              <w:rPr>
                <w:rFonts w:hint="default" w:ascii="Times New Roman" w:hAnsi="Times New Roman" w:eastAsia="宋体" w:cs="Times New Roman"/>
                <w:color w:val="auto"/>
                <w:sz w:val="21"/>
                <w:szCs w:val="21"/>
                <w:highlight w:val="none"/>
                <w:u w:val="single" w:color="auto"/>
              </w:rPr>
            </w:pPr>
          </w:p>
        </w:tc>
        <w:tc>
          <w:tcPr>
            <w:tcW w:w="1079" w:type="pct"/>
            <w:vAlign w:val="center"/>
          </w:tcPr>
          <w:p w14:paraId="5B8290A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合计</w:t>
            </w:r>
          </w:p>
        </w:tc>
        <w:tc>
          <w:tcPr>
            <w:tcW w:w="748" w:type="pct"/>
            <w:vAlign w:val="center"/>
          </w:tcPr>
          <w:p w14:paraId="12C1C42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71.524</w:t>
            </w:r>
          </w:p>
        </w:tc>
        <w:tc>
          <w:tcPr>
            <w:tcW w:w="614" w:type="pct"/>
            <w:vAlign w:val="center"/>
          </w:tcPr>
          <w:p w14:paraId="472F8E9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100</w:t>
            </w:r>
          </w:p>
        </w:tc>
      </w:tr>
    </w:tbl>
    <w:p w14:paraId="5F8842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（4）硫酸根离子、氯离子、硝酸根离子、硼酸根离子平衡</w:t>
      </w:r>
    </w:p>
    <w:p w14:paraId="1A590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1"/>
          <w:szCs w:val="18"/>
          <w:highlight w:val="none"/>
          <w:u w:val="single" w:color="auto"/>
          <w:lang w:val="en-US" w:eastAsia="zh-CN" w:bidi="ar-SA"/>
        </w:rPr>
      </w:pPr>
      <w:r>
        <w:rPr>
          <w:rFonts w:hint="default" w:ascii="Times New Roman" w:hAnsi="Times New Roman" w:eastAsia="宋体" w:cs="Times New Roman"/>
          <w:b/>
          <w:bCs/>
          <w:color w:val="auto"/>
          <w:kern w:val="2"/>
          <w:sz w:val="21"/>
          <w:szCs w:val="18"/>
          <w:highlight w:val="none"/>
          <w:u w:val="single" w:color="auto"/>
          <w:lang w:val="en-US" w:eastAsia="zh-CN" w:bidi="ar-SA"/>
        </w:rPr>
        <w:t>表4.2-7 硫酸根离子、氯离子、硝酸根离子、硼酸根离子平衡</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63"/>
        <w:gridCol w:w="1099"/>
        <w:gridCol w:w="1097"/>
        <w:gridCol w:w="962"/>
        <w:gridCol w:w="1801"/>
        <w:gridCol w:w="687"/>
        <w:gridCol w:w="795"/>
        <w:gridCol w:w="1018"/>
      </w:tblGrid>
      <w:tr w14:paraId="1E8FB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518" w:type="pct"/>
            <w:gridSpan w:val="4"/>
            <w:vAlign w:val="center"/>
          </w:tcPr>
          <w:p w14:paraId="4D5060D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输入</w:t>
            </w:r>
          </w:p>
        </w:tc>
        <w:tc>
          <w:tcPr>
            <w:tcW w:w="2481" w:type="pct"/>
            <w:gridSpan w:val="4"/>
            <w:vAlign w:val="center"/>
          </w:tcPr>
          <w:p w14:paraId="0116CFD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输出</w:t>
            </w:r>
          </w:p>
        </w:tc>
      </w:tr>
      <w:tr w14:paraId="18CDF8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34" w:type="pct"/>
            <w:vAlign w:val="center"/>
          </w:tcPr>
          <w:p w14:paraId="659B3B7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来源</w:t>
            </w:r>
          </w:p>
        </w:tc>
        <w:tc>
          <w:tcPr>
            <w:tcW w:w="654" w:type="pct"/>
            <w:vAlign w:val="center"/>
          </w:tcPr>
          <w:p w14:paraId="2504837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原料用量</w:t>
            </w:r>
          </w:p>
          <w:p w14:paraId="0379882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654" w:type="pct"/>
            <w:vAlign w:val="center"/>
          </w:tcPr>
          <w:p w14:paraId="7BE57D1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离子</w:t>
            </w:r>
            <w:r>
              <w:rPr>
                <w:rFonts w:hint="default" w:ascii="Times New Roman" w:hAnsi="Times New Roman" w:eastAsia="宋体" w:cs="Times New Roman"/>
                <w:color w:val="auto"/>
                <w:sz w:val="21"/>
                <w:szCs w:val="21"/>
                <w:highlight w:val="none"/>
                <w:u w:val="single" w:color="auto"/>
              </w:rPr>
              <w:t>含量</w:t>
            </w:r>
          </w:p>
          <w:p w14:paraId="045A00F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574" w:type="pct"/>
            <w:vAlign w:val="center"/>
          </w:tcPr>
          <w:p w14:paraId="78168C4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含量</w:t>
            </w:r>
            <w:r>
              <w:rPr>
                <w:rFonts w:hint="default" w:ascii="Times New Roman" w:hAnsi="Times New Roman" w:eastAsia="宋体" w:cs="Times New Roman"/>
                <w:color w:val="auto"/>
                <w:sz w:val="21"/>
                <w:szCs w:val="21"/>
                <w:highlight w:val="none"/>
                <w:u w:val="single" w:color="auto"/>
                <w:lang w:eastAsia="zh-CN"/>
              </w:rPr>
              <w:t>比</w:t>
            </w:r>
          </w:p>
          <w:p w14:paraId="7816179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w:t>
            </w:r>
          </w:p>
        </w:tc>
        <w:tc>
          <w:tcPr>
            <w:tcW w:w="1067" w:type="pct"/>
            <w:vAlign w:val="center"/>
          </w:tcPr>
          <w:p w14:paraId="409B603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去向</w:t>
            </w:r>
          </w:p>
        </w:tc>
        <w:tc>
          <w:tcPr>
            <w:tcW w:w="807" w:type="pct"/>
            <w:gridSpan w:val="2"/>
            <w:vAlign w:val="center"/>
          </w:tcPr>
          <w:p w14:paraId="30DAAD0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含量</w:t>
            </w:r>
          </w:p>
          <w:p w14:paraId="016495D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607" w:type="pct"/>
            <w:vAlign w:val="center"/>
          </w:tcPr>
          <w:p w14:paraId="0C4457C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占比</w:t>
            </w:r>
          </w:p>
          <w:p w14:paraId="47DE4B2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w:t>
            </w:r>
          </w:p>
        </w:tc>
      </w:tr>
      <w:tr w14:paraId="403A1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634" w:type="pct"/>
            <w:vMerge w:val="restart"/>
            <w:vAlign w:val="center"/>
          </w:tcPr>
          <w:p w14:paraId="4811C3E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硼酸</w:t>
            </w:r>
          </w:p>
        </w:tc>
        <w:tc>
          <w:tcPr>
            <w:tcW w:w="654" w:type="pct"/>
            <w:vMerge w:val="restart"/>
            <w:vAlign w:val="center"/>
          </w:tcPr>
          <w:p w14:paraId="15FF8B7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w:t>
            </w:r>
          </w:p>
        </w:tc>
        <w:tc>
          <w:tcPr>
            <w:tcW w:w="654" w:type="pct"/>
            <w:vMerge w:val="restart"/>
            <w:vAlign w:val="center"/>
          </w:tcPr>
          <w:p w14:paraId="162734B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39.06</w:t>
            </w:r>
          </w:p>
        </w:tc>
        <w:tc>
          <w:tcPr>
            <w:tcW w:w="574" w:type="pct"/>
            <w:vMerge w:val="restart"/>
            <w:vAlign w:val="center"/>
          </w:tcPr>
          <w:p w14:paraId="0ADD724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95.15</w:t>
            </w:r>
          </w:p>
        </w:tc>
        <w:tc>
          <w:tcPr>
            <w:tcW w:w="1067" w:type="pct"/>
            <w:vMerge w:val="restart"/>
            <w:vAlign w:val="center"/>
          </w:tcPr>
          <w:p w14:paraId="040D1B1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none" w:color="auto"/>
                <w:lang w:val="en-US" w:eastAsia="zh-CN"/>
              </w:rPr>
              <w:t>三效蒸发器蒸</w:t>
            </w:r>
            <w:r>
              <w:rPr>
                <w:rFonts w:hint="eastAsia" w:ascii="Times New Roman" w:hAnsi="Times New Roman" w:eastAsia="宋体" w:cs="Times New Roman"/>
                <w:color w:val="auto"/>
                <w:sz w:val="21"/>
                <w:szCs w:val="21"/>
                <w:highlight w:val="none"/>
                <w:u w:val="none" w:color="auto"/>
                <w:lang w:val="en-US" w:eastAsia="zh-CN"/>
              </w:rPr>
              <w:t>发</w:t>
            </w:r>
            <w:r>
              <w:rPr>
                <w:rFonts w:hint="default" w:ascii="Times New Roman" w:hAnsi="Times New Roman" w:eastAsia="宋体" w:cs="Times New Roman"/>
                <w:color w:val="auto"/>
                <w:sz w:val="21"/>
                <w:szCs w:val="21"/>
                <w:highlight w:val="none"/>
                <w:u w:val="none" w:color="auto"/>
              </w:rPr>
              <w:t>残渣</w:t>
            </w:r>
            <w:r>
              <w:rPr>
                <w:rFonts w:hint="default" w:ascii="Times New Roman" w:hAnsi="Times New Roman" w:eastAsia="宋体" w:cs="Times New Roman"/>
                <w:color w:val="auto"/>
                <w:sz w:val="21"/>
                <w:szCs w:val="21"/>
                <w:highlight w:val="none"/>
                <w:u w:val="none" w:color="auto"/>
                <w:lang w:eastAsia="zh-CN"/>
              </w:rPr>
              <w:t>、过滤材料等固废</w:t>
            </w:r>
          </w:p>
        </w:tc>
        <w:tc>
          <w:tcPr>
            <w:tcW w:w="403" w:type="pct"/>
            <w:tcBorders>
              <w:bottom w:val="single" w:color="auto" w:sz="4" w:space="0"/>
              <w:right w:val="single" w:color="auto" w:sz="4" w:space="0"/>
            </w:tcBorders>
            <w:vAlign w:val="center"/>
          </w:tcPr>
          <w:p w14:paraId="09AE3EC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SO</w:t>
            </w:r>
            <w:r>
              <w:rPr>
                <w:rFonts w:hint="default" w:ascii="Times New Roman" w:hAnsi="Times New Roman" w:eastAsia="宋体" w:cs="Times New Roman"/>
                <w:color w:val="auto"/>
                <w:sz w:val="21"/>
                <w:szCs w:val="21"/>
                <w:highlight w:val="none"/>
                <w:u w:val="single" w:color="auto"/>
                <w:vertAlign w:val="subscript"/>
                <w:lang w:val="en-US" w:eastAsia="zh-CN"/>
              </w:rPr>
              <w:t>4</w:t>
            </w:r>
            <w:r>
              <w:rPr>
                <w:rFonts w:hint="default" w:ascii="Times New Roman" w:hAnsi="Times New Roman" w:eastAsia="宋体" w:cs="Times New Roman"/>
                <w:color w:val="auto"/>
                <w:sz w:val="21"/>
                <w:szCs w:val="21"/>
                <w:highlight w:val="none"/>
                <w:u w:val="single" w:color="auto"/>
                <w:vertAlign w:val="superscript"/>
                <w:lang w:val="en-US" w:eastAsia="zh-CN"/>
              </w:rPr>
              <w:t>2-</w:t>
            </w:r>
          </w:p>
        </w:tc>
        <w:tc>
          <w:tcPr>
            <w:tcW w:w="404" w:type="pct"/>
            <w:tcBorders>
              <w:left w:val="single" w:color="auto" w:sz="4" w:space="0"/>
              <w:bottom w:val="single" w:color="auto" w:sz="4" w:space="0"/>
            </w:tcBorders>
            <w:vAlign w:val="center"/>
          </w:tcPr>
          <w:p w14:paraId="7E3A906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94.605</w:t>
            </w:r>
          </w:p>
        </w:tc>
        <w:tc>
          <w:tcPr>
            <w:tcW w:w="607" w:type="pct"/>
            <w:tcBorders>
              <w:bottom w:val="single" w:color="auto" w:sz="4" w:space="0"/>
            </w:tcBorders>
            <w:vAlign w:val="center"/>
          </w:tcPr>
          <w:p w14:paraId="7178435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98.547</w:t>
            </w:r>
          </w:p>
        </w:tc>
      </w:tr>
      <w:tr w14:paraId="67DAC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634" w:type="pct"/>
            <w:vMerge w:val="continue"/>
            <w:vAlign w:val="center"/>
          </w:tcPr>
          <w:p w14:paraId="3E0C3058">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654" w:type="pct"/>
            <w:vMerge w:val="continue"/>
            <w:vAlign w:val="center"/>
          </w:tcPr>
          <w:p w14:paraId="1991F894">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654" w:type="pct"/>
            <w:vMerge w:val="continue"/>
            <w:vAlign w:val="center"/>
          </w:tcPr>
          <w:p w14:paraId="410B31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p>
        </w:tc>
        <w:tc>
          <w:tcPr>
            <w:tcW w:w="574" w:type="pct"/>
            <w:vMerge w:val="continue"/>
            <w:vAlign w:val="center"/>
          </w:tcPr>
          <w:p w14:paraId="2539791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67" w:type="pct"/>
            <w:vMerge w:val="continue"/>
            <w:vAlign w:val="center"/>
          </w:tcPr>
          <w:p w14:paraId="3F1E694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403" w:type="pct"/>
            <w:tcBorders>
              <w:top w:val="single" w:color="auto" w:sz="4" w:space="0"/>
              <w:right w:val="single" w:color="auto" w:sz="4" w:space="0"/>
            </w:tcBorders>
            <w:vAlign w:val="center"/>
          </w:tcPr>
          <w:p w14:paraId="78EABBE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Cl</w:t>
            </w:r>
            <w:r>
              <w:rPr>
                <w:rFonts w:hint="default" w:ascii="Times New Roman" w:hAnsi="Times New Roman" w:eastAsia="宋体" w:cs="Times New Roman"/>
                <w:color w:val="auto"/>
                <w:sz w:val="21"/>
                <w:szCs w:val="21"/>
                <w:highlight w:val="none"/>
                <w:u w:val="single" w:color="auto"/>
                <w:vertAlign w:val="superscript"/>
                <w:lang w:val="en-US" w:eastAsia="zh-CN"/>
              </w:rPr>
              <w:t>-</w:t>
            </w:r>
          </w:p>
        </w:tc>
        <w:tc>
          <w:tcPr>
            <w:tcW w:w="404" w:type="pct"/>
            <w:tcBorders>
              <w:top w:val="single" w:color="auto" w:sz="4" w:space="0"/>
              <w:left w:val="single" w:color="auto" w:sz="4" w:space="0"/>
            </w:tcBorders>
            <w:vAlign w:val="center"/>
          </w:tcPr>
          <w:p w14:paraId="0BB7FA9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53.764</w:t>
            </w:r>
          </w:p>
        </w:tc>
        <w:tc>
          <w:tcPr>
            <w:tcW w:w="607" w:type="pct"/>
            <w:tcBorders>
              <w:top w:val="single" w:color="auto" w:sz="4" w:space="0"/>
            </w:tcBorders>
            <w:vAlign w:val="center"/>
          </w:tcPr>
          <w:p w14:paraId="446008E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99.6</w:t>
            </w:r>
          </w:p>
        </w:tc>
      </w:tr>
      <w:tr w14:paraId="758FE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634" w:type="pct"/>
            <w:vMerge w:val="restart"/>
            <w:vAlign w:val="center"/>
          </w:tcPr>
          <w:p w14:paraId="036BBAF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盐酸</w:t>
            </w:r>
          </w:p>
        </w:tc>
        <w:tc>
          <w:tcPr>
            <w:tcW w:w="654" w:type="pct"/>
            <w:vMerge w:val="restart"/>
            <w:vAlign w:val="center"/>
          </w:tcPr>
          <w:p w14:paraId="194F18D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150</w:t>
            </w:r>
          </w:p>
        </w:tc>
        <w:tc>
          <w:tcPr>
            <w:tcW w:w="654" w:type="pct"/>
            <w:vMerge w:val="restart"/>
            <w:vAlign w:val="center"/>
          </w:tcPr>
          <w:p w14:paraId="050B0F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53.98</w:t>
            </w:r>
          </w:p>
        </w:tc>
        <w:tc>
          <w:tcPr>
            <w:tcW w:w="574" w:type="pct"/>
            <w:vMerge w:val="restart"/>
            <w:vAlign w:val="center"/>
          </w:tcPr>
          <w:p w14:paraId="762116A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35.99</w:t>
            </w:r>
          </w:p>
        </w:tc>
        <w:tc>
          <w:tcPr>
            <w:tcW w:w="1067" w:type="pct"/>
            <w:vMerge w:val="continue"/>
            <w:vAlign w:val="center"/>
          </w:tcPr>
          <w:p w14:paraId="58DDEE08">
            <w:pPr>
              <w:spacing w:line="240" w:lineRule="auto"/>
              <w:jc w:val="center"/>
              <w:rPr>
                <w:rFonts w:hint="default" w:ascii="Times New Roman" w:hAnsi="Times New Roman" w:eastAsia="宋体" w:cs="Times New Roman"/>
                <w:bCs/>
                <w:color w:val="auto"/>
                <w:sz w:val="21"/>
                <w:szCs w:val="21"/>
                <w:highlight w:val="none"/>
                <w:u w:val="single" w:color="auto"/>
              </w:rPr>
            </w:pPr>
          </w:p>
        </w:tc>
        <w:tc>
          <w:tcPr>
            <w:tcW w:w="403" w:type="pct"/>
            <w:tcBorders>
              <w:bottom w:val="single" w:color="auto" w:sz="4" w:space="0"/>
              <w:right w:val="single" w:color="auto" w:sz="4" w:space="0"/>
            </w:tcBorders>
            <w:vAlign w:val="center"/>
          </w:tcPr>
          <w:p w14:paraId="2C0F4565">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NO</w:t>
            </w:r>
            <w:r>
              <w:rPr>
                <w:rFonts w:hint="default" w:ascii="Times New Roman" w:hAnsi="Times New Roman" w:eastAsia="宋体" w:cs="Times New Roman"/>
                <w:bCs/>
                <w:color w:val="auto"/>
                <w:sz w:val="21"/>
                <w:szCs w:val="21"/>
                <w:highlight w:val="none"/>
                <w:u w:val="single" w:color="auto"/>
                <w:vertAlign w:val="subscript"/>
                <w:lang w:val="en-US" w:eastAsia="zh-CN"/>
              </w:rPr>
              <w:t>3</w:t>
            </w:r>
            <w:r>
              <w:rPr>
                <w:rFonts w:hint="default" w:ascii="Times New Roman" w:hAnsi="Times New Roman" w:eastAsia="宋体" w:cs="Times New Roman"/>
                <w:bCs/>
                <w:color w:val="auto"/>
                <w:sz w:val="20"/>
                <w:szCs w:val="20"/>
                <w:highlight w:val="none"/>
                <w:u w:val="single" w:color="auto"/>
                <w:vertAlign w:val="superscript"/>
                <w:lang w:val="en-US" w:eastAsia="zh-CN"/>
              </w:rPr>
              <w:t>-</w:t>
            </w:r>
          </w:p>
        </w:tc>
        <w:tc>
          <w:tcPr>
            <w:tcW w:w="404" w:type="pct"/>
            <w:tcBorders>
              <w:left w:val="single" w:color="auto" w:sz="4" w:space="0"/>
              <w:bottom w:val="single" w:color="auto" w:sz="4" w:space="0"/>
            </w:tcBorders>
            <w:vAlign w:val="center"/>
          </w:tcPr>
          <w:p w14:paraId="320F4803">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18.77</w:t>
            </w:r>
          </w:p>
        </w:tc>
        <w:tc>
          <w:tcPr>
            <w:tcW w:w="607" w:type="pct"/>
            <w:tcBorders>
              <w:bottom w:val="single" w:color="auto" w:sz="4" w:space="0"/>
            </w:tcBorders>
            <w:vAlign w:val="center"/>
          </w:tcPr>
          <w:p w14:paraId="24F3DF38">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97.811</w:t>
            </w:r>
          </w:p>
        </w:tc>
      </w:tr>
      <w:tr w14:paraId="7A326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634" w:type="pct"/>
            <w:vMerge w:val="continue"/>
            <w:vAlign w:val="center"/>
          </w:tcPr>
          <w:p w14:paraId="369A78E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654" w:type="pct"/>
            <w:vMerge w:val="continue"/>
            <w:vAlign w:val="center"/>
          </w:tcPr>
          <w:p w14:paraId="43EAC70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654" w:type="pct"/>
            <w:vMerge w:val="continue"/>
            <w:vAlign w:val="center"/>
          </w:tcPr>
          <w:p w14:paraId="42B03C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p>
        </w:tc>
        <w:tc>
          <w:tcPr>
            <w:tcW w:w="574" w:type="pct"/>
            <w:vMerge w:val="continue"/>
            <w:vAlign w:val="center"/>
          </w:tcPr>
          <w:p w14:paraId="0A38E51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67" w:type="pct"/>
            <w:vMerge w:val="continue"/>
            <w:vAlign w:val="center"/>
          </w:tcPr>
          <w:p w14:paraId="5B7D0476">
            <w:pPr>
              <w:spacing w:line="240" w:lineRule="auto"/>
              <w:jc w:val="center"/>
              <w:rPr>
                <w:rFonts w:hint="default" w:ascii="Times New Roman" w:hAnsi="Times New Roman" w:eastAsia="宋体" w:cs="Times New Roman"/>
                <w:bCs/>
                <w:color w:val="auto"/>
                <w:sz w:val="21"/>
                <w:szCs w:val="21"/>
                <w:highlight w:val="none"/>
                <w:u w:val="single" w:color="auto"/>
              </w:rPr>
            </w:pPr>
          </w:p>
        </w:tc>
        <w:tc>
          <w:tcPr>
            <w:tcW w:w="403" w:type="pct"/>
            <w:tcBorders>
              <w:top w:val="single" w:color="auto" w:sz="4" w:space="0"/>
              <w:right w:val="single" w:color="auto" w:sz="4" w:space="0"/>
            </w:tcBorders>
            <w:vAlign w:val="center"/>
          </w:tcPr>
          <w:p w14:paraId="3C5C8064">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BO</w:t>
            </w:r>
            <w:r>
              <w:rPr>
                <w:rFonts w:hint="default" w:ascii="Times New Roman" w:hAnsi="Times New Roman" w:eastAsia="宋体" w:cs="Times New Roman"/>
                <w:bCs/>
                <w:color w:val="auto"/>
                <w:sz w:val="21"/>
                <w:szCs w:val="21"/>
                <w:highlight w:val="none"/>
                <w:u w:val="single" w:color="auto"/>
                <w:vertAlign w:val="subscript"/>
                <w:lang w:val="en-US" w:eastAsia="zh-CN"/>
              </w:rPr>
              <w:t>3</w:t>
            </w:r>
            <w:r>
              <w:rPr>
                <w:rFonts w:hint="default" w:ascii="Times New Roman" w:hAnsi="Times New Roman" w:eastAsia="宋体" w:cs="Times New Roman"/>
                <w:bCs/>
                <w:color w:val="auto"/>
                <w:sz w:val="21"/>
                <w:szCs w:val="21"/>
                <w:highlight w:val="none"/>
                <w:u w:val="single" w:color="auto"/>
                <w:vertAlign w:val="superscript"/>
                <w:lang w:val="en-US" w:eastAsia="zh-CN"/>
              </w:rPr>
              <w:t>3</w:t>
            </w:r>
            <w:r>
              <w:rPr>
                <w:rFonts w:hint="default" w:ascii="Times New Roman" w:hAnsi="Times New Roman" w:eastAsia="宋体" w:cs="Times New Roman"/>
                <w:bCs/>
                <w:color w:val="auto"/>
                <w:sz w:val="20"/>
                <w:szCs w:val="20"/>
                <w:highlight w:val="none"/>
                <w:u w:val="single" w:color="auto"/>
                <w:vertAlign w:val="superscript"/>
                <w:lang w:val="en-US" w:eastAsia="zh-CN"/>
              </w:rPr>
              <w:t>-</w:t>
            </w:r>
          </w:p>
        </w:tc>
        <w:tc>
          <w:tcPr>
            <w:tcW w:w="404" w:type="pct"/>
            <w:tcBorders>
              <w:top w:val="single" w:color="auto" w:sz="4" w:space="0"/>
              <w:left w:val="single" w:color="auto" w:sz="4" w:space="0"/>
            </w:tcBorders>
            <w:vAlign w:val="center"/>
          </w:tcPr>
          <w:p w14:paraId="13711B75">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39.06</w:t>
            </w:r>
          </w:p>
        </w:tc>
        <w:tc>
          <w:tcPr>
            <w:tcW w:w="607" w:type="pct"/>
            <w:tcBorders>
              <w:top w:val="single" w:color="auto" w:sz="4" w:space="0"/>
            </w:tcBorders>
            <w:vAlign w:val="center"/>
          </w:tcPr>
          <w:p w14:paraId="06F229DE">
            <w:pPr>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100</w:t>
            </w:r>
          </w:p>
        </w:tc>
      </w:tr>
      <w:tr w14:paraId="4B95A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634" w:type="pct"/>
            <w:vMerge w:val="restart"/>
            <w:vAlign w:val="center"/>
          </w:tcPr>
          <w:p w14:paraId="2E01884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硫酸</w:t>
            </w:r>
          </w:p>
        </w:tc>
        <w:tc>
          <w:tcPr>
            <w:tcW w:w="654" w:type="pct"/>
            <w:vMerge w:val="restart"/>
            <w:vAlign w:val="center"/>
          </w:tcPr>
          <w:p w14:paraId="217471A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100</w:t>
            </w:r>
          </w:p>
        </w:tc>
        <w:tc>
          <w:tcPr>
            <w:tcW w:w="654" w:type="pct"/>
            <w:vMerge w:val="restart"/>
            <w:vAlign w:val="center"/>
          </w:tcPr>
          <w:p w14:paraId="3DE0AE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96</w:t>
            </w:r>
          </w:p>
        </w:tc>
        <w:tc>
          <w:tcPr>
            <w:tcW w:w="574" w:type="pct"/>
            <w:vMerge w:val="restart"/>
            <w:vAlign w:val="center"/>
          </w:tcPr>
          <w:p w14:paraId="7E675D6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96</w:t>
            </w:r>
          </w:p>
        </w:tc>
        <w:tc>
          <w:tcPr>
            <w:tcW w:w="1067" w:type="pct"/>
            <w:vMerge w:val="restart"/>
            <w:vAlign w:val="center"/>
          </w:tcPr>
          <w:p w14:paraId="3AEA110D">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废气</w:t>
            </w:r>
          </w:p>
        </w:tc>
        <w:tc>
          <w:tcPr>
            <w:tcW w:w="403" w:type="pct"/>
            <w:tcBorders>
              <w:bottom w:val="single" w:color="auto" w:sz="4" w:space="0"/>
              <w:right w:val="single" w:color="auto" w:sz="4" w:space="0"/>
            </w:tcBorders>
            <w:vAlign w:val="center"/>
          </w:tcPr>
          <w:p w14:paraId="75ABBD6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SO</w:t>
            </w:r>
            <w:r>
              <w:rPr>
                <w:rFonts w:hint="default" w:ascii="Times New Roman" w:hAnsi="Times New Roman" w:eastAsia="宋体" w:cs="Times New Roman"/>
                <w:color w:val="auto"/>
                <w:sz w:val="21"/>
                <w:szCs w:val="21"/>
                <w:highlight w:val="none"/>
                <w:u w:val="single" w:color="auto"/>
                <w:vertAlign w:val="subscript"/>
                <w:lang w:val="en-US" w:eastAsia="zh-CN"/>
              </w:rPr>
              <w:t>4</w:t>
            </w:r>
            <w:r>
              <w:rPr>
                <w:rFonts w:hint="default" w:ascii="Times New Roman" w:hAnsi="Times New Roman" w:eastAsia="宋体" w:cs="Times New Roman"/>
                <w:color w:val="auto"/>
                <w:sz w:val="21"/>
                <w:szCs w:val="21"/>
                <w:highlight w:val="none"/>
                <w:u w:val="single" w:color="auto"/>
                <w:vertAlign w:val="superscript"/>
                <w:lang w:val="en-US" w:eastAsia="zh-CN"/>
              </w:rPr>
              <w:t>2-</w:t>
            </w:r>
          </w:p>
        </w:tc>
        <w:tc>
          <w:tcPr>
            <w:tcW w:w="404" w:type="pct"/>
            <w:tcBorders>
              <w:left w:val="single" w:color="auto" w:sz="4" w:space="0"/>
              <w:bottom w:val="single" w:color="auto" w:sz="4" w:space="0"/>
            </w:tcBorders>
            <w:vAlign w:val="center"/>
          </w:tcPr>
          <w:p w14:paraId="1036835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1.395</w:t>
            </w:r>
          </w:p>
        </w:tc>
        <w:tc>
          <w:tcPr>
            <w:tcW w:w="607" w:type="pct"/>
            <w:tcBorders>
              <w:bottom w:val="single" w:color="auto" w:sz="4" w:space="0"/>
            </w:tcBorders>
            <w:vAlign w:val="center"/>
          </w:tcPr>
          <w:p w14:paraId="6AEAE45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1.453</w:t>
            </w:r>
          </w:p>
        </w:tc>
      </w:tr>
      <w:tr w14:paraId="6FFBD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634" w:type="pct"/>
            <w:vMerge w:val="continue"/>
            <w:vAlign w:val="center"/>
          </w:tcPr>
          <w:p w14:paraId="2AED505F">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654" w:type="pct"/>
            <w:vMerge w:val="continue"/>
            <w:vAlign w:val="center"/>
          </w:tcPr>
          <w:p w14:paraId="02872B7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654" w:type="pct"/>
            <w:vMerge w:val="continue"/>
            <w:vAlign w:val="center"/>
          </w:tcPr>
          <w:p w14:paraId="30EC03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p>
        </w:tc>
        <w:tc>
          <w:tcPr>
            <w:tcW w:w="574" w:type="pct"/>
            <w:vMerge w:val="continue"/>
            <w:vAlign w:val="center"/>
          </w:tcPr>
          <w:p w14:paraId="79AA39F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67" w:type="pct"/>
            <w:vMerge w:val="continue"/>
            <w:vAlign w:val="center"/>
          </w:tcPr>
          <w:p w14:paraId="2462A1DB">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403" w:type="pct"/>
            <w:tcBorders>
              <w:top w:val="single" w:color="auto" w:sz="4" w:space="0"/>
              <w:right w:val="single" w:color="auto" w:sz="4" w:space="0"/>
            </w:tcBorders>
            <w:vAlign w:val="center"/>
          </w:tcPr>
          <w:p w14:paraId="0ACE697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Cl</w:t>
            </w:r>
            <w:r>
              <w:rPr>
                <w:rFonts w:hint="default" w:ascii="Times New Roman" w:hAnsi="Times New Roman" w:eastAsia="宋体" w:cs="Times New Roman"/>
                <w:color w:val="auto"/>
                <w:sz w:val="21"/>
                <w:szCs w:val="21"/>
                <w:highlight w:val="none"/>
                <w:u w:val="single" w:color="auto"/>
                <w:vertAlign w:val="superscript"/>
                <w:lang w:val="en-US" w:eastAsia="zh-CN"/>
              </w:rPr>
              <w:t>-</w:t>
            </w:r>
          </w:p>
        </w:tc>
        <w:tc>
          <w:tcPr>
            <w:tcW w:w="404" w:type="pct"/>
            <w:tcBorders>
              <w:top w:val="single" w:color="auto" w:sz="4" w:space="0"/>
              <w:left w:val="single" w:color="auto" w:sz="4" w:space="0"/>
            </w:tcBorders>
            <w:vAlign w:val="center"/>
          </w:tcPr>
          <w:p w14:paraId="5FE8CD9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0.216</w:t>
            </w:r>
          </w:p>
        </w:tc>
        <w:tc>
          <w:tcPr>
            <w:tcW w:w="607" w:type="pct"/>
            <w:tcBorders>
              <w:top w:val="single" w:color="auto" w:sz="4" w:space="0"/>
            </w:tcBorders>
            <w:vAlign w:val="center"/>
          </w:tcPr>
          <w:p w14:paraId="45FD214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w:t>
            </w:r>
          </w:p>
        </w:tc>
      </w:tr>
      <w:tr w14:paraId="3A02B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634" w:type="pct"/>
            <w:vAlign w:val="center"/>
          </w:tcPr>
          <w:p w14:paraId="62DFDC3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硝酸</w:t>
            </w:r>
          </w:p>
        </w:tc>
        <w:tc>
          <w:tcPr>
            <w:tcW w:w="654" w:type="pct"/>
            <w:vAlign w:val="center"/>
          </w:tcPr>
          <w:p w14:paraId="5F3C947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w:t>
            </w:r>
          </w:p>
        </w:tc>
        <w:tc>
          <w:tcPr>
            <w:tcW w:w="654" w:type="pct"/>
            <w:vAlign w:val="center"/>
          </w:tcPr>
          <w:p w14:paraId="36FB305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19.19</w:t>
            </w:r>
          </w:p>
        </w:tc>
        <w:tc>
          <w:tcPr>
            <w:tcW w:w="574" w:type="pct"/>
            <w:vAlign w:val="center"/>
          </w:tcPr>
          <w:p w14:paraId="08D443E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63.97</w:t>
            </w:r>
          </w:p>
        </w:tc>
        <w:tc>
          <w:tcPr>
            <w:tcW w:w="1067" w:type="pct"/>
            <w:vMerge w:val="continue"/>
            <w:vAlign w:val="center"/>
          </w:tcPr>
          <w:p w14:paraId="040C5884">
            <w:pPr>
              <w:spacing w:line="240" w:lineRule="auto"/>
              <w:jc w:val="center"/>
              <w:rPr>
                <w:rFonts w:hint="default" w:ascii="Times New Roman" w:hAnsi="Times New Roman" w:eastAsia="宋体" w:cs="Times New Roman"/>
                <w:color w:val="auto"/>
                <w:sz w:val="21"/>
                <w:szCs w:val="21"/>
                <w:highlight w:val="none"/>
                <w:u w:val="single" w:color="auto"/>
              </w:rPr>
            </w:pPr>
          </w:p>
        </w:tc>
        <w:tc>
          <w:tcPr>
            <w:tcW w:w="403" w:type="pct"/>
            <w:tcBorders>
              <w:right w:val="single" w:color="auto" w:sz="4" w:space="0"/>
            </w:tcBorders>
            <w:vAlign w:val="center"/>
          </w:tcPr>
          <w:p w14:paraId="4EA099F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NO</w:t>
            </w:r>
            <w:r>
              <w:rPr>
                <w:rFonts w:hint="default" w:ascii="Times New Roman" w:hAnsi="Times New Roman" w:eastAsia="宋体" w:cs="Times New Roman"/>
                <w:bCs/>
                <w:color w:val="auto"/>
                <w:sz w:val="21"/>
                <w:szCs w:val="21"/>
                <w:highlight w:val="none"/>
                <w:u w:val="single" w:color="auto"/>
                <w:vertAlign w:val="subscript"/>
                <w:lang w:val="en-US" w:eastAsia="zh-CN"/>
              </w:rPr>
              <w:t>3</w:t>
            </w:r>
            <w:r>
              <w:rPr>
                <w:rFonts w:hint="default" w:ascii="Times New Roman" w:hAnsi="Times New Roman" w:eastAsia="宋体" w:cs="Times New Roman"/>
                <w:bCs/>
                <w:color w:val="auto"/>
                <w:sz w:val="20"/>
                <w:szCs w:val="20"/>
                <w:highlight w:val="none"/>
                <w:u w:val="single" w:color="auto"/>
                <w:vertAlign w:val="superscript"/>
                <w:lang w:val="en-US" w:eastAsia="zh-CN"/>
              </w:rPr>
              <w:t>-</w:t>
            </w:r>
          </w:p>
        </w:tc>
        <w:tc>
          <w:tcPr>
            <w:tcW w:w="404" w:type="pct"/>
            <w:tcBorders>
              <w:left w:val="single" w:color="auto" w:sz="4" w:space="0"/>
            </w:tcBorders>
            <w:vAlign w:val="center"/>
          </w:tcPr>
          <w:p w14:paraId="3B26D73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0.42</w:t>
            </w:r>
          </w:p>
        </w:tc>
        <w:tc>
          <w:tcPr>
            <w:tcW w:w="607" w:type="pct"/>
            <w:vAlign w:val="center"/>
          </w:tcPr>
          <w:p w14:paraId="0B172EC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2.189</w:t>
            </w:r>
          </w:p>
        </w:tc>
      </w:tr>
      <w:tr w14:paraId="7C077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289" w:type="pct"/>
            <w:gridSpan w:val="2"/>
            <w:vAlign w:val="center"/>
          </w:tcPr>
          <w:p w14:paraId="666BCB6C">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合计</w:t>
            </w:r>
          </w:p>
        </w:tc>
        <w:tc>
          <w:tcPr>
            <w:tcW w:w="654" w:type="pct"/>
            <w:vAlign w:val="center"/>
          </w:tcPr>
          <w:p w14:paraId="287E4D2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208.23</w:t>
            </w:r>
          </w:p>
        </w:tc>
        <w:tc>
          <w:tcPr>
            <w:tcW w:w="574" w:type="pct"/>
            <w:vAlign w:val="center"/>
          </w:tcPr>
          <w:p w14:paraId="0E17118C">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7" w:type="pct"/>
            <w:vAlign w:val="center"/>
          </w:tcPr>
          <w:p w14:paraId="399A6A5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合计</w:t>
            </w:r>
          </w:p>
        </w:tc>
        <w:tc>
          <w:tcPr>
            <w:tcW w:w="807" w:type="pct"/>
            <w:gridSpan w:val="2"/>
            <w:vAlign w:val="center"/>
          </w:tcPr>
          <w:p w14:paraId="2BE5E1AE">
            <w:pPr>
              <w:spacing w:line="240" w:lineRule="auto"/>
              <w:jc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1"/>
                <w:szCs w:val="21"/>
                <w:highlight w:val="none"/>
                <w:u w:val="single" w:color="auto"/>
                <w:lang w:val="en-US" w:eastAsia="zh-CN"/>
              </w:rPr>
              <w:t>208.23</w:t>
            </w:r>
          </w:p>
        </w:tc>
        <w:tc>
          <w:tcPr>
            <w:tcW w:w="607" w:type="pct"/>
            <w:vAlign w:val="center"/>
          </w:tcPr>
          <w:p w14:paraId="3571567E">
            <w:pPr>
              <w:spacing w:line="240" w:lineRule="auto"/>
              <w:jc w:val="center"/>
              <w:rPr>
                <w:rFonts w:hint="default" w:ascii="Times New Roman" w:hAnsi="Times New Roman" w:eastAsia="宋体" w:cs="Times New Roman"/>
                <w:color w:val="auto"/>
                <w:sz w:val="21"/>
                <w:szCs w:val="21"/>
                <w:highlight w:val="none"/>
                <w:u w:val="single" w:color="auto"/>
              </w:rPr>
            </w:pPr>
          </w:p>
        </w:tc>
      </w:tr>
    </w:tbl>
    <w:p w14:paraId="66E98E36">
      <w:pPr>
        <w:pStyle w:val="4"/>
        <w:pageBreakBefore w:val="0"/>
        <w:numPr>
          <w:ilvl w:val="0"/>
          <w:numId w:val="0"/>
        </w:numPr>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4.2.2水平衡分析</w:t>
      </w:r>
    </w:p>
    <w:p w14:paraId="4EF73665">
      <w:pPr>
        <w:pStyle w:val="5"/>
        <w:rPr>
          <w:rFonts w:hint="eastAsia"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.2.2.1生产工艺</w:t>
      </w:r>
      <w:r>
        <w:rPr>
          <w:rFonts w:hint="eastAsia" w:ascii="Times New Roman" w:hAnsi="Times New Roman" w:eastAsia="宋体" w:cs="Times New Roman"/>
          <w:color w:val="auto"/>
          <w:sz w:val="24"/>
          <w:szCs w:val="24"/>
          <w:highlight w:val="none"/>
          <w:u w:val="none" w:color="auto"/>
          <w:lang w:val="en-US" w:eastAsia="zh-CN"/>
        </w:rPr>
        <w:t>用水</w:t>
      </w:r>
    </w:p>
    <w:p w14:paraId="1C604E03">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w:t>
      </w:r>
      <w:r>
        <w:rPr>
          <w:rFonts w:hint="eastAsia" w:ascii="Times New Roman" w:hAnsi="Times New Roman" w:eastAsia="宋体" w:cs="Times New Roman"/>
          <w:color w:val="auto"/>
          <w:sz w:val="24"/>
          <w:szCs w:val="21"/>
          <w:highlight w:val="none"/>
          <w:u w:val="none" w:color="auto"/>
          <w:lang w:val="en-US" w:eastAsia="zh-CN"/>
        </w:rPr>
        <w:t>电镀</w:t>
      </w:r>
      <w:r>
        <w:rPr>
          <w:rFonts w:hint="default" w:ascii="Times New Roman" w:hAnsi="Times New Roman" w:eastAsia="宋体" w:cs="Times New Roman"/>
          <w:color w:val="auto"/>
          <w:sz w:val="24"/>
          <w:szCs w:val="21"/>
          <w:highlight w:val="none"/>
          <w:u w:val="none" w:color="auto"/>
        </w:rPr>
        <w:t>生产工艺包括含油废水、</w:t>
      </w:r>
      <w:r>
        <w:rPr>
          <w:rFonts w:hint="default" w:ascii="Times New Roman" w:hAnsi="Times New Roman" w:eastAsia="宋体" w:cs="Times New Roman"/>
          <w:color w:val="auto"/>
          <w:sz w:val="24"/>
          <w:szCs w:val="21"/>
          <w:highlight w:val="none"/>
          <w:u w:val="none" w:color="auto"/>
          <w:lang w:eastAsia="zh-CN"/>
        </w:rPr>
        <w:t>酸碱废水、</w:t>
      </w:r>
      <w:r>
        <w:rPr>
          <w:rFonts w:hint="default" w:ascii="Times New Roman" w:hAnsi="Times New Roman" w:eastAsia="宋体" w:cs="Times New Roman"/>
          <w:color w:val="auto"/>
          <w:sz w:val="24"/>
          <w:szCs w:val="21"/>
          <w:highlight w:val="none"/>
          <w:u w:val="none" w:color="auto"/>
        </w:rPr>
        <w:t>含</w:t>
      </w:r>
      <w:r>
        <w:rPr>
          <w:rFonts w:hint="default" w:ascii="Times New Roman" w:hAnsi="Times New Roman" w:eastAsia="宋体" w:cs="Times New Roman"/>
          <w:color w:val="auto"/>
          <w:sz w:val="24"/>
          <w:szCs w:val="21"/>
          <w:highlight w:val="none"/>
          <w:u w:val="none" w:color="auto"/>
          <w:lang w:eastAsia="zh-CN"/>
        </w:rPr>
        <w:t>锌镍</w:t>
      </w:r>
      <w:r>
        <w:rPr>
          <w:rFonts w:hint="default" w:ascii="Times New Roman" w:hAnsi="Times New Roman" w:eastAsia="宋体" w:cs="Times New Roman"/>
          <w:color w:val="auto"/>
          <w:sz w:val="24"/>
          <w:szCs w:val="21"/>
          <w:highlight w:val="none"/>
          <w:u w:val="none" w:color="auto"/>
        </w:rPr>
        <w:t>废水、含镍废水</w:t>
      </w:r>
      <w:r>
        <w:rPr>
          <w:rFonts w:hint="default" w:ascii="Times New Roman" w:hAnsi="Times New Roman" w:eastAsia="宋体" w:cs="Times New Roman"/>
          <w:color w:val="auto"/>
          <w:sz w:val="24"/>
          <w:szCs w:val="21"/>
          <w:highlight w:val="none"/>
          <w:u w:val="none" w:color="auto"/>
          <w:lang w:eastAsia="zh-CN"/>
        </w:rPr>
        <w:t>、含铜废水</w:t>
      </w:r>
      <w:r>
        <w:rPr>
          <w:rFonts w:hint="default" w:ascii="Times New Roman" w:hAnsi="Times New Roman" w:eastAsia="宋体" w:cs="Times New Roman"/>
          <w:color w:val="auto"/>
          <w:sz w:val="24"/>
          <w:szCs w:val="21"/>
          <w:highlight w:val="none"/>
          <w:u w:val="none" w:color="auto"/>
        </w:rPr>
        <w:t>等，电镀工艺生产线用排水受产量、镀种、清洗方式、回水率、企业管理等方面的影响。</w:t>
      </w:r>
    </w:p>
    <w:p w14:paraId="38BC301F">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本项目生产工艺废水主要来源于镀件镀前、镀后的水洗过程，项目</w:t>
      </w:r>
      <w:r>
        <w:rPr>
          <w:rFonts w:hint="default" w:ascii="Times New Roman" w:hAnsi="Times New Roman" w:eastAsia="宋体" w:cs="Times New Roman"/>
          <w:color w:val="auto"/>
          <w:sz w:val="24"/>
          <w:szCs w:val="21"/>
          <w:highlight w:val="none"/>
          <w:u w:val="none" w:color="auto"/>
          <w:lang w:eastAsia="zh-CN"/>
        </w:rPr>
        <w:t>除镀金刚石后采用单槽清洗其余水洗工艺均</w:t>
      </w:r>
      <w:r>
        <w:rPr>
          <w:rFonts w:hint="default" w:ascii="Times New Roman" w:hAnsi="Times New Roman" w:eastAsia="宋体" w:cs="Times New Roman"/>
          <w:color w:val="auto"/>
          <w:sz w:val="24"/>
          <w:szCs w:val="21"/>
          <w:highlight w:val="none"/>
          <w:u w:val="none" w:color="auto"/>
        </w:rPr>
        <w:t>采用三级逆流水洗方式，三级水洗过程中，</w:t>
      </w:r>
      <w:r>
        <w:rPr>
          <w:rFonts w:hint="default" w:ascii="Times New Roman" w:hAnsi="Times New Roman" w:eastAsia="宋体" w:cs="Times New Roman"/>
          <w:color w:val="auto"/>
          <w:sz w:val="24"/>
          <w:szCs w:val="21"/>
          <w:highlight w:val="none"/>
          <w:u w:val="none" w:color="auto"/>
          <w:lang w:eastAsia="zh-CN"/>
        </w:rPr>
        <w:t>根据工艺需求使用纯水、自来水及回用水</w:t>
      </w:r>
      <w:r>
        <w:rPr>
          <w:rFonts w:hint="default" w:ascii="Times New Roman" w:hAnsi="Times New Roman" w:eastAsia="宋体" w:cs="Times New Roman"/>
          <w:color w:val="auto"/>
          <w:sz w:val="24"/>
          <w:szCs w:val="21"/>
          <w:highlight w:val="none"/>
          <w:u w:val="none" w:color="auto"/>
        </w:rPr>
        <w:t>，三级水洗槽中的水溢流至二级水洗槽内（即线上循环使用水或循序水），二级水洗槽内的水溢流至一级水洗槽，一级水洗槽废水</w:t>
      </w:r>
      <w:r>
        <w:rPr>
          <w:rFonts w:hint="default" w:ascii="Times New Roman" w:hAnsi="Times New Roman" w:eastAsia="宋体" w:cs="Times New Roman"/>
          <w:color w:val="auto"/>
          <w:sz w:val="24"/>
          <w:szCs w:val="21"/>
          <w:highlight w:val="none"/>
          <w:u w:val="none" w:color="auto"/>
          <w:lang w:eastAsia="zh-CN"/>
        </w:rPr>
        <w:t>回用于该水洗工序前渡槽</w:t>
      </w:r>
      <w:r>
        <w:rPr>
          <w:rFonts w:hint="default" w:ascii="Times New Roman" w:hAnsi="Times New Roman" w:eastAsia="宋体" w:cs="Times New Roman"/>
          <w:color w:val="auto"/>
          <w:sz w:val="24"/>
          <w:szCs w:val="21"/>
          <w:highlight w:val="none"/>
          <w:u w:val="none" w:color="auto"/>
        </w:rPr>
        <w:t>。</w:t>
      </w:r>
    </w:p>
    <w:p w14:paraId="011504AE">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根据《污染源源强核算技术指南电镀》（HJ984-2018）：连续逆流清洗法镀件单位面积的清洗用水量应≤0.05m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2</w:t>
      </w:r>
      <w:r>
        <w:rPr>
          <w:rFonts w:hint="default" w:ascii="Times New Roman" w:hAnsi="Times New Roman" w:eastAsia="宋体" w:cs="Times New Roman"/>
          <w:color w:val="auto"/>
          <w:sz w:val="24"/>
          <w:szCs w:val="21"/>
          <w:highlight w:val="none"/>
          <w:u w:val="none" w:color="auto"/>
        </w:rPr>
        <w:t>。</w:t>
      </w:r>
    </w:p>
    <w:p w14:paraId="74B62C35">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此外，水洗槽槽体用水量参照《现代电镀手册（下册）》中电镀线清洗槽用水量的计算公式及《电镀环评中水洗水量的理论计算》（詹果儿等）一文中对电镀水洗水量理论计算系数的修正结果。</w:t>
      </w:r>
    </w:p>
    <w:p w14:paraId="4259AAFB">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①电镀车间清洗槽用水量计算公式为：小时用水量=槽有效容积×小时换水次数；</w:t>
      </w:r>
    </w:p>
    <w:p w14:paraId="6A30197F">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②单槽有效容积按槽容积85%计；</w:t>
      </w:r>
    </w:p>
    <w:p w14:paraId="21F974E5">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③废水产生量按新鲜水用量的95%计。</w:t>
      </w:r>
    </w:p>
    <w:p w14:paraId="5732FF2D">
      <w:pPr>
        <w:ind w:firstLine="480" w:firstLineChars="200"/>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4"/>
          <w:szCs w:val="21"/>
          <w:highlight w:val="none"/>
          <w:u w:val="none" w:color="auto"/>
        </w:rPr>
        <w:t>④修正后的电镀水洗水量理论计算系数详见下表：</w:t>
      </w:r>
    </w:p>
    <w:p w14:paraId="5C9DDFD1">
      <w:pPr>
        <w:pStyle w:val="58"/>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表4.2-</w:t>
      </w:r>
      <w:r>
        <w:rPr>
          <w:rFonts w:hint="default" w:ascii="Times New Roman" w:hAnsi="Times New Roman"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lang w:val="en-US" w:eastAsia="zh-CN"/>
        </w:rPr>
        <w:t>修正后的电镀水洗水量理论计算系数</w:t>
      </w:r>
    </w:p>
    <w:p w14:paraId="5FB6CF4A">
      <w:pPr>
        <w:spacing w:line="360" w:lineRule="auto"/>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drawing>
          <wp:inline distT="0" distB="0" distL="0" distR="0">
            <wp:extent cx="5109210" cy="1255395"/>
            <wp:effectExtent l="0" t="0" r="15240" b="190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29" cstate="print"/>
                    <a:stretch>
                      <a:fillRect/>
                    </a:stretch>
                  </pic:blipFill>
                  <pic:spPr>
                    <a:xfrm>
                      <a:off x="0" y="0"/>
                      <a:ext cx="5109537" cy="1255531"/>
                    </a:xfrm>
                    <a:prstGeom prst="rect">
                      <a:avLst/>
                    </a:prstGeom>
                  </pic:spPr>
                </pic:pic>
              </a:graphicData>
            </a:graphic>
          </wp:inline>
        </w:drawing>
      </w:r>
    </w:p>
    <w:p w14:paraId="2F6C580A">
      <w:pPr>
        <w:ind w:firstLine="480" w:firstLineChars="200"/>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rPr>
        <w:t>本次评价</w:t>
      </w:r>
      <w:r>
        <w:rPr>
          <w:rFonts w:hint="default" w:ascii="Times New Roman" w:hAnsi="Times New Roman" w:eastAsia="宋体" w:cs="Times New Roman"/>
          <w:color w:val="auto"/>
          <w:sz w:val="24"/>
          <w:szCs w:val="24"/>
          <w:highlight w:val="none"/>
          <w:u w:val="none" w:color="auto"/>
          <w:lang w:eastAsia="zh-CN"/>
        </w:rPr>
        <w:t>类比同类型</w:t>
      </w:r>
      <w:r>
        <w:rPr>
          <w:rFonts w:hint="default" w:ascii="Times New Roman" w:hAnsi="Times New Roman" w:eastAsia="宋体" w:cs="Times New Roman"/>
          <w:color w:val="auto"/>
          <w:sz w:val="24"/>
          <w:szCs w:val="24"/>
          <w:highlight w:val="none"/>
          <w:u w:val="none" w:color="auto"/>
        </w:rPr>
        <w:t>用排水情况、并结合污染源源强核算技术指南、《电镀环评中水洗水量的理论计算》等</w:t>
      </w:r>
      <w:r>
        <w:rPr>
          <w:rFonts w:hint="default" w:ascii="Times New Roman" w:hAnsi="Times New Roman" w:eastAsia="宋体" w:cs="Times New Roman"/>
          <w:color w:val="auto"/>
          <w:sz w:val="24"/>
          <w:szCs w:val="24"/>
          <w:highlight w:val="none"/>
          <w:u w:val="none" w:color="auto"/>
          <w:lang w:eastAsia="zh-CN"/>
        </w:rPr>
        <w:t>确定水洗槽用水量，详</w:t>
      </w:r>
      <w:r>
        <w:rPr>
          <w:rFonts w:hint="default" w:ascii="Times New Roman" w:hAnsi="Times New Roman" w:cs="Times New Roman"/>
          <w:color w:val="auto"/>
          <w:highlight w:val="none"/>
          <w:u w:val="none" w:color="auto"/>
        </w:rPr>
        <w:t>见</w:t>
      </w:r>
      <w:r>
        <w:rPr>
          <w:rFonts w:hint="default" w:ascii="Times New Roman" w:hAnsi="Times New Roman" w:cs="Times New Roman"/>
          <w:color w:val="auto"/>
          <w:highlight w:val="none"/>
          <w:u w:val="none" w:color="auto"/>
          <w:lang w:eastAsia="zh-CN"/>
        </w:rPr>
        <w:t>下</w:t>
      </w:r>
      <w:r>
        <w:rPr>
          <w:rFonts w:hint="default" w:ascii="Times New Roman" w:hAnsi="Times New Roman" w:cs="Times New Roman"/>
          <w:color w:val="auto"/>
          <w:highlight w:val="none"/>
          <w:u w:val="none" w:color="auto"/>
        </w:rPr>
        <w:t>表。</w:t>
      </w:r>
    </w:p>
    <w:p w14:paraId="3C43E510">
      <w:pPr>
        <w:pStyle w:val="58"/>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表</w:t>
      </w:r>
      <w:r>
        <w:rPr>
          <w:rFonts w:hint="default" w:ascii="Times New Roman" w:hAnsi="Times New Roman" w:cs="Times New Roman"/>
          <w:color w:val="auto"/>
          <w:sz w:val="21"/>
          <w:szCs w:val="21"/>
          <w:highlight w:val="none"/>
          <w:u w:val="single" w:color="auto"/>
          <w:lang w:val="en-US" w:eastAsia="zh-CN"/>
        </w:rPr>
        <w:t>4</w:t>
      </w:r>
      <w:r>
        <w:rPr>
          <w:rFonts w:hint="default" w:ascii="Times New Roman" w:hAnsi="Times New Roman" w:cs="Times New Roman"/>
          <w:color w:val="auto"/>
          <w:sz w:val="21"/>
          <w:szCs w:val="21"/>
          <w:highlight w:val="none"/>
          <w:u w:val="single" w:color="auto"/>
        </w:rPr>
        <w:t>.2-</w:t>
      </w:r>
      <w:r>
        <w:rPr>
          <w:rFonts w:hint="default" w:ascii="Times New Roman" w:hAnsi="Times New Roman" w:cs="Times New Roman"/>
          <w:color w:val="auto"/>
          <w:sz w:val="21"/>
          <w:szCs w:val="21"/>
          <w:highlight w:val="none"/>
          <w:u w:val="single" w:color="auto"/>
          <w:lang w:val="en-US" w:eastAsia="zh-CN"/>
        </w:rPr>
        <w:t>9</w:t>
      </w:r>
      <w:r>
        <w:rPr>
          <w:rFonts w:hint="default" w:ascii="Times New Roman" w:hAnsi="Times New Roman" w:cs="Times New Roman"/>
          <w:color w:val="auto"/>
          <w:sz w:val="21"/>
          <w:szCs w:val="21"/>
          <w:highlight w:val="none"/>
          <w:u w:val="single" w:color="auto"/>
        </w:rPr>
        <w:t>单个水洗槽用水量情况一览表</w:t>
      </w:r>
    </w:p>
    <w:tbl>
      <w:tblPr>
        <w:tblStyle w:val="22"/>
        <w:tblW w:w="497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999"/>
        <w:gridCol w:w="1379"/>
        <w:gridCol w:w="1287"/>
        <w:gridCol w:w="878"/>
        <w:gridCol w:w="1225"/>
      </w:tblGrid>
      <w:tr w14:paraId="6A1D4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597" w:type="pct"/>
            <w:noWrap/>
            <w:vAlign w:val="center"/>
          </w:tcPr>
          <w:p w14:paraId="73A75DE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生产线</w:t>
            </w:r>
            <w:r>
              <w:rPr>
                <w:rFonts w:hint="default" w:ascii="Times New Roman" w:hAnsi="Times New Roman" w:cs="Times New Roman"/>
                <w:color w:val="auto"/>
                <w:sz w:val="21"/>
                <w:szCs w:val="21"/>
                <w:highlight w:val="none"/>
                <w:u w:val="single" w:color="auto"/>
                <w:lang w:val="en-US" w:eastAsia="zh-CN"/>
              </w:rPr>
              <w:t>/</w:t>
            </w:r>
            <w:r>
              <w:rPr>
                <w:rFonts w:hint="eastAsia" w:cs="Times New Roman"/>
                <w:color w:val="auto"/>
                <w:sz w:val="21"/>
                <w:szCs w:val="21"/>
                <w:highlight w:val="none"/>
                <w:u w:val="single" w:color="auto"/>
                <w:lang w:eastAsia="zh-CN"/>
              </w:rPr>
              <w:t>工序</w:t>
            </w:r>
          </w:p>
        </w:tc>
        <w:tc>
          <w:tcPr>
            <w:tcW w:w="589" w:type="pct"/>
            <w:noWrap/>
            <w:vAlign w:val="center"/>
          </w:tcPr>
          <w:p w14:paraId="2CB0BE3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槽体</w:t>
            </w:r>
          </w:p>
        </w:tc>
        <w:tc>
          <w:tcPr>
            <w:tcW w:w="813" w:type="pct"/>
            <w:noWrap/>
            <w:vAlign w:val="center"/>
          </w:tcPr>
          <w:p w14:paraId="3772536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rPr>
              <w:t>单槽有效容积（m</w:t>
            </w:r>
            <w:r>
              <w:rPr>
                <w:rFonts w:hint="default" w:ascii="Times New Roman" w:hAnsi="Times New Roman" w:cs="Times New Roman"/>
                <w:color w:val="auto"/>
                <w:sz w:val="21"/>
                <w:szCs w:val="21"/>
                <w:highlight w:val="none"/>
                <w:u w:val="single" w:color="auto"/>
                <w:vertAlign w:val="superscript"/>
                <w:lang w:val="en-US" w:eastAsia="zh-CN"/>
              </w:rPr>
              <w:t>3</w:t>
            </w:r>
            <w:r>
              <w:rPr>
                <w:rFonts w:hint="default" w:ascii="Times New Roman" w:hAnsi="Times New Roman" w:cs="Times New Roman"/>
                <w:color w:val="auto"/>
                <w:sz w:val="21"/>
                <w:szCs w:val="21"/>
                <w:highlight w:val="none"/>
                <w:u w:val="single" w:color="auto"/>
                <w:lang w:val="en-US" w:eastAsia="zh-CN"/>
              </w:rPr>
              <w:t>）</w:t>
            </w:r>
          </w:p>
        </w:tc>
        <w:tc>
          <w:tcPr>
            <w:tcW w:w="759" w:type="pct"/>
            <w:noWrap/>
            <w:vAlign w:val="center"/>
          </w:tcPr>
          <w:p w14:paraId="74ECB15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小时换水次数（次/h）</w:t>
            </w:r>
          </w:p>
        </w:tc>
        <w:tc>
          <w:tcPr>
            <w:tcW w:w="517" w:type="pct"/>
            <w:noWrap/>
            <w:vAlign w:val="center"/>
          </w:tcPr>
          <w:p w14:paraId="4BF9649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rPr>
              <w:t>用水时间</w:t>
            </w:r>
            <w:r>
              <w:rPr>
                <w:rFonts w:hint="default" w:ascii="Times New Roman" w:hAnsi="Times New Roman" w:cs="Times New Roman"/>
                <w:color w:val="auto"/>
                <w:sz w:val="21"/>
                <w:szCs w:val="21"/>
                <w:highlight w:val="none"/>
                <w:u w:val="single" w:color="auto"/>
                <w:lang w:eastAsia="zh-CN"/>
              </w:rPr>
              <w:t>（</w:t>
            </w:r>
            <w:r>
              <w:rPr>
                <w:rFonts w:hint="default" w:ascii="Times New Roman" w:hAnsi="Times New Roman" w:cs="Times New Roman"/>
                <w:color w:val="auto"/>
                <w:sz w:val="21"/>
                <w:szCs w:val="21"/>
                <w:highlight w:val="none"/>
                <w:u w:val="single" w:color="auto"/>
                <w:lang w:val="en-US" w:eastAsia="zh-CN"/>
              </w:rPr>
              <w:t>h</w:t>
            </w:r>
            <w:r>
              <w:rPr>
                <w:rFonts w:hint="default" w:ascii="Times New Roman" w:hAnsi="Times New Roman" w:cs="Times New Roman"/>
                <w:color w:val="auto"/>
                <w:sz w:val="21"/>
                <w:szCs w:val="21"/>
                <w:highlight w:val="none"/>
                <w:u w:val="single" w:color="auto"/>
                <w:lang w:eastAsia="zh-CN"/>
              </w:rPr>
              <w:t>）</w:t>
            </w:r>
          </w:p>
        </w:tc>
        <w:tc>
          <w:tcPr>
            <w:tcW w:w="722" w:type="pct"/>
            <w:noWrap/>
            <w:vAlign w:val="center"/>
          </w:tcPr>
          <w:p w14:paraId="6FDFDFF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用水量</w:t>
            </w:r>
            <w:r>
              <w:rPr>
                <w:rFonts w:hint="default" w:ascii="Times New Roman" w:hAnsi="Times New Roman" w:cs="Times New Roman"/>
                <w:color w:val="auto"/>
                <w:sz w:val="21"/>
                <w:szCs w:val="21"/>
                <w:highlight w:val="none"/>
                <w:u w:val="single" w:color="auto"/>
                <w:lang w:eastAsia="zh-CN"/>
              </w:rPr>
              <w:t>（</w:t>
            </w:r>
            <w:r>
              <w:rPr>
                <w:rFonts w:hint="default" w:ascii="Times New Roman" w:hAnsi="Times New Roman" w:cs="Times New Roman"/>
                <w:color w:val="auto"/>
                <w:sz w:val="21"/>
                <w:szCs w:val="21"/>
                <w:highlight w:val="none"/>
                <w:u w:val="single" w:color="auto"/>
              </w:rPr>
              <w:t>m</w:t>
            </w:r>
            <w:r>
              <w:rPr>
                <w:rFonts w:hint="default" w:ascii="Times New Roman" w:hAnsi="Times New Roman" w:cs="Times New Roman"/>
                <w:color w:val="auto"/>
                <w:sz w:val="21"/>
                <w:szCs w:val="21"/>
                <w:highlight w:val="none"/>
                <w:u w:val="single" w:color="auto"/>
                <w:vertAlign w:val="superscript"/>
              </w:rPr>
              <w:t>3</w:t>
            </w:r>
            <w:r>
              <w:rPr>
                <w:rFonts w:hint="default" w:ascii="Times New Roman" w:hAnsi="Times New Roman" w:cs="Times New Roman"/>
                <w:color w:val="auto"/>
                <w:sz w:val="21"/>
                <w:szCs w:val="21"/>
                <w:highlight w:val="none"/>
                <w:u w:val="single" w:color="auto"/>
              </w:rPr>
              <w:t>/d</w:t>
            </w:r>
            <w:r>
              <w:rPr>
                <w:rFonts w:hint="default" w:ascii="Times New Roman" w:hAnsi="Times New Roman" w:cs="Times New Roman"/>
                <w:color w:val="auto"/>
                <w:sz w:val="21"/>
                <w:szCs w:val="21"/>
                <w:highlight w:val="none"/>
                <w:u w:val="single" w:color="auto"/>
                <w:lang w:eastAsia="zh-CN"/>
              </w:rPr>
              <w:t>）</w:t>
            </w:r>
          </w:p>
        </w:tc>
      </w:tr>
      <w:tr w14:paraId="77C13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97" w:type="pct"/>
            <w:noWrap/>
            <w:vAlign w:val="center"/>
          </w:tcPr>
          <w:p w14:paraId="01B968E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金刚石划片刀生产线</w:t>
            </w:r>
          </w:p>
        </w:tc>
        <w:tc>
          <w:tcPr>
            <w:tcW w:w="589" w:type="pct"/>
            <w:noWrap/>
            <w:vAlign w:val="center"/>
          </w:tcPr>
          <w:p w14:paraId="071242C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冷水槽</w:t>
            </w:r>
          </w:p>
        </w:tc>
        <w:tc>
          <w:tcPr>
            <w:tcW w:w="813" w:type="pct"/>
            <w:noWrap/>
            <w:vAlign w:val="center"/>
          </w:tcPr>
          <w:p w14:paraId="033D8EC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0.086</w:t>
            </w:r>
          </w:p>
        </w:tc>
        <w:tc>
          <w:tcPr>
            <w:tcW w:w="759" w:type="pct"/>
            <w:noWrap/>
            <w:vAlign w:val="center"/>
          </w:tcPr>
          <w:p w14:paraId="5D9C10B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0.5</w:t>
            </w:r>
          </w:p>
        </w:tc>
        <w:tc>
          <w:tcPr>
            <w:tcW w:w="517" w:type="pct"/>
            <w:noWrap/>
            <w:vAlign w:val="center"/>
          </w:tcPr>
          <w:p w14:paraId="3C5FBB2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8</w:t>
            </w:r>
          </w:p>
        </w:tc>
        <w:tc>
          <w:tcPr>
            <w:tcW w:w="722" w:type="pct"/>
            <w:noWrap/>
            <w:vAlign w:val="center"/>
          </w:tcPr>
          <w:p w14:paraId="3C97429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0.344</w:t>
            </w:r>
          </w:p>
        </w:tc>
      </w:tr>
      <w:tr w14:paraId="2A69D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597" w:type="pct"/>
            <w:noWrap w:val="0"/>
            <w:vAlign w:val="center"/>
          </w:tcPr>
          <w:p w14:paraId="48622F5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超硬材料砂轮镀镀超硬材料</w:t>
            </w:r>
            <w:r>
              <w:rPr>
                <w:rFonts w:hint="eastAsia" w:cs="Times New Roman"/>
                <w:color w:val="auto"/>
                <w:sz w:val="21"/>
                <w:szCs w:val="21"/>
                <w:highlight w:val="none"/>
                <w:u w:val="single" w:color="auto"/>
                <w:lang w:val="en-US" w:eastAsia="zh-CN"/>
              </w:rPr>
              <w:t>工序</w:t>
            </w:r>
          </w:p>
        </w:tc>
        <w:tc>
          <w:tcPr>
            <w:tcW w:w="589" w:type="pct"/>
            <w:noWrap/>
            <w:vAlign w:val="center"/>
          </w:tcPr>
          <w:p w14:paraId="2038269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冷水槽</w:t>
            </w:r>
          </w:p>
        </w:tc>
        <w:tc>
          <w:tcPr>
            <w:tcW w:w="813" w:type="pct"/>
            <w:noWrap/>
            <w:vAlign w:val="center"/>
          </w:tcPr>
          <w:p w14:paraId="59D0703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0.102</w:t>
            </w:r>
          </w:p>
        </w:tc>
        <w:tc>
          <w:tcPr>
            <w:tcW w:w="759" w:type="pct"/>
            <w:noWrap/>
            <w:vAlign w:val="center"/>
          </w:tcPr>
          <w:p w14:paraId="36E21BA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0.5</w:t>
            </w:r>
          </w:p>
        </w:tc>
        <w:tc>
          <w:tcPr>
            <w:tcW w:w="517" w:type="pct"/>
            <w:noWrap/>
            <w:vAlign w:val="center"/>
          </w:tcPr>
          <w:p w14:paraId="3D35171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8</w:t>
            </w:r>
          </w:p>
        </w:tc>
        <w:tc>
          <w:tcPr>
            <w:tcW w:w="722" w:type="pct"/>
            <w:noWrap/>
            <w:vAlign w:val="center"/>
          </w:tcPr>
          <w:p w14:paraId="7698B6A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0.408</w:t>
            </w:r>
          </w:p>
        </w:tc>
      </w:tr>
      <w:tr w14:paraId="33A1D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597" w:type="pct"/>
            <w:noWrap w:val="0"/>
            <w:vAlign w:val="center"/>
          </w:tcPr>
          <w:p w14:paraId="664BE1C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超硬材料磨头</w:t>
            </w:r>
            <w:r>
              <w:rPr>
                <w:rFonts w:hint="default" w:ascii="Times New Roman" w:hAnsi="Times New Roman" w:eastAsia="宋体" w:cs="Times New Roman"/>
                <w:color w:val="auto"/>
                <w:sz w:val="21"/>
                <w:szCs w:val="21"/>
                <w:highlight w:val="none"/>
                <w:u w:val="single" w:color="auto"/>
                <w:lang w:val="en-US" w:eastAsia="zh-CN"/>
              </w:rPr>
              <w:t>镀镀超硬材料</w:t>
            </w:r>
            <w:r>
              <w:rPr>
                <w:rFonts w:hint="eastAsia" w:cs="Times New Roman"/>
                <w:color w:val="auto"/>
                <w:sz w:val="21"/>
                <w:szCs w:val="21"/>
                <w:highlight w:val="none"/>
                <w:u w:val="single" w:color="auto"/>
                <w:lang w:val="en-US" w:eastAsia="zh-CN"/>
              </w:rPr>
              <w:t>工序</w:t>
            </w:r>
          </w:p>
        </w:tc>
        <w:tc>
          <w:tcPr>
            <w:tcW w:w="589" w:type="pct"/>
            <w:noWrap/>
            <w:vAlign w:val="center"/>
          </w:tcPr>
          <w:p w14:paraId="1F4CB74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冷水槽</w:t>
            </w:r>
          </w:p>
        </w:tc>
        <w:tc>
          <w:tcPr>
            <w:tcW w:w="813" w:type="pct"/>
            <w:noWrap/>
            <w:vAlign w:val="center"/>
          </w:tcPr>
          <w:p w14:paraId="0E9BFD0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0.068</w:t>
            </w:r>
          </w:p>
        </w:tc>
        <w:tc>
          <w:tcPr>
            <w:tcW w:w="759" w:type="pct"/>
            <w:noWrap/>
            <w:vAlign w:val="center"/>
          </w:tcPr>
          <w:p w14:paraId="605F203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0.5</w:t>
            </w:r>
          </w:p>
        </w:tc>
        <w:tc>
          <w:tcPr>
            <w:tcW w:w="517" w:type="pct"/>
            <w:noWrap/>
            <w:vAlign w:val="center"/>
          </w:tcPr>
          <w:p w14:paraId="7C01C09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8</w:t>
            </w:r>
          </w:p>
        </w:tc>
        <w:tc>
          <w:tcPr>
            <w:tcW w:w="722" w:type="pct"/>
            <w:noWrap/>
            <w:vAlign w:val="center"/>
          </w:tcPr>
          <w:p w14:paraId="6C9D8AB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0.272</w:t>
            </w:r>
          </w:p>
        </w:tc>
      </w:tr>
      <w:tr w14:paraId="00A81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597" w:type="pct"/>
            <w:noWrap w:val="0"/>
            <w:vAlign w:val="center"/>
          </w:tcPr>
          <w:p w14:paraId="0DEEA03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超硬材料套瓦刀及套孔钻镀镀超硬材料</w:t>
            </w:r>
            <w:r>
              <w:rPr>
                <w:rFonts w:hint="eastAsia" w:cs="Times New Roman"/>
                <w:color w:val="auto"/>
                <w:sz w:val="21"/>
                <w:szCs w:val="21"/>
                <w:highlight w:val="none"/>
                <w:u w:val="single" w:color="auto"/>
                <w:lang w:val="en-US" w:eastAsia="zh-CN"/>
              </w:rPr>
              <w:t>工序</w:t>
            </w:r>
          </w:p>
        </w:tc>
        <w:tc>
          <w:tcPr>
            <w:tcW w:w="589" w:type="pct"/>
            <w:noWrap/>
            <w:vAlign w:val="center"/>
          </w:tcPr>
          <w:p w14:paraId="506F6AB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冷水槽</w:t>
            </w:r>
          </w:p>
        </w:tc>
        <w:tc>
          <w:tcPr>
            <w:tcW w:w="813" w:type="pct"/>
            <w:noWrap/>
            <w:vAlign w:val="center"/>
          </w:tcPr>
          <w:p w14:paraId="01A6D4B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0.038</w:t>
            </w:r>
          </w:p>
        </w:tc>
        <w:tc>
          <w:tcPr>
            <w:tcW w:w="759" w:type="pct"/>
            <w:noWrap/>
            <w:vAlign w:val="center"/>
          </w:tcPr>
          <w:p w14:paraId="4EF67FC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0.5</w:t>
            </w:r>
          </w:p>
        </w:tc>
        <w:tc>
          <w:tcPr>
            <w:tcW w:w="517" w:type="pct"/>
            <w:noWrap/>
            <w:vAlign w:val="center"/>
          </w:tcPr>
          <w:p w14:paraId="6647C7B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8</w:t>
            </w:r>
          </w:p>
        </w:tc>
        <w:tc>
          <w:tcPr>
            <w:tcW w:w="722" w:type="pct"/>
            <w:noWrap/>
            <w:vAlign w:val="center"/>
          </w:tcPr>
          <w:p w14:paraId="367B251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0.152</w:t>
            </w:r>
          </w:p>
        </w:tc>
      </w:tr>
      <w:tr w14:paraId="66E7D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597" w:type="pct"/>
            <w:noWrap w:val="0"/>
            <w:vAlign w:val="center"/>
          </w:tcPr>
          <w:p w14:paraId="124B510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超硬材料砂轮、超硬材料磨头、超硬材料套瓦刀及套孔钻装饰镀</w:t>
            </w:r>
            <w:r>
              <w:rPr>
                <w:rFonts w:hint="eastAsia" w:cs="Times New Roman"/>
                <w:color w:val="auto"/>
                <w:sz w:val="21"/>
                <w:szCs w:val="21"/>
                <w:highlight w:val="none"/>
                <w:u w:val="single" w:color="auto"/>
                <w:lang w:val="en-US" w:eastAsia="zh-CN"/>
              </w:rPr>
              <w:t>工序</w:t>
            </w:r>
          </w:p>
        </w:tc>
        <w:tc>
          <w:tcPr>
            <w:tcW w:w="589" w:type="pct"/>
            <w:noWrap/>
            <w:vAlign w:val="center"/>
          </w:tcPr>
          <w:p w14:paraId="208AB31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冷水槽</w:t>
            </w:r>
          </w:p>
        </w:tc>
        <w:tc>
          <w:tcPr>
            <w:tcW w:w="813" w:type="pct"/>
            <w:noWrap/>
            <w:vAlign w:val="center"/>
          </w:tcPr>
          <w:p w14:paraId="3109611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0.184</w:t>
            </w:r>
          </w:p>
        </w:tc>
        <w:tc>
          <w:tcPr>
            <w:tcW w:w="759" w:type="pct"/>
            <w:noWrap/>
            <w:vAlign w:val="center"/>
          </w:tcPr>
          <w:p w14:paraId="43ABE94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0.5</w:t>
            </w:r>
          </w:p>
        </w:tc>
        <w:tc>
          <w:tcPr>
            <w:tcW w:w="517" w:type="pct"/>
            <w:noWrap/>
            <w:vAlign w:val="center"/>
          </w:tcPr>
          <w:p w14:paraId="15A3B1C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8</w:t>
            </w:r>
          </w:p>
        </w:tc>
        <w:tc>
          <w:tcPr>
            <w:tcW w:w="722" w:type="pct"/>
            <w:noWrap/>
            <w:vAlign w:val="center"/>
          </w:tcPr>
          <w:p w14:paraId="79D32C8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0.736</w:t>
            </w:r>
          </w:p>
        </w:tc>
      </w:tr>
      <w:tr w14:paraId="09919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97" w:type="pct"/>
            <w:noWrap w:val="0"/>
            <w:vAlign w:val="center"/>
          </w:tcPr>
          <w:p w14:paraId="68DD67D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实验室</w:t>
            </w:r>
          </w:p>
        </w:tc>
        <w:tc>
          <w:tcPr>
            <w:tcW w:w="589" w:type="pct"/>
            <w:noWrap/>
            <w:vAlign w:val="center"/>
          </w:tcPr>
          <w:p w14:paraId="75570EC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冷水槽</w:t>
            </w:r>
          </w:p>
        </w:tc>
        <w:tc>
          <w:tcPr>
            <w:tcW w:w="813" w:type="pct"/>
            <w:noWrap/>
            <w:vAlign w:val="center"/>
          </w:tcPr>
          <w:p w14:paraId="3D9E2F0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0.077</w:t>
            </w:r>
          </w:p>
        </w:tc>
        <w:tc>
          <w:tcPr>
            <w:tcW w:w="759" w:type="pct"/>
            <w:noWrap/>
            <w:vAlign w:val="center"/>
          </w:tcPr>
          <w:p w14:paraId="25DDCD6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0.5</w:t>
            </w:r>
          </w:p>
        </w:tc>
        <w:tc>
          <w:tcPr>
            <w:tcW w:w="517" w:type="pct"/>
            <w:noWrap/>
            <w:vAlign w:val="center"/>
          </w:tcPr>
          <w:p w14:paraId="4FB9EC0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4</w:t>
            </w:r>
          </w:p>
        </w:tc>
        <w:tc>
          <w:tcPr>
            <w:tcW w:w="722" w:type="pct"/>
            <w:noWrap/>
            <w:vAlign w:val="center"/>
          </w:tcPr>
          <w:p w14:paraId="6D0539B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0.154</w:t>
            </w:r>
          </w:p>
        </w:tc>
      </w:tr>
      <w:tr w14:paraId="62A96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97" w:type="pct"/>
            <w:noWrap w:val="0"/>
            <w:vAlign w:val="center"/>
          </w:tcPr>
          <w:p w14:paraId="77A1B5D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退镀区</w:t>
            </w:r>
          </w:p>
        </w:tc>
        <w:tc>
          <w:tcPr>
            <w:tcW w:w="589" w:type="pct"/>
            <w:noWrap/>
            <w:vAlign w:val="center"/>
          </w:tcPr>
          <w:p w14:paraId="4A1FCB3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冷水槽</w:t>
            </w:r>
          </w:p>
        </w:tc>
        <w:tc>
          <w:tcPr>
            <w:tcW w:w="813" w:type="pct"/>
            <w:noWrap/>
            <w:vAlign w:val="center"/>
          </w:tcPr>
          <w:p w14:paraId="62F7EBA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0.077</w:t>
            </w:r>
          </w:p>
        </w:tc>
        <w:tc>
          <w:tcPr>
            <w:tcW w:w="759" w:type="pct"/>
            <w:noWrap/>
            <w:vAlign w:val="center"/>
          </w:tcPr>
          <w:p w14:paraId="46A0D04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0.5</w:t>
            </w:r>
          </w:p>
        </w:tc>
        <w:tc>
          <w:tcPr>
            <w:tcW w:w="517" w:type="pct"/>
            <w:noWrap/>
            <w:vAlign w:val="center"/>
          </w:tcPr>
          <w:p w14:paraId="51EFAA4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4</w:t>
            </w:r>
          </w:p>
        </w:tc>
        <w:tc>
          <w:tcPr>
            <w:tcW w:w="722" w:type="pct"/>
            <w:noWrap/>
            <w:vAlign w:val="center"/>
          </w:tcPr>
          <w:p w14:paraId="49DA81F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0.154</w:t>
            </w:r>
          </w:p>
        </w:tc>
      </w:tr>
      <w:tr w14:paraId="7D9D9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000" w:type="pct"/>
            <w:gridSpan w:val="6"/>
            <w:noWrap w:val="0"/>
            <w:vAlign w:val="center"/>
          </w:tcPr>
          <w:p w14:paraId="7BD4592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备注：三联水洗槽仅计算第三级槽体有效容积</w:t>
            </w:r>
          </w:p>
        </w:tc>
      </w:tr>
    </w:tbl>
    <w:p w14:paraId="247F80BA">
      <w:pPr>
        <w:pStyle w:val="10"/>
        <w:spacing w:after="0" w:line="560" w:lineRule="exact"/>
        <w:ind w:firstLine="480" w:firstLineChars="200"/>
        <w:rPr>
          <w:rFonts w:hint="default" w:ascii="Times New Roman" w:hAnsi="Times New Roman" w:cs="Times New Roman"/>
          <w:color w:val="auto"/>
          <w:highlight w:val="none"/>
          <w:u w:val="single" w:color="auto"/>
        </w:rPr>
      </w:pPr>
      <w:r>
        <w:rPr>
          <w:rFonts w:hint="default" w:ascii="Times New Roman" w:hAnsi="Times New Roman" w:cs="Times New Roman"/>
          <w:color w:val="auto"/>
          <w:sz w:val="24"/>
          <w:highlight w:val="none"/>
          <w:u w:val="single" w:color="auto"/>
        </w:rPr>
        <w:t>项目电镀生产线用水量情况见</w:t>
      </w:r>
      <w:r>
        <w:rPr>
          <w:rFonts w:hint="default" w:ascii="Times New Roman" w:hAnsi="Times New Roman" w:cs="Times New Roman"/>
          <w:color w:val="auto"/>
          <w:sz w:val="24"/>
          <w:highlight w:val="none"/>
          <w:u w:val="single" w:color="auto"/>
          <w:lang w:eastAsia="zh-CN"/>
        </w:rPr>
        <w:t>下</w:t>
      </w:r>
      <w:r>
        <w:rPr>
          <w:rFonts w:hint="default" w:ascii="Times New Roman" w:hAnsi="Times New Roman" w:cs="Times New Roman"/>
          <w:color w:val="auto"/>
          <w:sz w:val="24"/>
          <w:highlight w:val="none"/>
          <w:u w:val="single" w:color="auto"/>
        </w:rPr>
        <w:t>表。</w:t>
      </w:r>
    </w:p>
    <w:p w14:paraId="2FB5703A">
      <w:pPr>
        <w:pStyle w:val="58"/>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表</w:t>
      </w:r>
      <w:r>
        <w:rPr>
          <w:rFonts w:hint="default" w:ascii="Times New Roman" w:hAnsi="Times New Roman" w:eastAsia="宋体" w:cs="Times New Roman"/>
          <w:color w:val="auto"/>
          <w:sz w:val="21"/>
          <w:szCs w:val="21"/>
          <w:highlight w:val="none"/>
          <w:u w:val="single" w:color="auto"/>
          <w:lang w:val="en-US" w:eastAsia="zh-CN"/>
        </w:rPr>
        <w:t>4</w:t>
      </w:r>
      <w:r>
        <w:rPr>
          <w:rFonts w:hint="default" w:ascii="Times New Roman" w:hAnsi="Times New Roman" w:eastAsia="宋体" w:cs="Times New Roman"/>
          <w:color w:val="auto"/>
          <w:sz w:val="21"/>
          <w:szCs w:val="21"/>
          <w:highlight w:val="none"/>
          <w:u w:val="single" w:color="auto"/>
        </w:rPr>
        <w:t>.2-</w:t>
      </w:r>
      <w:r>
        <w:rPr>
          <w:rFonts w:hint="default" w:ascii="Times New Roman" w:hAnsi="Times New Roman" w:cs="Times New Roman"/>
          <w:color w:val="auto"/>
          <w:sz w:val="21"/>
          <w:szCs w:val="21"/>
          <w:highlight w:val="none"/>
          <w:u w:val="single" w:color="auto"/>
          <w:lang w:val="en-US" w:eastAsia="zh-CN"/>
        </w:rPr>
        <w:t>10</w:t>
      </w:r>
      <w:r>
        <w:rPr>
          <w:rFonts w:hint="default" w:ascii="Times New Roman" w:hAnsi="Times New Roman" w:eastAsia="宋体" w:cs="Times New Roman"/>
          <w:color w:val="auto"/>
          <w:sz w:val="21"/>
          <w:szCs w:val="21"/>
          <w:highlight w:val="none"/>
          <w:u w:val="single" w:color="auto"/>
        </w:rPr>
        <w:t>各</w:t>
      </w:r>
      <w:r>
        <w:rPr>
          <w:rFonts w:hint="default" w:ascii="Times New Roman" w:hAnsi="Times New Roman" w:eastAsia="宋体" w:cs="Times New Roman"/>
          <w:color w:val="auto"/>
          <w:sz w:val="21"/>
          <w:szCs w:val="21"/>
          <w:highlight w:val="none"/>
          <w:u w:val="single" w:color="auto"/>
          <w:lang w:eastAsia="zh-CN"/>
        </w:rPr>
        <w:t>生产线</w:t>
      </w:r>
      <w:r>
        <w:rPr>
          <w:rFonts w:hint="default" w:ascii="Times New Roman" w:hAnsi="Times New Roman" w:eastAsia="宋体" w:cs="Times New Roman"/>
          <w:color w:val="auto"/>
          <w:sz w:val="21"/>
          <w:szCs w:val="21"/>
          <w:highlight w:val="none"/>
          <w:u w:val="single" w:color="auto"/>
        </w:rPr>
        <w:t>用水情况一览表</w:t>
      </w:r>
    </w:p>
    <w:tbl>
      <w:tblPr>
        <w:tblStyle w:val="22"/>
        <w:tblW w:w="497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050"/>
        <w:gridCol w:w="1161"/>
        <w:gridCol w:w="1320"/>
        <w:gridCol w:w="1095"/>
        <w:gridCol w:w="1200"/>
        <w:gridCol w:w="1180"/>
      </w:tblGrid>
      <w:tr w14:paraId="39ED8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68" w:type="pct"/>
            <w:noWrap/>
            <w:vAlign w:val="center"/>
          </w:tcPr>
          <w:p w14:paraId="519D8C2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镀线</w:t>
            </w:r>
          </w:p>
        </w:tc>
        <w:tc>
          <w:tcPr>
            <w:tcW w:w="1303" w:type="pct"/>
            <w:gridSpan w:val="2"/>
            <w:noWrap/>
            <w:vAlign w:val="center"/>
          </w:tcPr>
          <w:p w14:paraId="28DFF3A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废水种类</w:t>
            </w:r>
          </w:p>
        </w:tc>
        <w:tc>
          <w:tcPr>
            <w:tcW w:w="778" w:type="pct"/>
            <w:noWrap/>
            <w:vAlign w:val="center"/>
          </w:tcPr>
          <w:p w14:paraId="6EF235B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单槽用水量（m</w:t>
            </w:r>
            <w:r>
              <w:rPr>
                <w:rFonts w:hint="default" w:ascii="Times New Roman" w:hAnsi="Times New Roman" w:cs="Times New Roman"/>
                <w:color w:val="auto"/>
                <w:sz w:val="21"/>
                <w:szCs w:val="21"/>
                <w:highlight w:val="none"/>
                <w:u w:val="single" w:color="auto"/>
                <w:vertAlign w:val="superscript"/>
                <w:lang w:eastAsia="zh-CN"/>
              </w:rPr>
              <w:t>3</w:t>
            </w:r>
            <w:r>
              <w:rPr>
                <w:rFonts w:hint="default" w:ascii="Times New Roman" w:hAnsi="Times New Roman" w:cs="Times New Roman"/>
                <w:color w:val="auto"/>
                <w:sz w:val="21"/>
                <w:szCs w:val="21"/>
                <w:highlight w:val="none"/>
                <w:u w:val="single" w:color="auto"/>
                <w:lang w:eastAsia="zh-CN"/>
              </w:rPr>
              <w:t>/d)</w:t>
            </w:r>
          </w:p>
        </w:tc>
        <w:tc>
          <w:tcPr>
            <w:tcW w:w="645" w:type="pct"/>
            <w:noWrap/>
            <w:vAlign w:val="center"/>
          </w:tcPr>
          <w:p w14:paraId="55ABCFF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槽体个数</w:t>
            </w:r>
          </w:p>
        </w:tc>
        <w:tc>
          <w:tcPr>
            <w:tcW w:w="707" w:type="pct"/>
            <w:noWrap/>
            <w:vAlign w:val="center"/>
          </w:tcPr>
          <w:p w14:paraId="69D9F04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总用水量（m</w:t>
            </w:r>
            <w:r>
              <w:rPr>
                <w:rFonts w:hint="default" w:ascii="Times New Roman" w:hAnsi="Times New Roman" w:cs="Times New Roman"/>
                <w:color w:val="auto"/>
                <w:sz w:val="21"/>
                <w:szCs w:val="21"/>
                <w:highlight w:val="none"/>
                <w:u w:val="single" w:color="auto"/>
                <w:vertAlign w:val="superscript"/>
                <w:lang w:eastAsia="zh-CN"/>
              </w:rPr>
              <w:t>3</w:t>
            </w:r>
            <w:r>
              <w:rPr>
                <w:rFonts w:hint="default" w:ascii="Times New Roman" w:hAnsi="Times New Roman" w:cs="Times New Roman"/>
                <w:color w:val="auto"/>
                <w:sz w:val="21"/>
                <w:szCs w:val="21"/>
                <w:highlight w:val="none"/>
                <w:u w:val="single" w:color="auto"/>
                <w:lang w:eastAsia="zh-CN"/>
              </w:rPr>
              <w:t>/d）</w:t>
            </w:r>
          </w:p>
        </w:tc>
        <w:tc>
          <w:tcPr>
            <w:tcW w:w="695" w:type="pct"/>
            <w:noWrap/>
            <w:vAlign w:val="center"/>
          </w:tcPr>
          <w:p w14:paraId="2FA783D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废水产生量（m</w:t>
            </w:r>
            <w:r>
              <w:rPr>
                <w:rFonts w:hint="default" w:ascii="Times New Roman" w:hAnsi="Times New Roman" w:cs="Times New Roman"/>
                <w:color w:val="auto"/>
                <w:sz w:val="21"/>
                <w:szCs w:val="21"/>
                <w:highlight w:val="none"/>
                <w:u w:val="single" w:color="auto"/>
                <w:vertAlign w:val="superscript"/>
                <w:lang w:eastAsia="zh-CN"/>
              </w:rPr>
              <w:t>3</w:t>
            </w:r>
            <w:r>
              <w:rPr>
                <w:rFonts w:hint="default" w:ascii="Times New Roman" w:hAnsi="Times New Roman" w:cs="Times New Roman"/>
                <w:color w:val="auto"/>
                <w:sz w:val="21"/>
                <w:szCs w:val="21"/>
                <w:highlight w:val="none"/>
                <w:u w:val="single" w:color="auto"/>
                <w:lang w:eastAsia="zh-CN"/>
              </w:rPr>
              <w:t>/d）</w:t>
            </w:r>
          </w:p>
        </w:tc>
      </w:tr>
      <w:tr w14:paraId="4A358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noWrap/>
            <w:vAlign w:val="center"/>
          </w:tcPr>
          <w:p w14:paraId="45A64CB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金刚石划片刀</w:t>
            </w:r>
          </w:p>
        </w:tc>
        <w:tc>
          <w:tcPr>
            <w:tcW w:w="1303" w:type="pct"/>
            <w:gridSpan w:val="2"/>
            <w:noWrap/>
            <w:vAlign w:val="center"/>
          </w:tcPr>
          <w:p w14:paraId="08EE816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W1含油废水</w:t>
            </w:r>
          </w:p>
        </w:tc>
        <w:tc>
          <w:tcPr>
            <w:tcW w:w="778" w:type="pct"/>
            <w:noWrap/>
            <w:vAlign w:val="center"/>
          </w:tcPr>
          <w:p w14:paraId="556D121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0.344</w:t>
            </w:r>
          </w:p>
        </w:tc>
        <w:tc>
          <w:tcPr>
            <w:tcW w:w="645" w:type="pct"/>
            <w:noWrap/>
            <w:vAlign w:val="center"/>
          </w:tcPr>
          <w:p w14:paraId="2BD7E3B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4</w:t>
            </w:r>
          </w:p>
        </w:tc>
        <w:tc>
          <w:tcPr>
            <w:tcW w:w="707" w:type="pct"/>
            <w:noWrap/>
            <w:vAlign w:val="center"/>
          </w:tcPr>
          <w:p w14:paraId="66AC8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1.376</w:t>
            </w:r>
          </w:p>
        </w:tc>
        <w:tc>
          <w:tcPr>
            <w:tcW w:w="695" w:type="pct"/>
            <w:noWrap/>
            <w:vAlign w:val="center"/>
          </w:tcPr>
          <w:p w14:paraId="72B55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1.170</w:t>
            </w:r>
          </w:p>
        </w:tc>
      </w:tr>
      <w:tr w14:paraId="48BEA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3C89406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1303" w:type="pct"/>
            <w:gridSpan w:val="2"/>
            <w:noWrap/>
            <w:vAlign w:val="center"/>
          </w:tcPr>
          <w:p w14:paraId="00B577B1">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W2酸性废水</w:t>
            </w:r>
          </w:p>
        </w:tc>
        <w:tc>
          <w:tcPr>
            <w:tcW w:w="778" w:type="pct"/>
            <w:noWrap/>
            <w:vAlign w:val="center"/>
          </w:tcPr>
          <w:p w14:paraId="59FD793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0.344</w:t>
            </w:r>
          </w:p>
        </w:tc>
        <w:tc>
          <w:tcPr>
            <w:tcW w:w="645" w:type="pct"/>
            <w:noWrap/>
            <w:vAlign w:val="center"/>
          </w:tcPr>
          <w:p w14:paraId="37A41FD1">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12</w:t>
            </w:r>
          </w:p>
        </w:tc>
        <w:tc>
          <w:tcPr>
            <w:tcW w:w="707" w:type="pct"/>
            <w:noWrap/>
            <w:vAlign w:val="center"/>
          </w:tcPr>
          <w:p w14:paraId="5CBD4C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4.128</w:t>
            </w:r>
          </w:p>
        </w:tc>
        <w:tc>
          <w:tcPr>
            <w:tcW w:w="695" w:type="pct"/>
            <w:noWrap/>
            <w:vAlign w:val="center"/>
          </w:tcPr>
          <w:p w14:paraId="7B69DA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3.509</w:t>
            </w:r>
          </w:p>
        </w:tc>
      </w:tr>
      <w:tr w14:paraId="09AD3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6F6FB660">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1303" w:type="pct"/>
            <w:gridSpan w:val="2"/>
            <w:noWrap/>
            <w:vAlign w:val="center"/>
          </w:tcPr>
          <w:p w14:paraId="7A1C17B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W3碱性废水</w:t>
            </w:r>
          </w:p>
        </w:tc>
        <w:tc>
          <w:tcPr>
            <w:tcW w:w="778" w:type="pct"/>
            <w:noWrap/>
            <w:vAlign w:val="center"/>
          </w:tcPr>
          <w:p w14:paraId="170E8F0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0.344</w:t>
            </w:r>
          </w:p>
        </w:tc>
        <w:tc>
          <w:tcPr>
            <w:tcW w:w="645" w:type="pct"/>
            <w:noWrap/>
            <w:vAlign w:val="center"/>
          </w:tcPr>
          <w:p w14:paraId="053EEBEB">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12</w:t>
            </w:r>
          </w:p>
        </w:tc>
        <w:tc>
          <w:tcPr>
            <w:tcW w:w="707" w:type="pct"/>
            <w:noWrap/>
            <w:vAlign w:val="center"/>
          </w:tcPr>
          <w:p w14:paraId="1D6BE2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4.128</w:t>
            </w:r>
          </w:p>
        </w:tc>
        <w:tc>
          <w:tcPr>
            <w:tcW w:w="695" w:type="pct"/>
            <w:noWrap/>
            <w:vAlign w:val="center"/>
          </w:tcPr>
          <w:p w14:paraId="51DAC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3.509</w:t>
            </w:r>
          </w:p>
        </w:tc>
      </w:tr>
      <w:tr w14:paraId="6AC4C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7B5F81B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restart"/>
            <w:noWrap/>
            <w:vAlign w:val="center"/>
          </w:tcPr>
          <w:p w14:paraId="3AD44FE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W4含锌镍废水</w:t>
            </w:r>
          </w:p>
        </w:tc>
        <w:tc>
          <w:tcPr>
            <w:tcW w:w="684" w:type="pct"/>
            <w:noWrap/>
            <w:vAlign w:val="center"/>
          </w:tcPr>
          <w:p w14:paraId="3CBCBF1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洗水</w:t>
            </w:r>
          </w:p>
        </w:tc>
        <w:tc>
          <w:tcPr>
            <w:tcW w:w="778" w:type="pct"/>
            <w:noWrap/>
            <w:vAlign w:val="center"/>
          </w:tcPr>
          <w:p w14:paraId="658F81C1">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0.344</w:t>
            </w:r>
          </w:p>
        </w:tc>
        <w:tc>
          <w:tcPr>
            <w:tcW w:w="645" w:type="pct"/>
            <w:noWrap/>
            <w:vAlign w:val="center"/>
          </w:tcPr>
          <w:p w14:paraId="002D198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12</w:t>
            </w:r>
          </w:p>
        </w:tc>
        <w:tc>
          <w:tcPr>
            <w:tcW w:w="707" w:type="pct"/>
            <w:noWrap/>
            <w:vAlign w:val="center"/>
          </w:tcPr>
          <w:p w14:paraId="65B8BF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4.128</w:t>
            </w:r>
          </w:p>
        </w:tc>
        <w:tc>
          <w:tcPr>
            <w:tcW w:w="695" w:type="pct"/>
            <w:noWrap/>
            <w:vAlign w:val="center"/>
          </w:tcPr>
          <w:p w14:paraId="1A6FF8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3.509</w:t>
            </w:r>
          </w:p>
        </w:tc>
      </w:tr>
      <w:tr w14:paraId="541A0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716421F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continue"/>
            <w:noWrap/>
            <w:vAlign w:val="center"/>
          </w:tcPr>
          <w:p w14:paraId="1FF163C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p>
        </w:tc>
        <w:tc>
          <w:tcPr>
            <w:tcW w:w="684" w:type="pct"/>
            <w:noWrap/>
            <w:vAlign w:val="center"/>
          </w:tcPr>
          <w:p w14:paraId="6647F7C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滤袋清洗</w:t>
            </w:r>
          </w:p>
        </w:tc>
        <w:tc>
          <w:tcPr>
            <w:tcW w:w="2131" w:type="pct"/>
            <w:gridSpan w:val="3"/>
            <w:noWrap/>
            <w:vAlign w:val="center"/>
          </w:tcPr>
          <w:p w14:paraId="24BFF2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color w:val="auto"/>
                <w:kern w:val="0"/>
                <w:sz w:val="21"/>
                <w:szCs w:val="21"/>
                <w:highlight w:val="none"/>
                <w:u w:val="single" w:color="auto"/>
                <w:lang w:val="en-US" w:eastAsia="zh-CN" w:bidi="ar-SA"/>
              </w:rPr>
              <w:t>0.2</w:t>
            </w:r>
          </w:p>
        </w:tc>
        <w:tc>
          <w:tcPr>
            <w:tcW w:w="695" w:type="pct"/>
            <w:noWrap/>
            <w:vAlign w:val="center"/>
          </w:tcPr>
          <w:p w14:paraId="32FB99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0.17</w:t>
            </w:r>
          </w:p>
        </w:tc>
      </w:tr>
      <w:tr w14:paraId="6A515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399C832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restart"/>
            <w:noWrap/>
            <w:vAlign w:val="center"/>
          </w:tcPr>
          <w:p w14:paraId="091F4FF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W5含镍废水</w:t>
            </w:r>
          </w:p>
        </w:tc>
        <w:tc>
          <w:tcPr>
            <w:tcW w:w="684" w:type="pct"/>
            <w:noWrap/>
            <w:vAlign w:val="center"/>
          </w:tcPr>
          <w:p w14:paraId="76071F4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洗水</w:t>
            </w:r>
          </w:p>
        </w:tc>
        <w:tc>
          <w:tcPr>
            <w:tcW w:w="778" w:type="pct"/>
            <w:noWrap/>
            <w:vAlign w:val="center"/>
          </w:tcPr>
          <w:p w14:paraId="465E164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0.344</w:t>
            </w:r>
          </w:p>
        </w:tc>
        <w:tc>
          <w:tcPr>
            <w:tcW w:w="645" w:type="pct"/>
            <w:noWrap/>
            <w:vAlign w:val="center"/>
          </w:tcPr>
          <w:p w14:paraId="2CA08CD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12</w:t>
            </w:r>
          </w:p>
        </w:tc>
        <w:tc>
          <w:tcPr>
            <w:tcW w:w="707" w:type="pct"/>
            <w:noWrap/>
            <w:vAlign w:val="center"/>
          </w:tcPr>
          <w:p w14:paraId="53E878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4.128</w:t>
            </w:r>
          </w:p>
        </w:tc>
        <w:tc>
          <w:tcPr>
            <w:tcW w:w="695" w:type="pct"/>
            <w:noWrap/>
            <w:vAlign w:val="center"/>
          </w:tcPr>
          <w:p w14:paraId="459BA8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3.509</w:t>
            </w:r>
          </w:p>
        </w:tc>
      </w:tr>
      <w:tr w14:paraId="27D88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7278066B">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continue"/>
            <w:noWrap/>
            <w:vAlign w:val="center"/>
          </w:tcPr>
          <w:p w14:paraId="3C7F578F">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p>
        </w:tc>
        <w:tc>
          <w:tcPr>
            <w:tcW w:w="684" w:type="pct"/>
            <w:noWrap/>
            <w:vAlign w:val="center"/>
          </w:tcPr>
          <w:p w14:paraId="532E053F">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滤袋清洗</w:t>
            </w:r>
          </w:p>
        </w:tc>
        <w:tc>
          <w:tcPr>
            <w:tcW w:w="2131" w:type="pct"/>
            <w:gridSpan w:val="3"/>
            <w:noWrap/>
            <w:vAlign w:val="center"/>
          </w:tcPr>
          <w:p w14:paraId="5913D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color w:val="auto"/>
                <w:kern w:val="0"/>
                <w:sz w:val="21"/>
                <w:szCs w:val="21"/>
                <w:highlight w:val="none"/>
                <w:u w:val="single" w:color="auto"/>
                <w:lang w:val="en-US" w:eastAsia="zh-CN" w:bidi="ar-SA"/>
              </w:rPr>
              <w:t>0.2</w:t>
            </w:r>
          </w:p>
        </w:tc>
        <w:tc>
          <w:tcPr>
            <w:tcW w:w="695" w:type="pct"/>
            <w:noWrap/>
            <w:vAlign w:val="center"/>
          </w:tcPr>
          <w:p w14:paraId="0D2A0B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0.17</w:t>
            </w:r>
          </w:p>
        </w:tc>
      </w:tr>
      <w:tr w14:paraId="0359D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noWrap/>
            <w:vAlign w:val="center"/>
          </w:tcPr>
          <w:p w14:paraId="2CF06CB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超硬材料砂轮镀镀超硬材料</w:t>
            </w:r>
            <w:r>
              <w:rPr>
                <w:rFonts w:hint="eastAsia" w:cs="Times New Roman"/>
                <w:color w:val="auto"/>
                <w:sz w:val="21"/>
                <w:szCs w:val="21"/>
                <w:highlight w:val="none"/>
                <w:u w:val="single" w:color="auto"/>
                <w:lang w:val="en-US" w:eastAsia="zh-CN"/>
              </w:rPr>
              <w:t>工序</w:t>
            </w:r>
          </w:p>
        </w:tc>
        <w:tc>
          <w:tcPr>
            <w:tcW w:w="1303" w:type="pct"/>
            <w:gridSpan w:val="2"/>
            <w:noWrap/>
            <w:vAlign w:val="center"/>
          </w:tcPr>
          <w:p w14:paraId="68C2B9A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W1含油废水</w:t>
            </w:r>
          </w:p>
        </w:tc>
        <w:tc>
          <w:tcPr>
            <w:tcW w:w="778" w:type="pct"/>
            <w:noWrap/>
            <w:vAlign w:val="center"/>
          </w:tcPr>
          <w:p w14:paraId="6F758501">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0.408</w:t>
            </w:r>
          </w:p>
        </w:tc>
        <w:tc>
          <w:tcPr>
            <w:tcW w:w="645" w:type="pct"/>
            <w:noWrap/>
            <w:vAlign w:val="center"/>
          </w:tcPr>
          <w:p w14:paraId="0256D2B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4</w:t>
            </w:r>
          </w:p>
        </w:tc>
        <w:tc>
          <w:tcPr>
            <w:tcW w:w="707" w:type="pct"/>
            <w:noWrap/>
            <w:vAlign w:val="center"/>
          </w:tcPr>
          <w:p w14:paraId="6FA1A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1.632</w:t>
            </w:r>
          </w:p>
        </w:tc>
        <w:tc>
          <w:tcPr>
            <w:tcW w:w="695" w:type="pct"/>
            <w:noWrap/>
            <w:vAlign w:val="center"/>
          </w:tcPr>
          <w:p w14:paraId="0BFD6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1.387</w:t>
            </w:r>
          </w:p>
        </w:tc>
      </w:tr>
      <w:tr w14:paraId="7D339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21AA33F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1303" w:type="pct"/>
            <w:gridSpan w:val="2"/>
            <w:noWrap/>
            <w:vAlign w:val="center"/>
          </w:tcPr>
          <w:p w14:paraId="0F60B13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W2酸性废水</w:t>
            </w:r>
          </w:p>
        </w:tc>
        <w:tc>
          <w:tcPr>
            <w:tcW w:w="778" w:type="pct"/>
            <w:noWrap/>
            <w:vAlign w:val="center"/>
          </w:tcPr>
          <w:p w14:paraId="2FD1D17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0.408</w:t>
            </w:r>
          </w:p>
        </w:tc>
        <w:tc>
          <w:tcPr>
            <w:tcW w:w="645" w:type="pct"/>
            <w:noWrap/>
            <w:vAlign w:val="center"/>
          </w:tcPr>
          <w:p w14:paraId="18AF77C7">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12</w:t>
            </w:r>
          </w:p>
        </w:tc>
        <w:tc>
          <w:tcPr>
            <w:tcW w:w="707" w:type="pct"/>
            <w:noWrap/>
            <w:vAlign w:val="center"/>
          </w:tcPr>
          <w:p w14:paraId="4C8377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4.896</w:t>
            </w:r>
          </w:p>
        </w:tc>
        <w:tc>
          <w:tcPr>
            <w:tcW w:w="695" w:type="pct"/>
            <w:noWrap/>
            <w:vAlign w:val="center"/>
          </w:tcPr>
          <w:p w14:paraId="711B22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4.162</w:t>
            </w:r>
          </w:p>
        </w:tc>
      </w:tr>
      <w:tr w14:paraId="7DB68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2D62AF1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restart"/>
            <w:noWrap/>
            <w:vAlign w:val="center"/>
          </w:tcPr>
          <w:p w14:paraId="54C956D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W5含镍废水</w:t>
            </w:r>
          </w:p>
        </w:tc>
        <w:tc>
          <w:tcPr>
            <w:tcW w:w="684" w:type="pct"/>
            <w:noWrap/>
            <w:vAlign w:val="center"/>
          </w:tcPr>
          <w:p w14:paraId="40338CE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洗水</w:t>
            </w:r>
          </w:p>
        </w:tc>
        <w:tc>
          <w:tcPr>
            <w:tcW w:w="778" w:type="pct"/>
            <w:noWrap/>
            <w:vAlign w:val="center"/>
          </w:tcPr>
          <w:p w14:paraId="6D5A539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0.408</w:t>
            </w:r>
          </w:p>
        </w:tc>
        <w:tc>
          <w:tcPr>
            <w:tcW w:w="645" w:type="pct"/>
            <w:noWrap/>
            <w:vAlign w:val="center"/>
          </w:tcPr>
          <w:p w14:paraId="565703F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12</w:t>
            </w:r>
          </w:p>
        </w:tc>
        <w:tc>
          <w:tcPr>
            <w:tcW w:w="707" w:type="pct"/>
            <w:noWrap/>
            <w:vAlign w:val="center"/>
          </w:tcPr>
          <w:p w14:paraId="308653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4.896</w:t>
            </w:r>
          </w:p>
        </w:tc>
        <w:tc>
          <w:tcPr>
            <w:tcW w:w="695" w:type="pct"/>
            <w:noWrap/>
            <w:vAlign w:val="center"/>
          </w:tcPr>
          <w:p w14:paraId="0973EF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4.162</w:t>
            </w:r>
          </w:p>
        </w:tc>
      </w:tr>
      <w:tr w14:paraId="2E48E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450FB55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continue"/>
            <w:noWrap/>
            <w:vAlign w:val="center"/>
          </w:tcPr>
          <w:p w14:paraId="47B3885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p>
        </w:tc>
        <w:tc>
          <w:tcPr>
            <w:tcW w:w="684" w:type="pct"/>
            <w:noWrap/>
            <w:vAlign w:val="center"/>
          </w:tcPr>
          <w:p w14:paraId="47A7A79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滤袋清洗</w:t>
            </w:r>
          </w:p>
        </w:tc>
        <w:tc>
          <w:tcPr>
            <w:tcW w:w="2131" w:type="pct"/>
            <w:gridSpan w:val="3"/>
            <w:noWrap/>
            <w:vAlign w:val="center"/>
          </w:tcPr>
          <w:p w14:paraId="274801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kern w:val="0"/>
                <w:sz w:val="21"/>
                <w:szCs w:val="21"/>
                <w:highlight w:val="none"/>
                <w:u w:val="single" w:color="auto"/>
                <w:lang w:val="en-US" w:eastAsia="zh-CN" w:bidi="ar-SA"/>
              </w:rPr>
              <w:t>0.2</w:t>
            </w:r>
          </w:p>
        </w:tc>
        <w:tc>
          <w:tcPr>
            <w:tcW w:w="695" w:type="pct"/>
            <w:noWrap/>
            <w:vAlign w:val="center"/>
          </w:tcPr>
          <w:p w14:paraId="136E6D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0.17</w:t>
            </w:r>
          </w:p>
        </w:tc>
      </w:tr>
      <w:tr w14:paraId="101C3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noWrap/>
            <w:vAlign w:val="center"/>
          </w:tcPr>
          <w:p w14:paraId="4E65C85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超硬材料磨头</w:t>
            </w:r>
            <w:r>
              <w:rPr>
                <w:rFonts w:hint="default" w:ascii="Times New Roman" w:hAnsi="Times New Roman" w:eastAsia="宋体" w:cs="Times New Roman"/>
                <w:color w:val="auto"/>
                <w:sz w:val="21"/>
                <w:szCs w:val="21"/>
                <w:highlight w:val="none"/>
                <w:u w:val="single" w:color="auto"/>
                <w:lang w:val="en-US" w:eastAsia="zh-CN"/>
              </w:rPr>
              <w:t>镀镀超硬材料</w:t>
            </w:r>
            <w:r>
              <w:rPr>
                <w:rFonts w:hint="eastAsia" w:cs="Times New Roman"/>
                <w:color w:val="auto"/>
                <w:sz w:val="21"/>
                <w:szCs w:val="21"/>
                <w:highlight w:val="none"/>
                <w:u w:val="single" w:color="auto"/>
                <w:lang w:val="en-US" w:eastAsia="zh-CN"/>
              </w:rPr>
              <w:t>工序</w:t>
            </w:r>
          </w:p>
        </w:tc>
        <w:tc>
          <w:tcPr>
            <w:tcW w:w="1303" w:type="pct"/>
            <w:gridSpan w:val="2"/>
            <w:noWrap/>
            <w:vAlign w:val="center"/>
          </w:tcPr>
          <w:p w14:paraId="6641968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W1含油废水</w:t>
            </w:r>
          </w:p>
        </w:tc>
        <w:tc>
          <w:tcPr>
            <w:tcW w:w="778" w:type="pct"/>
            <w:noWrap/>
            <w:vAlign w:val="center"/>
          </w:tcPr>
          <w:p w14:paraId="0D82F83F">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0.272</w:t>
            </w:r>
          </w:p>
        </w:tc>
        <w:tc>
          <w:tcPr>
            <w:tcW w:w="645" w:type="pct"/>
            <w:noWrap/>
            <w:vAlign w:val="center"/>
          </w:tcPr>
          <w:p w14:paraId="1C6EE0C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4</w:t>
            </w:r>
          </w:p>
        </w:tc>
        <w:tc>
          <w:tcPr>
            <w:tcW w:w="707" w:type="pct"/>
            <w:noWrap/>
            <w:vAlign w:val="center"/>
          </w:tcPr>
          <w:p w14:paraId="47311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1.088</w:t>
            </w:r>
          </w:p>
        </w:tc>
        <w:tc>
          <w:tcPr>
            <w:tcW w:w="695" w:type="pct"/>
            <w:noWrap/>
            <w:vAlign w:val="center"/>
          </w:tcPr>
          <w:p w14:paraId="6E1E2D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0.925</w:t>
            </w:r>
          </w:p>
        </w:tc>
      </w:tr>
      <w:tr w14:paraId="1B63E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0ADF751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1303" w:type="pct"/>
            <w:gridSpan w:val="2"/>
            <w:noWrap/>
            <w:vAlign w:val="center"/>
          </w:tcPr>
          <w:p w14:paraId="1732DB4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W2酸性废水</w:t>
            </w:r>
          </w:p>
        </w:tc>
        <w:tc>
          <w:tcPr>
            <w:tcW w:w="778" w:type="pct"/>
            <w:noWrap/>
            <w:vAlign w:val="center"/>
          </w:tcPr>
          <w:p w14:paraId="1499D0E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0.272</w:t>
            </w:r>
          </w:p>
        </w:tc>
        <w:tc>
          <w:tcPr>
            <w:tcW w:w="645" w:type="pct"/>
            <w:noWrap/>
            <w:vAlign w:val="center"/>
          </w:tcPr>
          <w:p w14:paraId="7083714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12</w:t>
            </w:r>
          </w:p>
        </w:tc>
        <w:tc>
          <w:tcPr>
            <w:tcW w:w="707" w:type="pct"/>
            <w:noWrap/>
            <w:vAlign w:val="center"/>
          </w:tcPr>
          <w:p w14:paraId="504681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3.264</w:t>
            </w:r>
          </w:p>
        </w:tc>
        <w:tc>
          <w:tcPr>
            <w:tcW w:w="695" w:type="pct"/>
            <w:noWrap/>
            <w:vAlign w:val="center"/>
          </w:tcPr>
          <w:p w14:paraId="5F371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2.774</w:t>
            </w:r>
          </w:p>
        </w:tc>
      </w:tr>
      <w:tr w14:paraId="04D79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7B528530">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restart"/>
            <w:noWrap/>
            <w:vAlign w:val="center"/>
          </w:tcPr>
          <w:p w14:paraId="4462FAB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W5含镍废水</w:t>
            </w:r>
          </w:p>
        </w:tc>
        <w:tc>
          <w:tcPr>
            <w:tcW w:w="684" w:type="pct"/>
            <w:noWrap/>
            <w:vAlign w:val="center"/>
          </w:tcPr>
          <w:p w14:paraId="3017DE3B">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洗水</w:t>
            </w:r>
          </w:p>
        </w:tc>
        <w:tc>
          <w:tcPr>
            <w:tcW w:w="778" w:type="pct"/>
            <w:noWrap/>
            <w:vAlign w:val="center"/>
          </w:tcPr>
          <w:p w14:paraId="1A86B43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0.272</w:t>
            </w:r>
          </w:p>
        </w:tc>
        <w:tc>
          <w:tcPr>
            <w:tcW w:w="645" w:type="pct"/>
            <w:noWrap/>
            <w:vAlign w:val="center"/>
          </w:tcPr>
          <w:p w14:paraId="5AA8DF3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12</w:t>
            </w:r>
          </w:p>
        </w:tc>
        <w:tc>
          <w:tcPr>
            <w:tcW w:w="707" w:type="pct"/>
            <w:noWrap/>
            <w:vAlign w:val="center"/>
          </w:tcPr>
          <w:p w14:paraId="2AC7C6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3.264</w:t>
            </w:r>
          </w:p>
        </w:tc>
        <w:tc>
          <w:tcPr>
            <w:tcW w:w="695" w:type="pct"/>
            <w:noWrap/>
            <w:vAlign w:val="center"/>
          </w:tcPr>
          <w:p w14:paraId="0F7C3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2.774</w:t>
            </w:r>
          </w:p>
        </w:tc>
      </w:tr>
      <w:tr w14:paraId="7FBAF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023C671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continue"/>
            <w:noWrap/>
            <w:vAlign w:val="center"/>
          </w:tcPr>
          <w:p w14:paraId="76A8FEC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p>
        </w:tc>
        <w:tc>
          <w:tcPr>
            <w:tcW w:w="684" w:type="pct"/>
            <w:noWrap/>
            <w:vAlign w:val="center"/>
          </w:tcPr>
          <w:p w14:paraId="65219EC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滤袋清洗</w:t>
            </w:r>
          </w:p>
        </w:tc>
        <w:tc>
          <w:tcPr>
            <w:tcW w:w="2131" w:type="pct"/>
            <w:gridSpan w:val="3"/>
            <w:noWrap/>
            <w:vAlign w:val="center"/>
          </w:tcPr>
          <w:p w14:paraId="2A8700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color w:val="auto"/>
                <w:kern w:val="0"/>
                <w:sz w:val="21"/>
                <w:szCs w:val="21"/>
                <w:highlight w:val="none"/>
                <w:u w:val="single" w:color="auto"/>
                <w:lang w:val="en-US" w:eastAsia="zh-CN" w:bidi="ar-SA"/>
              </w:rPr>
              <w:t>0.2</w:t>
            </w:r>
          </w:p>
        </w:tc>
        <w:tc>
          <w:tcPr>
            <w:tcW w:w="695" w:type="pct"/>
            <w:noWrap/>
            <w:vAlign w:val="center"/>
          </w:tcPr>
          <w:p w14:paraId="2F9B09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0.17</w:t>
            </w:r>
          </w:p>
        </w:tc>
      </w:tr>
      <w:tr w14:paraId="52897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noWrap/>
            <w:vAlign w:val="center"/>
          </w:tcPr>
          <w:p w14:paraId="6694FFD0">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超硬材料套瓦刀及套孔钻镀镀超硬材料</w:t>
            </w:r>
            <w:r>
              <w:rPr>
                <w:rFonts w:hint="eastAsia" w:cs="Times New Roman"/>
                <w:color w:val="auto"/>
                <w:sz w:val="21"/>
                <w:szCs w:val="21"/>
                <w:highlight w:val="none"/>
                <w:u w:val="single" w:color="auto"/>
                <w:lang w:val="en-US" w:eastAsia="zh-CN"/>
              </w:rPr>
              <w:t>工序</w:t>
            </w:r>
          </w:p>
        </w:tc>
        <w:tc>
          <w:tcPr>
            <w:tcW w:w="1303" w:type="pct"/>
            <w:gridSpan w:val="2"/>
            <w:noWrap/>
            <w:vAlign w:val="center"/>
          </w:tcPr>
          <w:p w14:paraId="3B4B49B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W1含油废水</w:t>
            </w:r>
          </w:p>
        </w:tc>
        <w:tc>
          <w:tcPr>
            <w:tcW w:w="778" w:type="pct"/>
            <w:noWrap/>
            <w:vAlign w:val="center"/>
          </w:tcPr>
          <w:p w14:paraId="6770115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0.152</w:t>
            </w:r>
          </w:p>
        </w:tc>
        <w:tc>
          <w:tcPr>
            <w:tcW w:w="645" w:type="pct"/>
            <w:noWrap/>
            <w:vAlign w:val="center"/>
          </w:tcPr>
          <w:p w14:paraId="69D1400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2</w:t>
            </w:r>
          </w:p>
        </w:tc>
        <w:tc>
          <w:tcPr>
            <w:tcW w:w="707" w:type="pct"/>
            <w:noWrap/>
            <w:vAlign w:val="center"/>
          </w:tcPr>
          <w:p w14:paraId="54B6F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0.304</w:t>
            </w:r>
          </w:p>
        </w:tc>
        <w:tc>
          <w:tcPr>
            <w:tcW w:w="695" w:type="pct"/>
            <w:noWrap/>
            <w:vAlign w:val="center"/>
          </w:tcPr>
          <w:p w14:paraId="761BD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0.258</w:t>
            </w:r>
          </w:p>
        </w:tc>
      </w:tr>
      <w:tr w14:paraId="07D21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502AE75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1303" w:type="pct"/>
            <w:gridSpan w:val="2"/>
            <w:noWrap/>
            <w:vAlign w:val="center"/>
          </w:tcPr>
          <w:p w14:paraId="59A1100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W2酸性废水</w:t>
            </w:r>
          </w:p>
        </w:tc>
        <w:tc>
          <w:tcPr>
            <w:tcW w:w="778" w:type="pct"/>
            <w:noWrap/>
            <w:vAlign w:val="center"/>
          </w:tcPr>
          <w:p w14:paraId="5E968FC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0.152</w:t>
            </w:r>
          </w:p>
        </w:tc>
        <w:tc>
          <w:tcPr>
            <w:tcW w:w="645" w:type="pct"/>
            <w:noWrap/>
            <w:vAlign w:val="center"/>
          </w:tcPr>
          <w:p w14:paraId="785FD58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10</w:t>
            </w:r>
          </w:p>
        </w:tc>
        <w:tc>
          <w:tcPr>
            <w:tcW w:w="707" w:type="pct"/>
            <w:noWrap/>
            <w:vAlign w:val="center"/>
          </w:tcPr>
          <w:p w14:paraId="450F3C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1.52</w:t>
            </w:r>
          </w:p>
        </w:tc>
        <w:tc>
          <w:tcPr>
            <w:tcW w:w="695" w:type="pct"/>
            <w:noWrap/>
            <w:vAlign w:val="center"/>
          </w:tcPr>
          <w:p w14:paraId="526FD0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1.292</w:t>
            </w:r>
          </w:p>
        </w:tc>
      </w:tr>
      <w:tr w14:paraId="5AD53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2EA20C3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restart"/>
            <w:noWrap/>
            <w:vAlign w:val="center"/>
          </w:tcPr>
          <w:p w14:paraId="37BE6A3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W5含镍废水</w:t>
            </w:r>
          </w:p>
        </w:tc>
        <w:tc>
          <w:tcPr>
            <w:tcW w:w="684" w:type="pct"/>
            <w:noWrap/>
            <w:vAlign w:val="center"/>
          </w:tcPr>
          <w:p w14:paraId="6BD18A3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洗水</w:t>
            </w:r>
          </w:p>
        </w:tc>
        <w:tc>
          <w:tcPr>
            <w:tcW w:w="778" w:type="pct"/>
            <w:noWrap/>
            <w:vAlign w:val="center"/>
          </w:tcPr>
          <w:p w14:paraId="75F9D0D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0.152</w:t>
            </w:r>
          </w:p>
        </w:tc>
        <w:tc>
          <w:tcPr>
            <w:tcW w:w="645" w:type="pct"/>
            <w:noWrap/>
            <w:vAlign w:val="center"/>
          </w:tcPr>
          <w:p w14:paraId="155DE04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10</w:t>
            </w:r>
          </w:p>
        </w:tc>
        <w:tc>
          <w:tcPr>
            <w:tcW w:w="707" w:type="pct"/>
            <w:noWrap/>
            <w:vAlign w:val="center"/>
          </w:tcPr>
          <w:p w14:paraId="793C3F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1.52</w:t>
            </w:r>
          </w:p>
        </w:tc>
        <w:tc>
          <w:tcPr>
            <w:tcW w:w="695" w:type="pct"/>
            <w:noWrap/>
            <w:vAlign w:val="center"/>
          </w:tcPr>
          <w:p w14:paraId="6E78C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1.292</w:t>
            </w:r>
          </w:p>
        </w:tc>
      </w:tr>
      <w:tr w14:paraId="5152F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2EBB437B">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continue"/>
            <w:noWrap/>
            <w:vAlign w:val="center"/>
          </w:tcPr>
          <w:p w14:paraId="1EC7816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p>
        </w:tc>
        <w:tc>
          <w:tcPr>
            <w:tcW w:w="684" w:type="pct"/>
            <w:noWrap/>
            <w:vAlign w:val="center"/>
          </w:tcPr>
          <w:p w14:paraId="12E68EFF">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滤袋清洗</w:t>
            </w:r>
          </w:p>
        </w:tc>
        <w:tc>
          <w:tcPr>
            <w:tcW w:w="2131" w:type="pct"/>
            <w:gridSpan w:val="3"/>
            <w:noWrap/>
            <w:vAlign w:val="center"/>
          </w:tcPr>
          <w:p w14:paraId="6B142F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color w:val="auto"/>
                <w:kern w:val="0"/>
                <w:sz w:val="21"/>
                <w:szCs w:val="21"/>
                <w:highlight w:val="none"/>
                <w:u w:val="single" w:color="auto"/>
                <w:lang w:val="en-US" w:eastAsia="zh-CN" w:bidi="ar-SA"/>
              </w:rPr>
              <w:t>0.2</w:t>
            </w:r>
          </w:p>
        </w:tc>
        <w:tc>
          <w:tcPr>
            <w:tcW w:w="695" w:type="pct"/>
            <w:noWrap/>
            <w:vAlign w:val="center"/>
          </w:tcPr>
          <w:p w14:paraId="5CBE7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0.17</w:t>
            </w:r>
          </w:p>
        </w:tc>
      </w:tr>
      <w:tr w14:paraId="65491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noWrap/>
            <w:vAlign w:val="center"/>
          </w:tcPr>
          <w:p w14:paraId="3754727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超硬材料砂轮、超硬材料磨头、超硬材料套瓦刀及套孔钻装饰镀</w:t>
            </w:r>
            <w:r>
              <w:rPr>
                <w:rFonts w:hint="eastAsia" w:cs="Times New Roman"/>
                <w:color w:val="auto"/>
                <w:sz w:val="21"/>
                <w:szCs w:val="21"/>
                <w:highlight w:val="none"/>
                <w:u w:val="single" w:color="auto"/>
                <w:lang w:val="en-US" w:eastAsia="zh-CN"/>
              </w:rPr>
              <w:t>工序</w:t>
            </w:r>
          </w:p>
        </w:tc>
        <w:tc>
          <w:tcPr>
            <w:tcW w:w="1303" w:type="pct"/>
            <w:gridSpan w:val="2"/>
            <w:noWrap/>
            <w:vAlign w:val="center"/>
          </w:tcPr>
          <w:p w14:paraId="6DEEA1C1">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W1含油废水</w:t>
            </w:r>
          </w:p>
        </w:tc>
        <w:tc>
          <w:tcPr>
            <w:tcW w:w="778" w:type="pct"/>
            <w:noWrap/>
            <w:vAlign w:val="center"/>
          </w:tcPr>
          <w:p w14:paraId="07A2447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0.736</w:t>
            </w:r>
          </w:p>
        </w:tc>
        <w:tc>
          <w:tcPr>
            <w:tcW w:w="645" w:type="pct"/>
            <w:noWrap/>
            <w:vAlign w:val="center"/>
          </w:tcPr>
          <w:p w14:paraId="2530ECB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2</w:t>
            </w:r>
          </w:p>
        </w:tc>
        <w:tc>
          <w:tcPr>
            <w:tcW w:w="707" w:type="pct"/>
            <w:noWrap/>
            <w:vAlign w:val="center"/>
          </w:tcPr>
          <w:p w14:paraId="5D65D7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1.472</w:t>
            </w:r>
          </w:p>
        </w:tc>
        <w:tc>
          <w:tcPr>
            <w:tcW w:w="695" w:type="pct"/>
            <w:noWrap/>
            <w:vAlign w:val="center"/>
          </w:tcPr>
          <w:p w14:paraId="7E564C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1.251</w:t>
            </w:r>
          </w:p>
        </w:tc>
      </w:tr>
      <w:tr w14:paraId="745F8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3121A32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p>
        </w:tc>
        <w:tc>
          <w:tcPr>
            <w:tcW w:w="1303" w:type="pct"/>
            <w:gridSpan w:val="2"/>
            <w:noWrap/>
            <w:vAlign w:val="center"/>
          </w:tcPr>
          <w:p w14:paraId="5A4CAE90">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W2酸性废水</w:t>
            </w:r>
          </w:p>
        </w:tc>
        <w:tc>
          <w:tcPr>
            <w:tcW w:w="778" w:type="pct"/>
            <w:noWrap/>
            <w:vAlign w:val="center"/>
          </w:tcPr>
          <w:p w14:paraId="641FBBB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0.736</w:t>
            </w:r>
          </w:p>
        </w:tc>
        <w:tc>
          <w:tcPr>
            <w:tcW w:w="645" w:type="pct"/>
            <w:noWrap/>
            <w:vAlign w:val="center"/>
          </w:tcPr>
          <w:p w14:paraId="3F379F5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2</w:t>
            </w:r>
          </w:p>
        </w:tc>
        <w:tc>
          <w:tcPr>
            <w:tcW w:w="707" w:type="pct"/>
            <w:noWrap/>
            <w:vAlign w:val="center"/>
          </w:tcPr>
          <w:p w14:paraId="49256C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1.472</w:t>
            </w:r>
          </w:p>
        </w:tc>
        <w:tc>
          <w:tcPr>
            <w:tcW w:w="695" w:type="pct"/>
            <w:noWrap/>
            <w:vAlign w:val="center"/>
          </w:tcPr>
          <w:p w14:paraId="638221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1.251</w:t>
            </w:r>
          </w:p>
        </w:tc>
      </w:tr>
      <w:tr w14:paraId="5B2D7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604A083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p>
        </w:tc>
        <w:tc>
          <w:tcPr>
            <w:tcW w:w="619" w:type="pct"/>
            <w:vMerge w:val="restart"/>
            <w:noWrap/>
            <w:vAlign w:val="center"/>
          </w:tcPr>
          <w:p w14:paraId="6811FAE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W5含镍废水</w:t>
            </w:r>
          </w:p>
        </w:tc>
        <w:tc>
          <w:tcPr>
            <w:tcW w:w="684" w:type="pct"/>
            <w:noWrap/>
            <w:vAlign w:val="center"/>
          </w:tcPr>
          <w:p w14:paraId="520CBC5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洗水</w:t>
            </w:r>
          </w:p>
        </w:tc>
        <w:tc>
          <w:tcPr>
            <w:tcW w:w="778" w:type="pct"/>
            <w:noWrap/>
            <w:vAlign w:val="center"/>
          </w:tcPr>
          <w:p w14:paraId="3BC0C3C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0.736</w:t>
            </w:r>
          </w:p>
        </w:tc>
        <w:tc>
          <w:tcPr>
            <w:tcW w:w="645" w:type="pct"/>
            <w:noWrap/>
            <w:vAlign w:val="center"/>
          </w:tcPr>
          <w:p w14:paraId="7CB74600">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2</w:t>
            </w:r>
          </w:p>
        </w:tc>
        <w:tc>
          <w:tcPr>
            <w:tcW w:w="707" w:type="pct"/>
            <w:noWrap/>
            <w:vAlign w:val="center"/>
          </w:tcPr>
          <w:p w14:paraId="26A56B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1.472</w:t>
            </w:r>
          </w:p>
        </w:tc>
        <w:tc>
          <w:tcPr>
            <w:tcW w:w="695" w:type="pct"/>
            <w:noWrap/>
            <w:vAlign w:val="center"/>
          </w:tcPr>
          <w:p w14:paraId="6959D5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1.251</w:t>
            </w:r>
          </w:p>
        </w:tc>
      </w:tr>
      <w:tr w14:paraId="1D08A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4668D66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p>
        </w:tc>
        <w:tc>
          <w:tcPr>
            <w:tcW w:w="619" w:type="pct"/>
            <w:vMerge w:val="continue"/>
            <w:noWrap/>
            <w:vAlign w:val="center"/>
          </w:tcPr>
          <w:p w14:paraId="7A50B961">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p>
        </w:tc>
        <w:tc>
          <w:tcPr>
            <w:tcW w:w="684" w:type="pct"/>
            <w:noWrap/>
            <w:vAlign w:val="center"/>
          </w:tcPr>
          <w:p w14:paraId="4FBE442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滤袋清洗</w:t>
            </w:r>
          </w:p>
        </w:tc>
        <w:tc>
          <w:tcPr>
            <w:tcW w:w="2131" w:type="pct"/>
            <w:gridSpan w:val="3"/>
            <w:noWrap/>
            <w:vAlign w:val="center"/>
          </w:tcPr>
          <w:p w14:paraId="10D28D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color w:val="auto"/>
                <w:kern w:val="0"/>
                <w:sz w:val="21"/>
                <w:szCs w:val="21"/>
                <w:highlight w:val="none"/>
                <w:u w:val="single" w:color="auto"/>
                <w:lang w:val="en-US" w:eastAsia="zh-CN" w:bidi="ar-SA"/>
              </w:rPr>
              <w:t>0.2</w:t>
            </w:r>
          </w:p>
        </w:tc>
        <w:tc>
          <w:tcPr>
            <w:tcW w:w="695" w:type="pct"/>
            <w:noWrap/>
            <w:vAlign w:val="center"/>
          </w:tcPr>
          <w:p w14:paraId="0EF0CE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0.17</w:t>
            </w:r>
          </w:p>
        </w:tc>
      </w:tr>
      <w:tr w14:paraId="7C58A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6652A9C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p>
        </w:tc>
        <w:tc>
          <w:tcPr>
            <w:tcW w:w="619" w:type="pct"/>
            <w:vMerge w:val="restart"/>
            <w:noWrap/>
            <w:vAlign w:val="center"/>
          </w:tcPr>
          <w:p w14:paraId="27C0C847">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cs="Times New Roman"/>
                <w:color w:val="auto"/>
                <w:kern w:val="0"/>
                <w:sz w:val="21"/>
                <w:szCs w:val="21"/>
                <w:highlight w:val="none"/>
                <w:u w:val="single" w:color="auto"/>
                <w:lang w:val="en-US" w:eastAsia="zh-CN" w:bidi="ar-SA"/>
              </w:rPr>
              <w:t>W6含铜废水</w:t>
            </w:r>
          </w:p>
        </w:tc>
        <w:tc>
          <w:tcPr>
            <w:tcW w:w="684" w:type="pct"/>
            <w:noWrap/>
            <w:vAlign w:val="center"/>
          </w:tcPr>
          <w:p w14:paraId="2B0DAFB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洗水</w:t>
            </w:r>
          </w:p>
        </w:tc>
        <w:tc>
          <w:tcPr>
            <w:tcW w:w="778" w:type="pct"/>
            <w:noWrap/>
            <w:vAlign w:val="center"/>
          </w:tcPr>
          <w:p w14:paraId="032D1F30">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0.736</w:t>
            </w:r>
          </w:p>
        </w:tc>
        <w:tc>
          <w:tcPr>
            <w:tcW w:w="645" w:type="pct"/>
            <w:noWrap/>
            <w:vAlign w:val="center"/>
          </w:tcPr>
          <w:p w14:paraId="70CDF41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2</w:t>
            </w:r>
          </w:p>
        </w:tc>
        <w:tc>
          <w:tcPr>
            <w:tcW w:w="707" w:type="pct"/>
            <w:noWrap/>
            <w:vAlign w:val="center"/>
          </w:tcPr>
          <w:p w14:paraId="6D2B64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1.472</w:t>
            </w:r>
          </w:p>
        </w:tc>
        <w:tc>
          <w:tcPr>
            <w:tcW w:w="695" w:type="pct"/>
            <w:noWrap/>
            <w:vAlign w:val="center"/>
          </w:tcPr>
          <w:p w14:paraId="3B5D5A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1.251</w:t>
            </w:r>
          </w:p>
        </w:tc>
      </w:tr>
      <w:tr w14:paraId="1CF14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591BBED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p>
        </w:tc>
        <w:tc>
          <w:tcPr>
            <w:tcW w:w="619" w:type="pct"/>
            <w:vMerge w:val="continue"/>
            <w:noWrap/>
            <w:vAlign w:val="center"/>
          </w:tcPr>
          <w:p w14:paraId="5B85AF3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kern w:val="0"/>
                <w:sz w:val="21"/>
                <w:szCs w:val="21"/>
                <w:highlight w:val="none"/>
                <w:u w:val="single" w:color="auto"/>
                <w:lang w:val="en-US" w:eastAsia="zh-CN" w:bidi="ar-SA"/>
              </w:rPr>
            </w:pPr>
          </w:p>
        </w:tc>
        <w:tc>
          <w:tcPr>
            <w:tcW w:w="684" w:type="pct"/>
            <w:noWrap/>
            <w:vAlign w:val="center"/>
          </w:tcPr>
          <w:p w14:paraId="4901A6A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kern w:val="0"/>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滤袋清洗</w:t>
            </w:r>
          </w:p>
        </w:tc>
        <w:tc>
          <w:tcPr>
            <w:tcW w:w="2131" w:type="pct"/>
            <w:gridSpan w:val="3"/>
            <w:noWrap/>
            <w:vAlign w:val="center"/>
          </w:tcPr>
          <w:p w14:paraId="47243C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color w:val="auto"/>
                <w:kern w:val="0"/>
                <w:sz w:val="21"/>
                <w:szCs w:val="21"/>
                <w:highlight w:val="none"/>
                <w:u w:val="single" w:color="auto"/>
                <w:lang w:val="en-US" w:eastAsia="zh-CN" w:bidi="ar-SA"/>
              </w:rPr>
              <w:t>0.2</w:t>
            </w:r>
          </w:p>
        </w:tc>
        <w:tc>
          <w:tcPr>
            <w:tcW w:w="695" w:type="pct"/>
            <w:noWrap/>
            <w:vAlign w:val="center"/>
          </w:tcPr>
          <w:p w14:paraId="56BF93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0.17</w:t>
            </w:r>
          </w:p>
        </w:tc>
      </w:tr>
      <w:tr w14:paraId="17B85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noWrap/>
            <w:vAlign w:val="center"/>
          </w:tcPr>
          <w:p w14:paraId="32C2EE0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实验室</w:t>
            </w:r>
          </w:p>
        </w:tc>
        <w:tc>
          <w:tcPr>
            <w:tcW w:w="1303" w:type="pct"/>
            <w:gridSpan w:val="2"/>
            <w:noWrap/>
            <w:vAlign w:val="center"/>
          </w:tcPr>
          <w:p w14:paraId="6F62C66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W1含油废水</w:t>
            </w:r>
          </w:p>
        </w:tc>
        <w:tc>
          <w:tcPr>
            <w:tcW w:w="778" w:type="pct"/>
            <w:noWrap/>
            <w:vAlign w:val="center"/>
          </w:tcPr>
          <w:p w14:paraId="5D6209D7">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0.154</w:t>
            </w:r>
          </w:p>
        </w:tc>
        <w:tc>
          <w:tcPr>
            <w:tcW w:w="645" w:type="pct"/>
            <w:noWrap/>
            <w:vAlign w:val="center"/>
          </w:tcPr>
          <w:p w14:paraId="3675841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2</w:t>
            </w:r>
          </w:p>
        </w:tc>
        <w:tc>
          <w:tcPr>
            <w:tcW w:w="707" w:type="pct"/>
            <w:noWrap/>
            <w:vAlign w:val="center"/>
          </w:tcPr>
          <w:p w14:paraId="45CCD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0.308</w:t>
            </w:r>
          </w:p>
        </w:tc>
        <w:tc>
          <w:tcPr>
            <w:tcW w:w="695" w:type="pct"/>
            <w:noWrap/>
            <w:vAlign w:val="center"/>
          </w:tcPr>
          <w:p w14:paraId="3BA04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0.262</w:t>
            </w:r>
          </w:p>
        </w:tc>
      </w:tr>
      <w:tr w14:paraId="47E7C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7CAD261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1303" w:type="pct"/>
            <w:gridSpan w:val="2"/>
            <w:noWrap/>
            <w:vAlign w:val="center"/>
          </w:tcPr>
          <w:p w14:paraId="3C3A979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W2酸性废水</w:t>
            </w:r>
          </w:p>
        </w:tc>
        <w:tc>
          <w:tcPr>
            <w:tcW w:w="778" w:type="pct"/>
            <w:noWrap/>
            <w:vAlign w:val="center"/>
          </w:tcPr>
          <w:p w14:paraId="6C6446C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0.154</w:t>
            </w:r>
          </w:p>
        </w:tc>
        <w:tc>
          <w:tcPr>
            <w:tcW w:w="645" w:type="pct"/>
            <w:noWrap/>
            <w:vAlign w:val="center"/>
          </w:tcPr>
          <w:p w14:paraId="14F6253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2</w:t>
            </w:r>
          </w:p>
        </w:tc>
        <w:tc>
          <w:tcPr>
            <w:tcW w:w="707" w:type="pct"/>
            <w:noWrap/>
            <w:vAlign w:val="center"/>
          </w:tcPr>
          <w:p w14:paraId="5E0CF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0.308</w:t>
            </w:r>
          </w:p>
        </w:tc>
        <w:tc>
          <w:tcPr>
            <w:tcW w:w="695" w:type="pct"/>
            <w:noWrap/>
            <w:vAlign w:val="center"/>
          </w:tcPr>
          <w:p w14:paraId="3F157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0.262</w:t>
            </w:r>
          </w:p>
        </w:tc>
      </w:tr>
      <w:tr w14:paraId="01F0A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5E3756B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restart"/>
            <w:noWrap/>
            <w:vAlign w:val="center"/>
          </w:tcPr>
          <w:p w14:paraId="661BA96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W5含镍废水</w:t>
            </w:r>
          </w:p>
        </w:tc>
        <w:tc>
          <w:tcPr>
            <w:tcW w:w="684" w:type="pct"/>
            <w:noWrap/>
            <w:vAlign w:val="center"/>
          </w:tcPr>
          <w:p w14:paraId="7CBA799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洗水</w:t>
            </w:r>
          </w:p>
        </w:tc>
        <w:tc>
          <w:tcPr>
            <w:tcW w:w="778" w:type="pct"/>
            <w:noWrap/>
            <w:vAlign w:val="center"/>
          </w:tcPr>
          <w:p w14:paraId="5D85C2D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0.154</w:t>
            </w:r>
          </w:p>
        </w:tc>
        <w:tc>
          <w:tcPr>
            <w:tcW w:w="645" w:type="pct"/>
            <w:noWrap/>
            <w:vAlign w:val="center"/>
          </w:tcPr>
          <w:p w14:paraId="077B8917">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4</w:t>
            </w:r>
          </w:p>
        </w:tc>
        <w:tc>
          <w:tcPr>
            <w:tcW w:w="707" w:type="pct"/>
            <w:noWrap/>
            <w:vAlign w:val="center"/>
          </w:tcPr>
          <w:p w14:paraId="0537D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0.616</w:t>
            </w:r>
          </w:p>
        </w:tc>
        <w:tc>
          <w:tcPr>
            <w:tcW w:w="695" w:type="pct"/>
            <w:noWrap/>
            <w:vAlign w:val="center"/>
          </w:tcPr>
          <w:p w14:paraId="567847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0.524</w:t>
            </w:r>
          </w:p>
        </w:tc>
      </w:tr>
      <w:tr w14:paraId="501F5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04A0D98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continue"/>
            <w:noWrap/>
            <w:vAlign w:val="center"/>
          </w:tcPr>
          <w:p w14:paraId="72BEC32D">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p>
        </w:tc>
        <w:tc>
          <w:tcPr>
            <w:tcW w:w="684" w:type="pct"/>
            <w:noWrap/>
            <w:vAlign w:val="center"/>
          </w:tcPr>
          <w:p w14:paraId="4253439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滤袋清洗</w:t>
            </w:r>
          </w:p>
        </w:tc>
        <w:tc>
          <w:tcPr>
            <w:tcW w:w="2131" w:type="pct"/>
            <w:gridSpan w:val="3"/>
            <w:noWrap/>
            <w:vAlign w:val="center"/>
          </w:tcPr>
          <w:p w14:paraId="6A898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color w:val="auto"/>
                <w:kern w:val="0"/>
                <w:sz w:val="21"/>
                <w:szCs w:val="21"/>
                <w:highlight w:val="none"/>
                <w:u w:val="single" w:color="auto"/>
                <w:lang w:val="en-US" w:eastAsia="zh-CN" w:bidi="ar-SA"/>
              </w:rPr>
              <w:t>0.01</w:t>
            </w:r>
          </w:p>
        </w:tc>
        <w:tc>
          <w:tcPr>
            <w:tcW w:w="695" w:type="pct"/>
            <w:noWrap/>
            <w:vAlign w:val="center"/>
          </w:tcPr>
          <w:p w14:paraId="62679A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0.0085</w:t>
            </w:r>
          </w:p>
        </w:tc>
      </w:tr>
      <w:tr w14:paraId="3110D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noWrap/>
            <w:vAlign w:val="center"/>
          </w:tcPr>
          <w:p w14:paraId="06810B9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退镀区</w:t>
            </w:r>
          </w:p>
        </w:tc>
        <w:tc>
          <w:tcPr>
            <w:tcW w:w="1303" w:type="pct"/>
            <w:gridSpan w:val="2"/>
            <w:noWrap/>
            <w:vAlign w:val="center"/>
          </w:tcPr>
          <w:p w14:paraId="01B51BB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W1含油废水</w:t>
            </w:r>
          </w:p>
        </w:tc>
        <w:tc>
          <w:tcPr>
            <w:tcW w:w="778" w:type="pct"/>
            <w:noWrap/>
            <w:vAlign w:val="center"/>
          </w:tcPr>
          <w:p w14:paraId="209D3BB1">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0.154</w:t>
            </w:r>
          </w:p>
        </w:tc>
        <w:tc>
          <w:tcPr>
            <w:tcW w:w="645" w:type="pct"/>
            <w:noWrap/>
            <w:vAlign w:val="center"/>
          </w:tcPr>
          <w:p w14:paraId="15BF59B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4</w:t>
            </w:r>
          </w:p>
        </w:tc>
        <w:tc>
          <w:tcPr>
            <w:tcW w:w="707" w:type="pct"/>
            <w:noWrap/>
            <w:vAlign w:val="center"/>
          </w:tcPr>
          <w:p w14:paraId="56B2A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0.616</w:t>
            </w:r>
          </w:p>
        </w:tc>
        <w:tc>
          <w:tcPr>
            <w:tcW w:w="695" w:type="pct"/>
            <w:noWrap/>
            <w:vAlign w:val="center"/>
          </w:tcPr>
          <w:p w14:paraId="02258F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0.524</w:t>
            </w:r>
          </w:p>
        </w:tc>
      </w:tr>
      <w:tr w14:paraId="2CB82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36E7573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restart"/>
            <w:noWrap/>
            <w:vAlign w:val="center"/>
          </w:tcPr>
          <w:p w14:paraId="5D16210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W7退镀废水</w:t>
            </w:r>
          </w:p>
        </w:tc>
        <w:tc>
          <w:tcPr>
            <w:tcW w:w="684" w:type="pct"/>
            <w:noWrap/>
            <w:vAlign w:val="center"/>
          </w:tcPr>
          <w:p w14:paraId="2A27791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洗水</w:t>
            </w:r>
          </w:p>
        </w:tc>
        <w:tc>
          <w:tcPr>
            <w:tcW w:w="778" w:type="pct"/>
            <w:noWrap/>
            <w:vAlign w:val="center"/>
          </w:tcPr>
          <w:p w14:paraId="77EE6E3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0.154</w:t>
            </w:r>
          </w:p>
        </w:tc>
        <w:tc>
          <w:tcPr>
            <w:tcW w:w="645" w:type="pct"/>
            <w:noWrap/>
            <w:vAlign w:val="center"/>
          </w:tcPr>
          <w:p w14:paraId="7C6E753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2</w:t>
            </w:r>
          </w:p>
        </w:tc>
        <w:tc>
          <w:tcPr>
            <w:tcW w:w="707" w:type="pct"/>
            <w:noWrap/>
            <w:vAlign w:val="center"/>
          </w:tcPr>
          <w:p w14:paraId="3F299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0.308</w:t>
            </w:r>
          </w:p>
        </w:tc>
        <w:tc>
          <w:tcPr>
            <w:tcW w:w="695" w:type="pct"/>
            <w:noWrap/>
            <w:vAlign w:val="center"/>
          </w:tcPr>
          <w:p w14:paraId="679F58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0.262</w:t>
            </w:r>
          </w:p>
        </w:tc>
      </w:tr>
      <w:tr w14:paraId="5F506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ign w:val="center"/>
          </w:tcPr>
          <w:p w14:paraId="7454E68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eastAsia="zh-CN"/>
              </w:rPr>
            </w:pPr>
          </w:p>
        </w:tc>
        <w:tc>
          <w:tcPr>
            <w:tcW w:w="619" w:type="pct"/>
            <w:vMerge w:val="continue"/>
            <w:noWrap/>
            <w:vAlign w:val="center"/>
          </w:tcPr>
          <w:p w14:paraId="0E1E779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p>
        </w:tc>
        <w:tc>
          <w:tcPr>
            <w:tcW w:w="684" w:type="pct"/>
            <w:noWrap/>
            <w:vAlign w:val="center"/>
          </w:tcPr>
          <w:p w14:paraId="12C1085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滤袋清洗</w:t>
            </w:r>
          </w:p>
        </w:tc>
        <w:tc>
          <w:tcPr>
            <w:tcW w:w="2131" w:type="pct"/>
            <w:gridSpan w:val="3"/>
            <w:noWrap/>
            <w:vAlign w:val="center"/>
          </w:tcPr>
          <w:p w14:paraId="76AE3A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color w:val="auto"/>
                <w:kern w:val="0"/>
                <w:sz w:val="21"/>
                <w:szCs w:val="21"/>
                <w:highlight w:val="none"/>
                <w:u w:val="single" w:color="auto"/>
                <w:lang w:val="en-US" w:eastAsia="zh-CN" w:bidi="ar-SA"/>
              </w:rPr>
              <w:t>0.02</w:t>
            </w:r>
          </w:p>
        </w:tc>
        <w:tc>
          <w:tcPr>
            <w:tcW w:w="695" w:type="pct"/>
            <w:noWrap/>
            <w:vAlign w:val="center"/>
          </w:tcPr>
          <w:p w14:paraId="074A0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0.016</w:t>
            </w:r>
          </w:p>
        </w:tc>
      </w:tr>
      <w:tr w14:paraId="7E7F9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noWrap/>
            <w:vAlign w:val="center"/>
          </w:tcPr>
          <w:p w14:paraId="5CD4E315">
            <w:pPr>
              <w:pStyle w:val="49"/>
              <w:keepNext w:val="0"/>
              <w:keepLines w:val="0"/>
              <w:pageBreakBefore w:val="0"/>
              <w:kinsoku/>
              <w:wordWrap/>
              <w:overflowPunct/>
              <w:topLinePunct w:val="0"/>
              <w:autoSpaceDE/>
              <w:autoSpaceDN/>
              <w:bidi w:val="0"/>
              <w:adjustRightInd/>
              <w:snapToGrid/>
              <w:spacing w:after="0" w:line="240" w:lineRule="auto"/>
              <w:ind w:firstLine="0" w:firstLineChars="0"/>
              <w:jc w:val="both"/>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备注：废水产生量按用水量的85%计</w:t>
            </w:r>
          </w:p>
        </w:tc>
      </w:tr>
    </w:tbl>
    <w:p w14:paraId="6724A2F1">
      <w:pPr>
        <w:pStyle w:val="10"/>
        <w:spacing w:after="0" w:line="560" w:lineRule="exact"/>
        <w:ind w:firstLine="480" w:firstLineChars="200"/>
        <w:rPr>
          <w:rFonts w:hint="default" w:ascii="Times New Roman" w:hAnsi="Times New Roman" w:eastAsia="宋体" w:cs="Times New Roman"/>
          <w:color w:val="auto"/>
          <w:sz w:val="24"/>
          <w:highlight w:val="none"/>
          <w:u w:val="single" w:color="auto"/>
        </w:rPr>
      </w:pPr>
      <w:r>
        <w:rPr>
          <w:rFonts w:hint="default" w:ascii="Times New Roman" w:hAnsi="Times New Roman" w:eastAsia="宋体" w:cs="Times New Roman"/>
          <w:color w:val="auto"/>
          <w:sz w:val="24"/>
          <w:highlight w:val="none"/>
          <w:u w:val="single" w:color="auto"/>
          <w:lang w:val="en-US" w:eastAsia="zh-CN"/>
        </w:rPr>
        <w:t>综合各条生产线线生产废水产生情况，则本项目废水产生情况见</w:t>
      </w:r>
      <w:r>
        <w:rPr>
          <w:rFonts w:hint="default" w:ascii="Times New Roman" w:hAnsi="Times New Roman" w:cs="Times New Roman"/>
          <w:color w:val="auto"/>
          <w:sz w:val="24"/>
          <w:highlight w:val="none"/>
          <w:u w:val="single" w:color="auto"/>
          <w:lang w:val="en-US" w:eastAsia="zh-CN"/>
        </w:rPr>
        <w:t>下</w:t>
      </w:r>
      <w:r>
        <w:rPr>
          <w:rFonts w:hint="default" w:ascii="Times New Roman" w:hAnsi="Times New Roman" w:eastAsia="宋体" w:cs="Times New Roman"/>
          <w:color w:val="auto"/>
          <w:sz w:val="24"/>
          <w:highlight w:val="none"/>
          <w:u w:val="single" w:color="auto"/>
          <w:lang w:val="en-US" w:eastAsia="zh-CN"/>
        </w:rPr>
        <w:t>表。</w:t>
      </w:r>
    </w:p>
    <w:p w14:paraId="30D606C0">
      <w:pPr>
        <w:pStyle w:val="58"/>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表</w:t>
      </w:r>
      <w:r>
        <w:rPr>
          <w:rFonts w:hint="default" w:ascii="Times New Roman" w:hAnsi="Times New Roman" w:cs="Times New Roman"/>
          <w:color w:val="auto"/>
          <w:sz w:val="21"/>
          <w:szCs w:val="21"/>
          <w:highlight w:val="none"/>
          <w:u w:val="single" w:color="auto"/>
          <w:lang w:val="en-US" w:eastAsia="zh-CN"/>
        </w:rPr>
        <w:t>4</w:t>
      </w:r>
      <w:r>
        <w:rPr>
          <w:rFonts w:hint="default" w:ascii="Times New Roman" w:hAnsi="Times New Roman" w:cs="Times New Roman"/>
          <w:color w:val="auto"/>
          <w:sz w:val="21"/>
          <w:szCs w:val="21"/>
          <w:highlight w:val="none"/>
          <w:u w:val="single" w:color="auto"/>
        </w:rPr>
        <w:t>.2-</w:t>
      </w:r>
      <w:r>
        <w:rPr>
          <w:rFonts w:hint="default" w:ascii="Times New Roman" w:hAnsi="Times New Roman" w:cs="Times New Roman"/>
          <w:color w:val="auto"/>
          <w:sz w:val="21"/>
          <w:szCs w:val="21"/>
          <w:highlight w:val="none"/>
          <w:u w:val="single" w:color="auto"/>
          <w:lang w:val="en-US" w:eastAsia="zh-CN"/>
        </w:rPr>
        <w:t>11</w:t>
      </w:r>
      <w:r>
        <w:rPr>
          <w:rFonts w:hint="default" w:ascii="Times New Roman" w:hAnsi="Times New Roman" w:cs="Times New Roman"/>
          <w:color w:val="auto"/>
          <w:sz w:val="21"/>
          <w:szCs w:val="21"/>
          <w:highlight w:val="none"/>
          <w:u w:val="single" w:color="auto"/>
        </w:rPr>
        <w:t>项目废水水量产生情况</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24"/>
        <w:gridCol w:w="2639"/>
        <w:gridCol w:w="3059"/>
      </w:tblGrid>
      <w:tr w14:paraId="1D23E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57" w:type="pct"/>
            <w:noWrap/>
            <w:vAlign w:val="center"/>
          </w:tcPr>
          <w:p w14:paraId="74D5179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废水类别</w:t>
            </w:r>
          </w:p>
        </w:tc>
        <w:tc>
          <w:tcPr>
            <w:tcW w:w="1548" w:type="pct"/>
            <w:noWrap/>
            <w:vAlign w:val="center"/>
          </w:tcPr>
          <w:p w14:paraId="08FBF90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代表序号</w:t>
            </w:r>
          </w:p>
        </w:tc>
        <w:tc>
          <w:tcPr>
            <w:tcW w:w="1793" w:type="pct"/>
            <w:noWrap/>
            <w:vAlign w:val="center"/>
          </w:tcPr>
          <w:p w14:paraId="334F761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产生情况m</w:t>
            </w:r>
            <w:r>
              <w:rPr>
                <w:rFonts w:hint="default" w:ascii="Times New Roman" w:hAnsi="Times New Roman" w:eastAsia="宋体" w:cs="Times New Roman"/>
                <w:color w:val="auto"/>
                <w:sz w:val="21"/>
                <w:szCs w:val="21"/>
                <w:highlight w:val="none"/>
                <w:u w:val="single" w:color="auto"/>
                <w:vertAlign w:val="superscript"/>
                <w:lang w:val="en-US" w:eastAsia="zh-CN"/>
              </w:rPr>
              <w:t>3</w:t>
            </w:r>
            <w:r>
              <w:rPr>
                <w:rFonts w:hint="default" w:ascii="Times New Roman" w:hAnsi="Times New Roman" w:eastAsia="宋体" w:cs="Times New Roman"/>
                <w:color w:val="auto"/>
                <w:sz w:val="21"/>
                <w:szCs w:val="21"/>
                <w:highlight w:val="none"/>
                <w:u w:val="single" w:color="auto"/>
                <w:lang w:val="en-US" w:eastAsia="zh-CN"/>
              </w:rPr>
              <w:t>/d</w:t>
            </w:r>
          </w:p>
        </w:tc>
      </w:tr>
      <w:tr w14:paraId="18190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57" w:type="pct"/>
            <w:noWrap/>
            <w:vAlign w:val="center"/>
          </w:tcPr>
          <w:p w14:paraId="14E7EA9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W1含油废水</w:t>
            </w:r>
          </w:p>
        </w:tc>
        <w:tc>
          <w:tcPr>
            <w:tcW w:w="1548" w:type="pct"/>
            <w:noWrap/>
            <w:vAlign w:val="center"/>
          </w:tcPr>
          <w:p w14:paraId="7B51569E">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W1</w:t>
            </w:r>
          </w:p>
        </w:tc>
        <w:tc>
          <w:tcPr>
            <w:tcW w:w="3058" w:type="dxa"/>
            <w:noWrap/>
            <w:vAlign w:val="center"/>
          </w:tcPr>
          <w:p w14:paraId="77B67316">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5.777</w:t>
            </w:r>
          </w:p>
        </w:tc>
      </w:tr>
      <w:tr w14:paraId="04499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657" w:type="pct"/>
            <w:noWrap/>
            <w:vAlign w:val="center"/>
          </w:tcPr>
          <w:p w14:paraId="53C55B8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W2酸性废水</w:t>
            </w:r>
          </w:p>
        </w:tc>
        <w:tc>
          <w:tcPr>
            <w:tcW w:w="1548" w:type="pct"/>
            <w:noWrap/>
            <w:vAlign w:val="center"/>
          </w:tcPr>
          <w:p w14:paraId="7255682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W2</w:t>
            </w:r>
          </w:p>
        </w:tc>
        <w:tc>
          <w:tcPr>
            <w:tcW w:w="3058" w:type="dxa"/>
            <w:noWrap/>
            <w:vAlign w:val="center"/>
          </w:tcPr>
          <w:p w14:paraId="055ED6F1">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13.25</w:t>
            </w:r>
          </w:p>
        </w:tc>
      </w:tr>
      <w:tr w14:paraId="765F2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7" w:type="pct"/>
            <w:noWrap/>
            <w:vAlign w:val="center"/>
          </w:tcPr>
          <w:p w14:paraId="39301DF9">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W3碱性废水</w:t>
            </w:r>
          </w:p>
        </w:tc>
        <w:tc>
          <w:tcPr>
            <w:tcW w:w="1548" w:type="pct"/>
            <w:noWrap/>
            <w:vAlign w:val="center"/>
          </w:tcPr>
          <w:p w14:paraId="0DC26E83">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W3</w:t>
            </w:r>
          </w:p>
        </w:tc>
        <w:tc>
          <w:tcPr>
            <w:tcW w:w="3058" w:type="dxa"/>
            <w:noWrap/>
            <w:vAlign w:val="center"/>
          </w:tcPr>
          <w:p w14:paraId="7ED0F774">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3.509</w:t>
            </w:r>
          </w:p>
        </w:tc>
      </w:tr>
      <w:tr w14:paraId="5CF87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57" w:type="pct"/>
            <w:noWrap/>
            <w:vAlign w:val="center"/>
          </w:tcPr>
          <w:p w14:paraId="603F153B">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W4含锌镍废水</w:t>
            </w:r>
          </w:p>
        </w:tc>
        <w:tc>
          <w:tcPr>
            <w:tcW w:w="1548" w:type="pct"/>
            <w:noWrap/>
            <w:vAlign w:val="center"/>
          </w:tcPr>
          <w:p w14:paraId="2BF8B80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W4</w:t>
            </w:r>
          </w:p>
        </w:tc>
        <w:tc>
          <w:tcPr>
            <w:tcW w:w="3058" w:type="dxa"/>
            <w:noWrap/>
            <w:vAlign w:val="center"/>
          </w:tcPr>
          <w:p w14:paraId="22CF80E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3.679</w:t>
            </w:r>
          </w:p>
        </w:tc>
      </w:tr>
      <w:tr w14:paraId="4FB91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7" w:type="pct"/>
            <w:noWrap/>
            <w:vAlign w:val="center"/>
          </w:tcPr>
          <w:p w14:paraId="360EB39A">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W5含镍废水</w:t>
            </w:r>
          </w:p>
        </w:tc>
        <w:tc>
          <w:tcPr>
            <w:tcW w:w="1548" w:type="pct"/>
            <w:noWrap/>
            <w:vAlign w:val="center"/>
          </w:tcPr>
          <w:p w14:paraId="7C61BD37">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W5</w:t>
            </w:r>
          </w:p>
        </w:tc>
        <w:tc>
          <w:tcPr>
            <w:tcW w:w="3058" w:type="dxa"/>
            <w:noWrap/>
            <w:vAlign w:val="center"/>
          </w:tcPr>
          <w:p w14:paraId="0670C130">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14.370</w:t>
            </w:r>
          </w:p>
        </w:tc>
      </w:tr>
      <w:tr w14:paraId="7346C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657" w:type="pct"/>
            <w:noWrap/>
            <w:vAlign w:val="center"/>
          </w:tcPr>
          <w:p w14:paraId="47E4AD05">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W6含铜废水</w:t>
            </w:r>
          </w:p>
        </w:tc>
        <w:tc>
          <w:tcPr>
            <w:tcW w:w="1548" w:type="pct"/>
            <w:noWrap/>
            <w:vAlign w:val="center"/>
          </w:tcPr>
          <w:p w14:paraId="2B9FE2C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W6</w:t>
            </w:r>
          </w:p>
        </w:tc>
        <w:tc>
          <w:tcPr>
            <w:tcW w:w="3058" w:type="dxa"/>
            <w:noWrap/>
            <w:vAlign w:val="center"/>
          </w:tcPr>
          <w:p w14:paraId="6ED6411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1.421</w:t>
            </w:r>
          </w:p>
        </w:tc>
      </w:tr>
      <w:tr w14:paraId="60F8D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57" w:type="pct"/>
            <w:noWrap/>
            <w:vAlign w:val="center"/>
          </w:tcPr>
          <w:p w14:paraId="66AC13F0">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W7退镀废水</w:t>
            </w:r>
          </w:p>
        </w:tc>
        <w:tc>
          <w:tcPr>
            <w:tcW w:w="1548" w:type="pct"/>
            <w:noWrap/>
            <w:vAlign w:val="center"/>
          </w:tcPr>
          <w:p w14:paraId="1684AE58">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W7</w:t>
            </w:r>
          </w:p>
        </w:tc>
        <w:tc>
          <w:tcPr>
            <w:tcW w:w="3058" w:type="dxa"/>
            <w:noWrap/>
            <w:vAlign w:val="center"/>
          </w:tcPr>
          <w:p w14:paraId="7A41AE4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0.27</w:t>
            </w:r>
            <w:r>
              <w:rPr>
                <w:rFonts w:hint="default" w:ascii="Times New Roman" w:hAnsi="Times New Roman" w:cs="Times New Roman"/>
                <w:color w:val="auto"/>
                <w:sz w:val="21"/>
                <w:szCs w:val="21"/>
                <w:highlight w:val="none"/>
                <w:u w:val="single" w:color="auto"/>
                <w:lang w:val="en-US" w:eastAsia="zh-CN"/>
              </w:rPr>
              <w:t>8</w:t>
            </w:r>
          </w:p>
        </w:tc>
      </w:tr>
    </w:tbl>
    <w:p w14:paraId="25AD5369">
      <w:pPr>
        <w:pStyle w:val="5"/>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4.2.2.2辅助生产</w:t>
      </w:r>
      <w:r>
        <w:rPr>
          <w:rFonts w:hint="eastAsia" w:ascii="Times New Roman" w:hAnsi="Times New Roman" w:eastAsia="宋体" w:cs="Times New Roman"/>
          <w:color w:val="auto"/>
          <w:sz w:val="24"/>
          <w:szCs w:val="24"/>
          <w:highlight w:val="none"/>
          <w:u w:val="none" w:color="auto"/>
          <w:lang w:val="en-US" w:eastAsia="zh-CN"/>
        </w:rPr>
        <w:t>用水</w:t>
      </w:r>
    </w:p>
    <w:p w14:paraId="12E80FF7">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w:t>
      </w:r>
      <w:r>
        <w:rPr>
          <w:rFonts w:hint="eastAsia" w:ascii="Times New Roman" w:hAnsi="Times New Roman" w:eastAsia="宋体" w:cs="Times New Roman"/>
          <w:color w:val="auto"/>
          <w:sz w:val="24"/>
          <w:szCs w:val="21"/>
          <w:highlight w:val="none"/>
          <w:u w:val="none" w:color="auto"/>
          <w:lang w:val="en-US" w:eastAsia="zh-CN"/>
        </w:rPr>
        <w:t>电镀</w:t>
      </w:r>
      <w:r>
        <w:rPr>
          <w:rFonts w:hint="default" w:ascii="Times New Roman" w:hAnsi="Times New Roman" w:eastAsia="宋体" w:cs="Times New Roman"/>
          <w:color w:val="auto"/>
          <w:sz w:val="24"/>
          <w:szCs w:val="21"/>
          <w:highlight w:val="none"/>
          <w:u w:val="none" w:color="auto"/>
        </w:rPr>
        <w:t>车间地面</w:t>
      </w:r>
      <w:r>
        <w:rPr>
          <w:rFonts w:hint="eastAsia" w:ascii="Times New Roman" w:hAnsi="Times New Roman" w:eastAsia="宋体" w:cs="Times New Roman"/>
          <w:color w:val="auto"/>
          <w:sz w:val="24"/>
          <w:szCs w:val="21"/>
          <w:highlight w:val="none"/>
          <w:u w:val="none" w:color="auto"/>
          <w:lang w:val="en-US" w:eastAsia="zh-CN"/>
        </w:rPr>
        <w:t>清洗</w:t>
      </w:r>
      <w:r>
        <w:rPr>
          <w:rFonts w:hint="default" w:ascii="Times New Roman" w:hAnsi="Times New Roman" w:eastAsia="宋体" w:cs="Times New Roman"/>
          <w:color w:val="auto"/>
          <w:sz w:val="24"/>
          <w:szCs w:val="21"/>
          <w:highlight w:val="none"/>
          <w:u w:val="none" w:color="auto"/>
        </w:rPr>
        <w:t>用水</w:t>
      </w:r>
    </w:p>
    <w:p w14:paraId="62DA8204">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w:t>
      </w:r>
      <w:r>
        <w:rPr>
          <w:rFonts w:hint="eastAsia" w:ascii="Times New Roman" w:hAnsi="Times New Roman" w:eastAsia="宋体" w:cs="Times New Roman"/>
          <w:color w:val="auto"/>
          <w:sz w:val="24"/>
          <w:szCs w:val="21"/>
          <w:highlight w:val="none"/>
          <w:u w:val="none" w:color="auto"/>
          <w:lang w:val="en-US" w:eastAsia="zh-CN"/>
        </w:rPr>
        <w:t>电镀</w:t>
      </w:r>
      <w:r>
        <w:rPr>
          <w:rFonts w:hint="default" w:ascii="Times New Roman" w:hAnsi="Times New Roman" w:eastAsia="宋体" w:cs="Times New Roman"/>
          <w:color w:val="auto"/>
          <w:sz w:val="24"/>
          <w:szCs w:val="21"/>
          <w:highlight w:val="none"/>
          <w:u w:val="none" w:color="auto"/>
        </w:rPr>
        <w:t>生产车间地面需要定期进行</w:t>
      </w:r>
      <w:r>
        <w:rPr>
          <w:rFonts w:hint="eastAsia" w:ascii="Times New Roman" w:hAnsi="Times New Roman" w:eastAsia="宋体" w:cs="Times New Roman"/>
          <w:color w:val="auto"/>
          <w:sz w:val="24"/>
          <w:szCs w:val="21"/>
          <w:highlight w:val="none"/>
          <w:u w:val="none" w:color="auto"/>
          <w:lang w:val="en-US" w:eastAsia="zh-CN"/>
        </w:rPr>
        <w:t>清洗</w:t>
      </w:r>
      <w:r>
        <w:rPr>
          <w:rFonts w:hint="default" w:ascii="Times New Roman" w:hAnsi="Times New Roman" w:eastAsia="宋体" w:cs="Times New Roman"/>
          <w:color w:val="auto"/>
          <w:sz w:val="24"/>
          <w:szCs w:val="21"/>
          <w:highlight w:val="none"/>
          <w:u w:val="none" w:color="auto"/>
        </w:rPr>
        <w:t>，主要采用拖布清洁车间地面，根据项目设计资料，项目</w:t>
      </w:r>
      <w:r>
        <w:rPr>
          <w:rFonts w:hint="eastAsia" w:ascii="Times New Roman" w:hAnsi="Times New Roman" w:eastAsia="宋体" w:cs="Times New Roman"/>
          <w:color w:val="auto"/>
          <w:sz w:val="24"/>
          <w:szCs w:val="21"/>
          <w:highlight w:val="none"/>
          <w:u w:val="none" w:color="auto"/>
          <w:lang w:val="en-US" w:eastAsia="zh-CN"/>
        </w:rPr>
        <w:t>电镀</w:t>
      </w:r>
      <w:r>
        <w:rPr>
          <w:rFonts w:hint="default" w:ascii="Times New Roman" w:hAnsi="Times New Roman" w:eastAsia="宋体" w:cs="Times New Roman"/>
          <w:color w:val="auto"/>
          <w:sz w:val="24"/>
          <w:szCs w:val="21"/>
          <w:highlight w:val="none"/>
          <w:u w:val="none" w:color="auto"/>
        </w:rPr>
        <w:t>车间地面</w:t>
      </w:r>
      <w:r>
        <w:rPr>
          <w:rFonts w:hint="eastAsia" w:ascii="Times New Roman" w:hAnsi="Times New Roman" w:eastAsia="宋体" w:cs="Times New Roman"/>
          <w:color w:val="auto"/>
          <w:sz w:val="24"/>
          <w:szCs w:val="21"/>
          <w:highlight w:val="none"/>
          <w:u w:val="none" w:color="auto"/>
          <w:lang w:val="en-US" w:eastAsia="zh-CN"/>
        </w:rPr>
        <w:t>清洗</w:t>
      </w:r>
      <w:r>
        <w:rPr>
          <w:rFonts w:hint="default" w:ascii="Times New Roman" w:hAnsi="Times New Roman" w:eastAsia="宋体" w:cs="Times New Roman"/>
          <w:color w:val="auto"/>
          <w:sz w:val="24"/>
          <w:szCs w:val="21"/>
          <w:highlight w:val="none"/>
          <w:u w:val="none" w:color="auto"/>
        </w:rPr>
        <w:t>用水量约</w:t>
      </w:r>
      <w:r>
        <w:rPr>
          <w:rFonts w:hint="default" w:ascii="Times New Roman" w:hAnsi="Times New Roman" w:eastAsia="宋体" w:cs="Times New Roman"/>
          <w:color w:val="auto"/>
          <w:sz w:val="24"/>
          <w:szCs w:val="21"/>
          <w:highlight w:val="none"/>
          <w:u w:val="none" w:color="auto"/>
          <w:lang w:val="en-US" w:eastAsia="zh-CN"/>
        </w:rPr>
        <w:t>3</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w:t>
      </w:r>
      <w:r>
        <w:rPr>
          <w:rFonts w:hint="eastAsia" w:ascii="Times New Roman" w:hAnsi="Times New Roman" w:eastAsia="宋体" w:cs="Times New Roman"/>
          <w:color w:val="auto"/>
          <w:sz w:val="24"/>
          <w:szCs w:val="21"/>
          <w:highlight w:val="none"/>
          <w:u w:val="none" w:color="auto"/>
          <w:lang w:val="en-US" w:eastAsia="zh-CN"/>
        </w:rPr>
        <w:t>电镀</w:t>
      </w:r>
      <w:r>
        <w:rPr>
          <w:rFonts w:hint="default" w:ascii="Times New Roman" w:hAnsi="Times New Roman" w:eastAsia="宋体" w:cs="Times New Roman"/>
          <w:color w:val="auto"/>
          <w:sz w:val="24"/>
          <w:szCs w:val="21"/>
          <w:highlight w:val="none"/>
          <w:u w:val="none" w:color="auto"/>
        </w:rPr>
        <w:t>车间地面</w:t>
      </w:r>
      <w:r>
        <w:rPr>
          <w:rFonts w:hint="eastAsia" w:ascii="Times New Roman" w:hAnsi="Times New Roman" w:eastAsia="宋体" w:cs="Times New Roman"/>
          <w:color w:val="auto"/>
          <w:sz w:val="24"/>
          <w:szCs w:val="21"/>
          <w:highlight w:val="none"/>
          <w:u w:val="none" w:color="auto"/>
          <w:lang w:val="en-US" w:eastAsia="zh-CN"/>
        </w:rPr>
        <w:t>清洗</w:t>
      </w:r>
      <w:r>
        <w:rPr>
          <w:rFonts w:hint="default" w:ascii="Times New Roman" w:hAnsi="Times New Roman" w:eastAsia="宋体" w:cs="Times New Roman"/>
          <w:color w:val="auto"/>
          <w:sz w:val="24"/>
          <w:szCs w:val="21"/>
          <w:highlight w:val="none"/>
          <w:u w:val="none" w:color="auto"/>
        </w:rPr>
        <w:t>废水收集后进入厂区</w:t>
      </w:r>
      <w:r>
        <w:rPr>
          <w:rFonts w:hint="default" w:ascii="Times New Roman" w:hAnsi="Times New Roman" w:eastAsia="宋体" w:cs="Times New Roman"/>
          <w:color w:val="auto"/>
          <w:sz w:val="24"/>
          <w:szCs w:val="21"/>
          <w:highlight w:val="none"/>
          <w:u w:val="none" w:color="auto"/>
          <w:lang w:eastAsia="zh-CN"/>
        </w:rPr>
        <w:t>重金属</w:t>
      </w:r>
      <w:r>
        <w:rPr>
          <w:rFonts w:hint="default" w:ascii="Times New Roman" w:hAnsi="Times New Roman" w:eastAsia="宋体" w:cs="Times New Roman"/>
          <w:color w:val="auto"/>
          <w:sz w:val="24"/>
          <w:szCs w:val="21"/>
          <w:highlight w:val="none"/>
          <w:u w:val="none" w:color="auto"/>
        </w:rPr>
        <w:t>废水处理站处理</w:t>
      </w:r>
      <w:r>
        <w:rPr>
          <w:rFonts w:hint="default" w:ascii="Times New Roman" w:hAnsi="Times New Roman" w:eastAsia="宋体" w:cs="Times New Roman"/>
          <w:color w:val="auto"/>
          <w:sz w:val="24"/>
          <w:szCs w:val="21"/>
          <w:highlight w:val="none"/>
          <w:u w:val="none" w:color="auto"/>
          <w:lang w:eastAsia="zh-CN"/>
        </w:rPr>
        <w:t>后回用于生产</w:t>
      </w:r>
      <w:r>
        <w:rPr>
          <w:rFonts w:hint="default" w:ascii="Times New Roman" w:hAnsi="Times New Roman" w:eastAsia="宋体" w:cs="Times New Roman"/>
          <w:color w:val="auto"/>
          <w:sz w:val="24"/>
          <w:szCs w:val="21"/>
          <w:highlight w:val="none"/>
          <w:u w:val="none" w:color="auto"/>
        </w:rPr>
        <w:t>。</w:t>
      </w:r>
    </w:p>
    <w:p w14:paraId="59121B4D">
      <w:pPr>
        <w:ind w:firstLine="480" w:firstLineChars="200"/>
        <w:rPr>
          <w:rFonts w:hint="default" w:ascii="Times New Roman" w:hAnsi="Times New Roman" w:eastAsia="宋体" w:cs="Times New Roman"/>
          <w:color w:val="auto"/>
          <w:sz w:val="24"/>
          <w:szCs w:val="21"/>
          <w:highlight w:val="none"/>
          <w:u w:val="none" w:color="auto"/>
          <w:lang w:val="en-US" w:eastAsia="zh-CN"/>
        </w:rPr>
      </w:pPr>
      <w:r>
        <w:rPr>
          <w:rFonts w:hint="eastAsia" w:ascii="Times New Roman" w:hAnsi="Times New Roman" w:eastAsia="宋体" w:cs="Times New Roman"/>
          <w:color w:val="auto"/>
          <w:sz w:val="24"/>
          <w:szCs w:val="21"/>
          <w:highlight w:val="none"/>
          <w:u w:val="none" w:color="auto"/>
          <w:lang w:eastAsia="zh-CN"/>
        </w:rPr>
        <w:t>（</w:t>
      </w:r>
      <w:r>
        <w:rPr>
          <w:rFonts w:hint="eastAsia" w:ascii="Times New Roman" w:hAnsi="Times New Roman" w:eastAsia="宋体" w:cs="Times New Roman"/>
          <w:color w:val="auto"/>
          <w:sz w:val="24"/>
          <w:szCs w:val="21"/>
          <w:highlight w:val="none"/>
          <w:u w:val="none" w:color="auto"/>
          <w:lang w:val="en-US" w:eastAsia="zh-CN"/>
        </w:rPr>
        <w:t>2）机加工车间用水</w:t>
      </w:r>
    </w:p>
    <w:p w14:paraId="7AF6518A">
      <w:pPr>
        <w:ind w:firstLine="480" w:firstLineChars="200"/>
        <w:rPr>
          <w:rFonts w:hint="default" w:ascii="Times New Roman" w:hAnsi="Times New Roman" w:eastAsia="宋体" w:cs="Times New Roman"/>
          <w:color w:val="auto"/>
          <w:sz w:val="24"/>
          <w:szCs w:val="21"/>
          <w:highlight w:val="none"/>
          <w:u w:val="none" w:color="auto"/>
          <w:lang w:val="en-US" w:eastAsia="zh-CN"/>
        </w:rPr>
      </w:pPr>
      <w:r>
        <w:rPr>
          <w:rFonts w:hint="eastAsia" w:ascii="宋体" w:hAnsi="宋体" w:eastAsia="宋体" w:cs="宋体"/>
          <w:color w:val="auto"/>
          <w:kern w:val="2"/>
          <w:sz w:val="24"/>
          <w:szCs w:val="21"/>
          <w:highlight w:val="none"/>
          <w:u w:val="none" w:color="auto"/>
          <w:lang w:val="en-US" w:eastAsia="zh-CN" w:bidi="ar-SA"/>
        </w:rPr>
        <w:t>①</w:t>
      </w:r>
      <w:r>
        <w:rPr>
          <w:rFonts w:hint="eastAsia" w:ascii="Times New Roman" w:hAnsi="Times New Roman" w:eastAsia="宋体" w:cs="Times New Roman"/>
          <w:color w:val="auto"/>
          <w:kern w:val="2"/>
          <w:sz w:val="24"/>
          <w:szCs w:val="21"/>
          <w:highlight w:val="none"/>
          <w:u w:val="none" w:color="auto"/>
          <w:lang w:val="en-US" w:eastAsia="zh-CN" w:bidi="ar-SA"/>
        </w:rPr>
        <w:t>卫生用水</w:t>
      </w:r>
    </w:p>
    <w:p w14:paraId="1C7F1BAD">
      <w:pPr>
        <w:pStyle w:val="28"/>
        <w:rPr>
          <w:rFonts w:hint="eastAsia"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rPr>
        <w:t>项目生产车间地面需要定期进行</w:t>
      </w:r>
      <w:r>
        <w:rPr>
          <w:rFonts w:hint="eastAsia" w:ascii="Times New Roman" w:hAnsi="Times New Roman" w:eastAsia="宋体" w:cs="Times New Roman"/>
          <w:color w:val="auto"/>
          <w:sz w:val="24"/>
          <w:szCs w:val="21"/>
          <w:highlight w:val="none"/>
          <w:u w:val="none" w:color="auto"/>
          <w:lang w:val="en-US" w:eastAsia="zh-CN"/>
        </w:rPr>
        <w:t>卫生清洁</w:t>
      </w:r>
      <w:r>
        <w:rPr>
          <w:rFonts w:hint="default" w:ascii="Times New Roman" w:hAnsi="Times New Roman" w:eastAsia="宋体" w:cs="Times New Roman"/>
          <w:color w:val="auto"/>
          <w:sz w:val="24"/>
          <w:szCs w:val="21"/>
          <w:highlight w:val="none"/>
          <w:u w:val="none" w:color="auto"/>
        </w:rPr>
        <w:t>，根据项目设计资料，项目</w:t>
      </w:r>
      <w:r>
        <w:rPr>
          <w:rFonts w:hint="eastAsia" w:ascii="Times New Roman" w:hAnsi="Times New Roman" w:eastAsia="宋体" w:cs="Times New Roman"/>
          <w:color w:val="auto"/>
          <w:sz w:val="24"/>
          <w:szCs w:val="21"/>
          <w:highlight w:val="none"/>
          <w:u w:val="none" w:color="auto"/>
          <w:lang w:val="en-US" w:eastAsia="zh-CN"/>
        </w:rPr>
        <w:t>机加工</w:t>
      </w:r>
      <w:r>
        <w:rPr>
          <w:rFonts w:hint="default" w:ascii="Times New Roman" w:hAnsi="Times New Roman" w:eastAsia="宋体" w:cs="Times New Roman"/>
          <w:color w:val="auto"/>
          <w:sz w:val="24"/>
          <w:szCs w:val="21"/>
          <w:highlight w:val="none"/>
          <w:u w:val="none" w:color="auto"/>
        </w:rPr>
        <w:t>车间地面</w:t>
      </w:r>
      <w:r>
        <w:rPr>
          <w:rFonts w:hint="eastAsia" w:ascii="Times New Roman" w:hAnsi="Times New Roman" w:eastAsia="宋体" w:cs="Times New Roman"/>
          <w:color w:val="auto"/>
          <w:sz w:val="24"/>
          <w:szCs w:val="21"/>
          <w:highlight w:val="none"/>
          <w:u w:val="none" w:color="auto"/>
          <w:lang w:val="en-US" w:eastAsia="zh-CN"/>
        </w:rPr>
        <w:t>冲洗</w:t>
      </w:r>
      <w:r>
        <w:rPr>
          <w:rFonts w:hint="default" w:ascii="Times New Roman" w:hAnsi="Times New Roman" w:eastAsia="宋体" w:cs="Times New Roman"/>
          <w:color w:val="auto"/>
          <w:sz w:val="24"/>
          <w:szCs w:val="21"/>
          <w:highlight w:val="none"/>
          <w:u w:val="none" w:color="auto"/>
        </w:rPr>
        <w:t>用水量约</w:t>
      </w:r>
      <w:r>
        <w:rPr>
          <w:rFonts w:hint="eastAsia" w:ascii="Times New Roman" w:hAnsi="Times New Roman" w:eastAsia="宋体" w:cs="Times New Roman"/>
          <w:color w:val="auto"/>
          <w:sz w:val="24"/>
          <w:szCs w:val="21"/>
          <w:highlight w:val="none"/>
          <w:u w:val="none" w:color="auto"/>
          <w:lang w:val="en-US" w:eastAsia="zh-CN"/>
        </w:rPr>
        <w:t>1</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w:t>
      </w:r>
      <w:r>
        <w:rPr>
          <w:rFonts w:hint="eastAsia" w:ascii="Times New Roman" w:hAnsi="Times New Roman" w:eastAsia="宋体" w:cs="Times New Roman"/>
          <w:color w:val="auto"/>
          <w:sz w:val="24"/>
          <w:szCs w:val="21"/>
          <w:highlight w:val="none"/>
          <w:u w:val="none" w:color="auto"/>
          <w:lang w:eastAsia="zh-CN"/>
        </w:rPr>
        <w:t>。</w:t>
      </w:r>
    </w:p>
    <w:p w14:paraId="63A10458">
      <w:pPr>
        <w:pStyle w:val="28"/>
        <w:ind w:firstLine="410" w:firstLineChars="171"/>
        <w:rPr>
          <w:rFonts w:hint="eastAsia" w:ascii="Times New Roman" w:hAnsi="Times New Roman" w:eastAsia="宋体" w:cs="Times New Roman"/>
          <w:color w:val="auto"/>
          <w:sz w:val="24"/>
          <w:szCs w:val="21"/>
          <w:highlight w:val="none"/>
          <w:u w:val="none" w:color="auto"/>
          <w:lang w:val="en-US" w:eastAsia="zh-CN"/>
        </w:rPr>
      </w:pPr>
      <w:r>
        <w:rPr>
          <w:rFonts w:hint="eastAsia" w:ascii="宋体" w:hAnsi="宋体" w:eastAsia="宋体" w:cs="宋体"/>
          <w:color w:val="auto"/>
          <w:sz w:val="24"/>
          <w:szCs w:val="21"/>
          <w:highlight w:val="none"/>
          <w:u w:val="none" w:color="auto"/>
          <w:lang w:val="en-US" w:eastAsia="zh-CN"/>
        </w:rPr>
        <w:t>②物料</w:t>
      </w:r>
      <w:r>
        <w:rPr>
          <w:rFonts w:hint="eastAsia" w:ascii="Times New Roman" w:hAnsi="Times New Roman" w:eastAsia="宋体" w:cs="Times New Roman"/>
          <w:color w:val="auto"/>
          <w:sz w:val="24"/>
          <w:szCs w:val="21"/>
          <w:highlight w:val="none"/>
          <w:u w:val="none" w:color="auto"/>
          <w:lang w:val="en-US" w:eastAsia="zh-CN"/>
        </w:rPr>
        <w:t>容器清洗用水</w:t>
      </w:r>
    </w:p>
    <w:p w14:paraId="7E7419EB">
      <w:pPr>
        <w:pStyle w:val="28"/>
        <w:ind w:firstLine="410" w:firstLineChars="171"/>
        <w:rPr>
          <w:rFonts w:hint="eastAsia" w:ascii="Times New Roman" w:hAnsi="Times New Roman" w:eastAsia="宋体" w:cs="Times New Roman"/>
          <w:color w:val="auto"/>
          <w:sz w:val="24"/>
          <w:szCs w:val="21"/>
          <w:highlight w:val="none"/>
          <w:u w:val="none" w:color="auto"/>
          <w:lang w:val="en-US" w:eastAsia="zh-CN"/>
        </w:rPr>
      </w:pPr>
      <w:r>
        <w:rPr>
          <w:rFonts w:hint="eastAsia" w:ascii="Times New Roman" w:hAnsi="Times New Roman" w:eastAsia="宋体" w:cs="Times New Roman"/>
          <w:color w:val="auto"/>
          <w:sz w:val="24"/>
          <w:szCs w:val="21"/>
          <w:highlight w:val="none"/>
          <w:u w:val="none" w:color="auto"/>
          <w:lang w:val="en-US" w:eastAsia="zh-CN"/>
        </w:rPr>
        <w:t>机加工车间物料容器需要定期清洗（不添加任何清洁剂），根据项目设计资料，项目机加工车间容器清洗用水量约3</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w:t>
      </w:r>
      <w:r>
        <w:rPr>
          <w:rFonts w:hint="eastAsia" w:ascii="Times New Roman" w:hAnsi="Times New Roman" w:eastAsia="宋体" w:cs="Times New Roman"/>
          <w:color w:val="auto"/>
          <w:sz w:val="24"/>
          <w:szCs w:val="21"/>
          <w:highlight w:val="none"/>
          <w:u w:val="none" w:color="auto"/>
          <w:lang w:val="en-US" w:eastAsia="zh-CN"/>
        </w:rPr>
        <w:t>。</w:t>
      </w:r>
    </w:p>
    <w:p w14:paraId="59886DAD">
      <w:pPr>
        <w:pStyle w:val="28"/>
        <w:ind w:firstLine="410" w:firstLineChars="171"/>
        <w:rPr>
          <w:rFonts w:hint="eastAsia" w:ascii="Times New Roman" w:hAnsi="Times New Roman" w:eastAsia="宋体" w:cs="Times New Roman"/>
          <w:color w:val="auto"/>
          <w:sz w:val="24"/>
          <w:szCs w:val="21"/>
          <w:highlight w:val="none"/>
          <w:u w:val="none" w:color="auto"/>
          <w:lang w:val="en-US" w:eastAsia="zh-CN"/>
        </w:rPr>
      </w:pPr>
      <w:r>
        <w:rPr>
          <w:rFonts w:hint="eastAsia" w:ascii="宋体" w:hAnsi="宋体" w:eastAsia="宋体" w:cs="宋体"/>
          <w:color w:val="auto"/>
          <w:sz w:val="24"/>
          <w:szCs w:val="21"/>
          <w:highlight w:val="none"/>
          <w:u w:val="none" w:color="auto"/>
          <w:lang w:val="en-US" w:eastAsia="zh-CN"/>
        </w:rPr>
        <w:t>③烧结制品直接冷却清洗</w:t>
      </w:r>
      <w:r>
        <w:rPr>
          <w:rFonts w:hint="eastAsia" w:ascii="Times New Roman" w:hAnsi="Times New Roman" w:eastAsia="宋体" w:cs="Times New Roman"/>
          <w:color w:val="auto"/>
          <w:sz w:val="24"/>
          <w:szCs w:val="21"/>
          <w:highlight w:val="none"/>
          <w:u w:val="none" w:color="auto"/>
          <w:lang w:val="en-US" w:eastAsia="zh-CN"/>
        </w:rPr>
        <w:t>用水</w:t>
      </w:r>
    </w:p>
    <w:p w14:paraId="6854EE74">
      <w:pPr>
        <w:pStyle w:val="28"/>
        <w:ind w:firstLine="410" w:firstLineChars="171"/>
        <w:rPr>
          <w:rFonts w:hint="eastAsia" w:ascii="Times New Roman" w:hAnsi="Times New Roman" w:eastAsia="宋体" w:cs="Times New Roman"/>
          <w:color w:val="auto"/>
          <w:sz w:val="24"/>
          <w:szCs w:val="21"/>
          <w:highlight w:val="none"/>
          <w:u w:val="none" w:color="auto"/>
          <w:lang w:val="en-US" w:eastAsia="zh-CN"/>
        </w:rPr>
      </w:pPr>
      <w:r>
        <w:rPr>
          <w:rFonts w:hint="eastAsia" w:ascii="Times New Roman" w:hAnsi="Times New Roman" w:eastAsia="宋体" w:cs="Times New Roman"/>
          <w:color w:val="auto"/>
          <w:sz w:val="24"/>
          <w:szCs w:val="21"/>
          <w:highlight w:val="none"/>
          <w:u w:val="none" w:color="auto"/>
          <w:lang w:val="en-US" w:eastAsia="zh-CN"/>
        </w:rPr>
        <w:t>机加工车间烧结制品生产线产品需要采用水进行直接冷却同时清洗表面烧结尘粒，根据项目设计资料，项目机加工车间直接冷却用水量约5</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w:t>
      </w:r>
      <w:r>
        <w:rPr>
          <w:rFonts w:hint="eastAsia" w:ascii="Times New Roman" w:hAnsi="Times New Roman" w:eastAsia="宋体" w:cs="Times New Roman"/>
          <w:color w:val="auto"/>
          <w:sz w:val="24"/>
          <w:szCs w:val="21"/>
          <w:highlight w:val="none"/>
          <w:u w:val="none" w:color="auto"/>
          <w:lang w:val="en-US" w:eastAsia="zh-CN"/>
        </w:rPr>
        <w:t>。</w:t>
      </w:r>
    </w:p>
    <w:p w14:paraId="6CF65690">
      <w:pPr>
        <w:pStyle w:val="28"/>
        <w:ind w:firstLine="410" w:firstLineChars="171"/>
        <w:rPr>
          <w:rFonts w:hint="default"/>
          <w:color w:val="auto"/>
          <w:lang w:val="en-US" w:eastAsia="zh-CN"/>
        </w:rPr>
      </w:pPr>
      <w:r>
        <w:rPr>
          <w:rFonts w:hint="eastAsia" w:ascii="Times New Roman" w:hAnsi="Times New Roman" w:eastAsia="宋体" w:cs="Times New Roman"/>
          <w:color w:val="auto"/>
          <w:sz w:val="24"/>
          <w:szCs w:val="21"/>
          <w:highlight w:val="none"/>
          <w:u w:val="none" w:color="auto"/>
          <w:lang w:val="en-US" w:eastAsia="zh-CN"/>
        </w:rPr>
        <w:t>机加工</w:t>
      </w:r>
      <w:r>
        <w:rPr>
          <w:rFonts w:hint="default" w:ascii="Times New Roman" w:hAnsi="Times New Roman" w:eastAsia="宋体" w:cs="Times New Roman"/>
          <w:color w:val="auto"/>
          <w:sz w:val="24"/>
          <w:szCs w:val="21"/>
          <w:highlight w:val="none"/>
          <w:u w:val="none" w:color="auto"/>
        </w:rPr>
        <w:t>车间</w:t>
      </w:r>
      <w:r>
        <w:rPr>
          <w:rFonts w:hint="eastAsia" w:ascii="Times New Roman" w:hAnsi="Times New Roman" w:eastAsia="宋体" w:cs="Times New Roman"/>
          <w:color w:val="auto"/>
          <w:sz w:val="24"/>
          <w:szCs w:val="21"/>
          <w:highlight w:val="none"/>
          <w:u w:val="none" w:color="auto"/>
          <w:lang w:val="en-US" w:eastAsia="zh-CN"/>
        </w:rPr>
        <w:t>卫生废水、容器清洗废水、直接冷却废水经独立沉淀池收集</w:t>
      </w:r>
      <w:r>
        <w:rPr>
          <w:rFonts w:hint="default" w:ascii="Times New Roman" w:hAnsi="Times New Roman" w:eastAsia="宋体" w:cs="Times New Roman"/>
          <w:color w:val="auto"/>
          <w:sz w:val="24"/>
          <w:szCs w:val="24"/>
          <w:highlight w:val="none"/>
          <w:u w:val="none" w:color="auto"/>
        </w:rPr>
        <w:t>预处理后排至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处理</w:t>
      </w:r>
      <w:r>
        <w:rPr>
          <w:rFonts w:hint="default" w:ascii="Times New Roman" w:hAnsi="Times New Roman" w:eastAsia="宋体" w:cs="Times New Roman"/>
          <w:color w:val="auto"/>
          <w:sz w:val="24"/>
          <w:szCs w:val="21"/>
          <w:highlight w:val="none"/>
          <w:u w:val="none" w:color="auto"/>
        </w:rPr>
        <w:t>。</w:t>
      </w:r>
    </w:p>
    <w:p w14:paraId="4F4E5DC4">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w:t>
      </w:r>
      <w:r>
        <w:rPr>
          <w:rFonts w:hint="eastAsia" w:ascii="Times New Roman" w:hAnsi="Times New Roman" w:eastAsia="宋体" w:cs="Times New Roman"/>
          <w:color w:val="auto"/>
          <w:sz w:val="24"/>
          <w:szCs w:val="21"/>
          <w:highlight w:val="none"/>
          <w:u w:val="none" w:color="auto"/>
          <w:lang w:val="en-US" w:eastAsia="zh-CN"/>
        </w:rPr>
        <w:t>3</w:t>
      </w:r>
      <w:r>
        <w:rPr>
          <w:rFonts w:hint="default" w:ascii="Times New Roman" w:hAnsi="Times New Roman" w:eastAsia="宋体" w:cs="Times New Roman"/>
          <w:color w:val="auto"/>
          <w:sz w:val="24"/>
          <w:szCs w:val="21"/>
          <w:highlight w:val="none"/>
          <w:u w:val="none" w:color="auto"/>
        </w:rPr>
        <w:t>）废气处理设施用水</w:t>
      </w:r>
    </w:p>
    <w:p w14:paraId="2ACFF3B6">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项目废气处理设施主要为酸雾喷淋塔，各废气喷淋塔用水定期更换，项目废气处理设施用水量约</w:t>
      </w:r>
      <w:r>
        <w:rPr>
          <w:rFonts w:hint="default" w:ascii="Times New Roman" w:hAnsi="Times New Roman" w:eastAsia="宋体" w:cs="Times New Roman"/>
          <w:color w:val="auto"/>
          <w:sz w:val="24"/>
          <w:szCs w:val="21"/>
          <w:highlight w:val="none"/>
          <w:u w:val="none" w:color="auto"/>
          <w:lang w:val="en-US" w:eastAsia="zh-CN"/>
        </w:rPr>
        <w:t>2</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/d，收集后进入厂区</w:t>
      </w:r>
      <w:r>
        <w:rPr>
          <w:rFonts w:hint="default" w:ascii="Times New Roman" w:hAnsi="Times New Roman" w:eastAsia="宋体" w:cs="Times New Roman"/>
          <w:color w:val="auto"/>
          <w:sz w:val="24"/>
          <w:szCs w:val="21"/>
          <w:highlight w:val="none"/>
          <w:u w:val="none" w:color="auto"/>
          <w:lang w:eastAsia="zh-CN"/>
        </w:rPr>
        <w:t>酸碱含油</w:t>
      </w:r>
      <w:r>
        <w:rPr>
          <w:rFonts w:hint="default" w:ascii="Times New Roman" w:hAnsi="Times New Roman" w:eastAsia="宋体" w:cs="Times New Roman"/>
          <w:color w:val="auto"/>
          <w:sz w:val="24"/>
          <w:szCs w:val="21"/>
          <w:highlight w:val="none"/>
          <w:u w:val="none" w:color="auto"/>
        </w:rPr>
        <w:t>废水处理站处理</w:t>
      </w:r>
      <w:r>
        <w:rPr>
          <w:rFonts w:hint="default" w:ascii="Times New Roman" w:hAnsi="Times New Roman" w:eastAsia="宋体" w:cs="Times New Roman"/>
          <w:color w:val="auto"/>
          <w:sz w:val="24"/>
          <w:szCs w:val="21"/>
          <w:highlight w:val="none"/>
          <w:u w:val="none" w:color="auto"/>
          <w:lang w:eastAsia="zh-CN"/>
        </w:rPr>
        <w:t>后回用于生产</w:t>
      </w:r>
      <w:r>
        <w:rPr>
          <w:rFonts w:hint="default" w:ascii="Times New Roman" w:hAnsi="Times New Roman" w:eastAsia="宋体" w:cs="Times New Roman"/>
          <w:color w:val="auto"/>
          <w:sz w:val="24"/>
          <w:szCs w:val="21"/>
          <w:highlight w:val="none"/>
          <w:u w:val="none" w:color="auto"/>
        </w:rPr>
        <w:t>。</w:t>
      </w:r>
    </w:p>
    <w:p w14:paraId="2F34910D">
      <w:pPr>
        <w:ind w:firstLine="480" w:firstLineChars="20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w:t>
      </w:r>
      <w:r>
        <w:rPr>
          <w:rFonts w:hint="eastAsia" w:ascii="Times New Roman" w:hAnsi="Times New Roman" w:eastAsia="宋体" w:cs="Times New Roman"/>
          <w:color w:val="auto"/>
          <w:sz w:val="24"/>
          <w:szCs w:val="24"/>
          <w:highlight w:val="none"/>
          <w:u w:val="single" w:color="auto"/>
          <w:lang w:val="en-US" w:eastAsia="zh-CN"/>
        </w:rPr>
        <w:t>4</w:t>
      </w:r>
      <w:r>
        <w:rPr>
          <w:rFonts w:hint="default" w:ascii="Times New Roman" w:hAnsi="Times New Roman" w:eastAsia="宋体" w:cs="Times New Roman"/>
          <w:color w:val="auto"/>
          <w:sz w:val="24"/>
          <w:szCs w:val="24"/>
          <w:highlight w:val="none"/>
          <w:u w:val="single" w:color="auto"/>
          <w:lang w:eastAsia="zh-CN"/>
        </w:rPr>
        <w:t>）实验室</w:t>
      </w:r>
      <w:r>
        <w:rPr>
          <w:rFonts w:hint="eastAsia" w:ascii="Times New Roman" w:hAnsi="Times New Roman" w:eastAsia="宋体" w:cs="Times New Roman"/>
          <w:color w:val="auto"/>
          <w:sz w:val="24"/>
          <w:szCs w:val="24"/>
          <w:highlight w:val="none"/>
          <w:u w:val="single" w:color="auto"/>
          <w:lang w:val="en-US" w:eastAsia="zh-CN"/>
        </w:rPr>
        <w:t>用水</w:t>
      </w:r>
    </w:p>
    <w:p w14:paraId="68576F72">
      <w:pPr>
        <w:ind w:firstLine="480" w:firstLineChars="200"/>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1"/>
          <w:highlight w:val="none"/>
          <w:u w:val="single" w:color="auto"/>
        </w:rPr>
        <w:t>项目</w:t>
      </w:r>
      <w:r>
        <w:rPr>
          <w:rFonts w:hint="default" w:ascii="Times New Roman" w:hAnsi="Times New Roman" w:eastAsia="宋体" w:cs="Times New Roman"/>
          <w:color w:val="auto"/>
          <w:sz w:val="24"/>
          <w:szCs w:val="21"/>
          <w:highlight w:val="none"/>
          <w:u w:val="single" w:color="auto"/>
          <w:lang w:eastAsia="zh-CN"/>
        </w:rPr>
        <w:t>实验室内设置电镀生产线用于实验，产生的废水有含油废水、酸性废水、含镍废水</w:t>
      </w:r>
      <w:r>
        <w:rPr>
          <w:rFonts w:hint="default" w:ascii="Times New Roman" w:hAnsi="Times New Roman" w:eastAsia="宋体" w:cs="Times New Roman"/>
          <w:color w:val="auto"/>
          <w:sz w:val="24"/>
          <w:szCs w:val="21"/>
          <w:highlight w:val="none"/>
          <w:u w:val="single" w:color="auto"/>
        </w:rPr>
        <w:t>，</w:t>
      </w:r>
      <w:r>
        <w:rPr>
          <w:rFonts w:hint="default" w:ascii="Times New Roman" w:hAnsi="Times New Roman" w:eastAsia="宋体" w:cs="Times New Roman"/>
          <w:color w:val="auto"/>
          <w:sz w:val="24"/>
          <w:szCs w:val="21"/>
          <w:highlight w:val="none"/>
          <w:u w:val="single" w:color="auto"/>
          <w:lang w:eastAsia="zh-CN"/>
        </w:rPr>
        <w:t>故与生产废水一起核算产排情况</w:t>
      </w:r>
      <w:r>
        <w:rPr>
          <w:rFonts w:hint="default" w:ascii="Times New Roman" w:hAnsi="Times New Roman" w:eastAsia="宋体" w:cs="Times New Roman"/>
          <w:color w:val="auto"/>
          <w:sz w:val="24"/>
          <w:szCs w:val="21"/>
          <w:highlight w:val="none"/>
          <w:u w:val="single" w:color="auto"/>
          <w:lang w:val="en-US" w:eastAsia="zh-CN"/>
        </w:rPr>
        <w:t>，</w:t>
      </w:r>
      <w:r>
        <w:rPr>
          <w:rFonts w:hint="default" w:ascii="Times New Roman" w:hAnsi="Times New Roman" w:eastAsia="宋体" w:cs="Times New Roman"/>
          <w:color w:val="auto"/>
          <w:sz w:val="24"/>
          <w:szCs w:val="21"/>
          <w:highlight w:val="none"/>
          <w:u w:val="single" w:color="auto"/>
        </w:rPr>
        <w:t>收集后进入厂区</w:t>
      </w:r>
      <w:r>
        <w:rPr>
          <w:rFonts w:hint="default" w:ascii="Times New Roman" w:hAnsi="Times New Roman" w:eastAsia="宋体" w:cs="Times New Roman"/>
          <w:color w:val="auto"/>
          <w:sz w:val="24"/>
          <w:szCs w:val="21"/>
          <w:highlight w:val="none"/>
          <w:u w:val="single" w:color="auto"/>
          <w:lang w:eastAsia="zh-CN"/>
        </w:rPr>
        <w:t>重金属</w:t>
      </w:r>
      <w:r>
        <w:rPr>
          <w:rFonts w:hint="default" w:ascii="Times New Roman" w:hAnsi="Times New Roman" w:eastAsia="宋体" w:cs="Times New Roman"/>
          <w:color w:val="auto"/>
          <w:sz w:val="24"/>
          <w:szCs w:val="21"/>
          <w:highlight w:val="none"/>
          <w:u w:val="single" w:color="auto"/>
        </w:rPr>
        <w:t>废水处理站处理</w:t>
      </w:r>
      <w:r>
        <w:rPr>
          <w:rFonts w:hint="default" w:ascii="Times New Roman" w:hAnsi="Times New Roman" w:eastAsia="宋体" w:cs="Times New Roman"/>
          <w:color w:val="auto"/>
          <w:sz w:val="24"/>
          <w:szCs w:val="21"/>
          <w:highlight w:val="none"/>
          <w:u w:val="single" w:color="auto"/>
          <w:lang w:eastAsia="zh-CN"/>
        </w:rPr>
        <w:t>后回用于生产</w:t>
      </w:r>
      <w:r>
        <w:rPr>
          <w:rFonts w:hint="default" w:ascii="Times New Roman" w:hAnsi="Times New Roman" w:eastAsia="宋体" w:cs="Times New Roman"/>
          <w:color w:val="auto"/>
          <w:sz w:val="24"/>
          <w:szCs w:val="21"/>
          <w:highlight w:val="none"/>
          <w:u w:val="single" w:color="auto"/>
        </w:rPr>
        <w:t>。</w:t>
      </w:r>
    </w:p>
    <w:p w14:paraId="0A4F1632">
      <w:pPr>
        <w:ind w:firstLine="480" w:firstLineChars="20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rPr>
        <w:t>（</w:t>
      </w:r>
      <w:r>
        <w:rPr>
          <w:rFonts w:hint="eastAsia" w:ascii="Times New Roman" w:hAnsi="Times New Roman" w:eastAsia="宋体" w:cs="Times New Roman"/>
          <w:color w:val="auto"/>
          <w:sz w:val="24"/>
          <w:szCs w:val="24"/>
          <w:highlight w:val="none"/>
          <w:u w:val="single" w:color="auto"/>
          <w:lang w:val="en-US" w:eastAsia="zh-CN"/>
        </w:rPr>
        <w:t>5</w:t>
      </w:r>
      <w:r>
        <w:rPr>
          <w:rFonts w:hint="default" w:ascii="Times New Roman" w:hAnsi="Times New Roman" w:eastAsia="宋体" w:cs="Times New Roman"/>
          <w:color w:val="auto"/>
          <w:sz w:val="24"/>
          <w:szCs w:val="24"/>
          <w:highlight w:val="none"/>
          <w:u w:val="single" w:color="auto"/>
        </w:rPr>
        <w:t>）纯水站</w:t>
      </w:r>
      <w:r>
        <w:rPr>
          <w:rFonts w:hint="default" w:ascii="Times New Roman" w:hAnsi="Times New Roman" w:eastAsia="宋体" w:cs="Times New Roman"/>
          <w:color w:val="auto"/>
          <w:sz w:val="24"/>
          <w:szCs w:val="24"/>
          <w:highlight w:val="none"/>
          <w:u w:val="single" w:color="auto"/>
          <w:lang w:eastAsia="zh-CN"/>
        </w:rPr>
        <w:t>浓水</w:t>
      </w:r>
    </w:p>
    <w:p w14:paraId="3DD6245C">
      <w:pPr>
        <w:ind w:firstLine="480"/>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本项目纯水站采用砂滤、活性炭吸附、反渗透处理工艺，自来水经纯水站处理后用于生产工艺，纯水得率约7</w:t>
      </w:r>
      <w:r>
        <w:rPr>
          <w:rFonts w:hint="default" w:ascii="Times New Roman" w:hAnsi="Times New Roman" w:eastAsia="宋体" w:cs="Times New Roman"/>
          <w:color w:val="auto"/>
          <w:sz w:val="24"/>
          <w:szCs w:val="24"/>
          <w:u w:val="single" w:color="auto"/>
          <w:lang w:val="en-US" w:eastAsia="zh-CN"/>
        </w:rPr>
        <w:t>0</w:t>
      </w:r>
      <w:r>
        <w:rPr>
          <w:rFonts w:hint="default" w:ascii="Times New Roman" w:hAnsi="Times New Roman" w:eastAsia="宋体" w:cs="Times New Roman"/>
          <w:color w:val="auto"/>
          <w:sz w:val="24"/>
          <w:szCs w:val="24"/>
          <w:u w:val="single" w:color="auto"/>
        </w:rPr>
        <w:t>%。</w:t>
      </w:r>
    </w:p>
    <w:p w14:paraId="0EA76459">
      <w:pPr>
        <w:ind w:firstLine="560"/>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rPr>
        <w:t>项目纯水站处理水量为</w:t>
      </w:r>
      <w:r>
        <w:rPr>
          <w:rFonts w:hint="default" w:ascii="Times New Roman" w:hAnsi="Times New Roman" w:eastAsia="宋体" w:cs="Times New Roman"/>
          <w:color w:val="auto"/>
          <w:sz w:val="24"/>
          <w:szCs w:val="24"/>
          <w:u w:val="single" w:color="auto"/>
          <w:lang w:val="en-US" w:eastAsia="zh-CN"/>
        </w:rPr>
        <w:t>32.243</w:t>
      </w:r>
      <w:r>
        <w:rPr>
          <w:rFonts w:hint="default" w:ascii="Times New Roman" w:hAnsi="Times New Roman" w:eastAsia="宋体" w:cs="Times New Roman"/>
          <w:color w:val="auto"/>
          <w:sz w:val="24"/>
          <w:szCs w:val="24"/>
          <w:u w:val="single" w:color="auto"/>
        </w:rPr>
        <w:t>m</w:t>
      </w:r>
      <w:r>
        <w:rPr>
          <w:rFonts w:hint="default" w:ascii="Times New Roman" w:hAnsi="Times New Roman" w:eastAsia="宋体" w:cs="Times New Roman"/>
          <w:color w:val="auto"/>
          <w:sz w:val="24"/>
          <w:szCs w:val="24"/>
          <w:u w:val="single" w:color="auto"/>
          <w:vertAlign w:val="superscript"/>
        </w:rPr>
        <w:t>3</w:t>
      </w:r>
      <w:r>
        <w:rPr>
          <w:rFonts w:hint="default" w:ascii="Times New Roman" w:hAnsi="Times New Roman" w:eastAsia="宋体" w:cs="Times New Roman"/>
          <w:color w:val="auto"/>
          <w:sz w:val="24"/>
          <w:szCs w:val="24"/>
          <w:u w:val="single" w:color="auto"/>
        </w:rPr>
        <w:t>/d，处理后纯水量为</w:t>
      </w:r>
      <w:r>
        <w:rPr>
          <w:rFonts w:hint="default" w:ascii="Times New Roman" w:hAnsi="Times New Roman" w:eastAsia="宋体" w:cs="Times New Roman"/>
          <w:color w:val="auto"/>
          <w:sz w:val="24"/>
          <w:szCs w:val="24"/>
          <w:u w:val="single" w:color="auto"/>
          <w:lang w:val="en-US" w:eastAsia="zh-CN"/>
        </w:rPr>
        <w:t>22.57</w:t>
      </w:r>
      <w:r>
        <w:rPr>
          <w:rFonts w:hint="default" w:ascii="Times New Roman" w:hAnsi="Times New Roman" w:eastAsia="宋体" w:cs="Times New Roman"/>
          <w:color w:val="auto"/>
          <w:sz w:val="24"/>
          <w:szCs w:val="24"/>
          <w:u w:val="single" w:color="auto"/>
        </w:rPr>
        <w:t>m</w:t>
      </w:r>
      <w:r>
        <w:rPr>
          <w:rFonts w:hint="default" w:ascii="Times New Roman" w:hAnsi="Times New Roman" w:eastAsia="宋体" w:cs="Times New Roman"/>
          <w:color w:val="auto"/>
          <w:sz w:val="24"/>
          <w:szCs w:val="24"/>
          <w:u w:val="single" w:color="auto"/>
          <w:vertAlign w:val="superscript"/>
        </w:rPr>
        <w:t>3</w:t>
      </w:r>
      <w:r>
        <w:rPr>
          <w:rFonts w:hint="default" w:ascii="Times New Roman" w:hAnsi="Times New Roman" w:eastAsia="宋体" w:cs="Times New Roman"/>
          <w:color w:val="auto"/>
          <w:sz w:val="24"/>
          <w:szCs w:val="24"/>
          <w:u w:val="single" w:color="auto"/>
        </w:rPr>
        <w:t>/d，浓水</w:t>
      </w:r>
      <w:r>
        <w:rPr>
          <w:rFonts w:hint="default" w:ascii="Times New Roman" w:hAnsi="Times New Roman" w:eastAsia="宋体" w:cs="Times New Roman"/>
          <w:color w:val="auto"/>
          <w:sz w:val="24"/>
          <w:szCs w:val="24"/>
          <w:u w:val="single" w:color="auto"/>
          <w:lang w:val="en-US" w:eastAsia="zh-CN"/>
        </w:rPr>
        <w:t>9.673</w:t>
      </w:r>
      <w:r>
        <w:rPr>
          <w:rFonts w:hint="default" w:ascii="Times New Roman" w:hAnsi="Times New Roman" w:eastAsia="宋体" w:cs="Times New Roman"/>
          <w:color w:val="auto"/>
          <w:sz w:val="24"/>
          <w:szCs w:val="24"/>
          <w:u w:val="single" w:color="auto"/>
        </w:rPr>
        <w:t>m</w:t>
      </w:r>
      <w:r>
        <w:rPr>
          <w:rFonts w:hint="default" w:ascii="Times New Roman" w:hAnsi="Times New Roman" w:eastAsia="宋体" w:cs="Times New Roman"/>
          <w:color w:val="auto"/>
          <w:sz w:val="24"/>
          <w:szCs w:val="24"/>
          <w:u w:val="single" w:color="auto"/>
          <w:vertAlign w:val="superscript"/>
        </w:rPr>
        <w:t>3</w:t>
      </w:r>
      <w:r>
        <w:rPr>
          <w:rFonts w:hint="default" w:ascii="Times New Roman" w:hAnsi="Times New Roman" w:eastAsia="宋体" w:cs="Times New Roman"/>
          <w:color w:val="auto"/>
          <w:sz w:val="24"/>
          <w:szCs w:val="24"/>
          <w:u w:val="single" w:color="auto"/>
        </w:rPr>
        <w:t>/d。纯水站浓水作</w:t>
      </w:r>
      <w:r>
        <w:rPr>
          <w:rFonts w:hint="default" w:ascii="Times New Roman" w:hAnsi="Times New Roman" w:eastAsia="宋体" w:cs="Times New Roman"/>
          <w:color w:val="auto"/>
          <w:sz w:val="24"/>
          <w:szCs w:val="24"/>
          <w:u w:val="single" w:color="auto"/>
          <w:lang w:eastAsia="zh-CN"/>
        </w:rPr>
        <w:t>回用于生产，用于除油等前处理工序槽液配制、补充水及</w:t>
      </w:r>
      <w:r>
        <w:rPr>
          <w:rFonts w:hint="eastAsia" w:ascii="Times New Roman" w:hAnsi="Times New Roman" w:eastAsia="宋体" w:cs="Times New Roman"/>
          <w:color w:val="auto"/>
          <w:sz w:val="24"/>
          <w:szCs w:val="24"/>
          <w:u w:val="single" w:color="auto"/>
          <w:lang w:val="en-US" w:eastAsia="zh-CN"/>
        </w:rPr>
        <w:t>电镀车间</w:t>
      </w:r>
      <w:r>
        <w:rPr>
          <w:rFonts w:hint="default" w:ascii="Times New Roman" w:hAnsi="Times New Roman" w:eastAsia="宋体" w:cs="Times New Roman"/>
          <w:color w:val="auto"/>
          <w:sz w:val="24"/>
          <w:szCs w:val="24"/>
          <w:u w:val="single" w:color="auto"/>
          <w:lang w:eastAsia="zh-CN"/>
        </w:rPr>
        <w:t>地面</w:t>
      </w:r>
      <w:r>
        <w:rPr>
          <w:rFonts w:hint="eastAsia" w:ascii="Times New Roman" w:hAnsi="Times New Roman" w:eastAsia="宋体" w:cs="Times New Roman"/>
          <w:color w:val="auto"/>
          <w:sz w:val="24"/>
          <w:szCs w:val="21"/>
          <w:highlight w:val="none"/>
          <w:u w:val="none" w:color="auto"/>
          <w:lang w:val="en-US" w:eastAsia="zh-CN"/>
        </w:rPr>
        <w:t>清洗</w:t>
      </w:r>
      <w:r>
        <w:rPr>
          <w:rFonts w:hint="default" w:ascii="Times New Roman" w:hAnsi="Times New Roman" w:eastAsia="宋体" w:cs="Times New Roman"/>
          <w:color w:val="auto"/>
          <w:sz w:val="24"/>
          <w:szCs w:val="24"/>
          <w:u w:val="single" w:color="auto"/>
        </w:rPr>
        <w:t>。</w:t>
      </w:r>
    </w:p>
    <w:p w14:paraId="72F17879">
      <w:pPr>
        <w:pStyle w:val="5"/>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4.2.2.3 生活污水</w:t>
      </w:r>
    </w:p>
    <w:p w14:paraId="0AE05C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本项目劳动定员</w:t>
      </w:r>
      <w:r>
        <w:rPr>
          <w:rFonts w:hint="eastAsia" w:ascii="Times New Roman" w:hAnsi="Times New Roman" w:eastAsia="宋体" w:cs="Times New Roman"/>
          <w:color w:val="auto"/>
          <w:sz w:val="24"/>
          <w:szCs w:val="24"/>
          <w:highlight w:val="none"/>
          <w:u w:val="none" w:color="auto"/>
          <w:lang w:val="en-US" w:eastAsia="zh-CN"/>
        </w:rPr>
        <w:t>475</w:t>
      </w:r>
      <w:r>
        <w:rPr>
          <w:rFonts w:hint="default" w:ascii="Times New Roman" w:hAnsi="Times New Roman" w:eastAsia="宋体" w:cs="Times New Roman"/>
          <w:color w:val="auto"/>
          <w:sz w:val="24"/>
          <w:szCs w:val="24"/>
          <w:highlight w:val="none"/>
          <w:u w:val="none" w:color="auto"/>
        </w:rPr>
        <w:t>人，其中住宿人员约</w:t>
      </w:r>
      <w:r>
        <w:rPr>
          <w:rFonts w:hint="eastAsia" w:ascii="Times New Roman" w:hAnsi="Times New Roman" w:eastAsia="宋体" w:cs="Times New Roman"/>
          <w:color w:val="auto"/>
          <w:sz w:val="24"/>
          <w:szCs w:val="24"/>
          <w:highlight w:val="none"/>
          <w:u w:val="none" w:color="auto"/>
          <w:lang w:val="en-US" w:eastAsia="zh-CN"/>
        </w:rPr>
        <w:t>150</w:t>
      </w:r>
      <w:r>
        <w:rPr>
          <w:rFonts w:hint="default" w:ascii="Times New Roman" w:hAnsi="Times New Roman" w:eastAsia="宋体" w:cs="Times New Roman"/>
          <w:color w:val="auto"/>
          <w:sz w:val="24"/>
          <w:szCs w:val="24"/>
          <w:highlight w:val="none"/>
          <w:u w:val="none" w:color="auto"/>
        </w:rPr>
        <w:t>人。根据《湖南省地方标准用水定额》（DB43/T 388-2020），本项目住宿人员用水量按160 L/人·d计算，其他人员按</w:t>
      </w:r>
      <w:r>
        <w:rPr>
          <w:rFonts w:hint="eastAsia" w:ascii="Times New Roman" w:hAnsi="Times New Roman" w:eastAsia="宋体" w:cs="Times New Roman"/>
          <w:color w:val="auto"/>
          <w:sz w:val="24"/>
          <w:szCs w:val="24"/>
          <w:highlight w:val="none"/>
          <w:u w:val="none" w:color="auto"/>
          <w:lang w:val="en-US" w:eastAsia="zh-CN"/>
        </w:rPr>
        <w:t>8</w:t>
      </w:r>
      <w:r>
        <w:rPr>
          <w:rFonts w:hint="default" w:ascii="Times New Roman" w:hAnsi="Times New Roman" w:eastAsia="宋体" w:cs="Times New Roman"/>
          <w:color w:val="auto"/>
          <w:sz w:val="24"/>
          <w:szCs w:val="24"/>
          <w:highlight w:val="none"/>
          <w:u w:val="none" w:color="auto"/>
        </w:rPr>
        <w:t>0 L/人·d计算，则生活用水量为</w:t>
      </w:r>
      <w:r>
        <w:rPr>
          <w:rFonts w:hint="eastAsia" w:ascii="Times New Roman" w:hAnsi="Times New Roman" w:eastAsia="宋体" w:cs="Times New Roman"/>
          <w:color w:val="auto"/>
          <w:sz w:val="24"/>
          <w:szCs w:val="24"/>
          <w:highlight w:val="none"/>
          <w:u w:val="none" w:color="auto"/>
          <w:lang w:val="en-US" w:eastAsia="zh-CN"/>
        </w:rPr>
        <w:t>50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w:t>
      </w:r>
      <w:r>
        <w:rPr>
          <w:rFonts w:hint="eastAsia" w:ascii="Times New Roman" w:hAnsi="Times New Roman" w:eastAsia="宋体" w:cs="Times New Roman"/>
          <w:color w:val="auto"/>
          <w:sz w:val="24"/>
          <w:szCs w:val="24"/>
          <w:highlight w:val="none"/>
          <w:u w:val="none" w:color="auto"/>
          <w:lang w:val="en-US" w:eastAsia="zh-CN"/>
        </w:rPr>
        <w:t>15000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/a），生活污水产生量按用水量的80%计算，则</w:t>
      </w:r>
      <w:r>
        <w:rPr>
          <w:rFonts w:hint="default" w:ascii="Times New Roman" w:hAnsi="Times New Roman" w:eastAsia="宋体" w:cs="Times New Roman"/>
          <w:color w:val="auto"/>
          <w:sz w:val="24"/>
          <w:szCs w:val="24"/>
          <w:highlight w:val="none"/>
          <w:u w:val="none" w:color="auto"/>
          <w:lang w:eastAsia="zh-CN"/>
        </w:rPr>
        <w:t>生活污水</w:t>
      </w:r>
      <w:r>
        <w:rPr>
          <w:rFonts w:hint="default" w:ascii="Times New Roman" w:hAnsi="Times New Roman" w:eastAsia="宋体" w:cs="Times New Roman"/>
          <w:color w:val="auto"/>
          <w:sz w:val="24"/>
          <w:szCs w:val="24"/>
          <w:highlight w:val="none"/>
          <w:u w:val="none" w:color="auto"/>
        </w:rPr>
        <w:t>产生量为</w:t>
      </w:r>
      <w:r>
        <w:rPr>
          <w:rFonts w:hint="eastAsia" w:ascii="Times New Roman" w:hAnsi="Times New Roman" w:eastAsia="宋体" w:cs="Times New Roman"/>
          <w:color w:val="auto"/>
          <w:sz w:val="24"/>
          <w:szCs w:val="24"/>
          <w:highlight w:val="none"/>
          <w:u w:val="none" w:color="auto"/>
          <w:lang w:val="en-US" w:eastAsia="zh-CN"/>
        </w:rPr>
        <w:t>40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w:t>
      </w:r>
      <w:r>
        <w:rPr>
          <w:rFonts w:hint="eastAsia" w:ascii="Times New Roman" w:hAnsi="Times New Roman" w:eastAsia="宋体" w:cs="Times New Roman"/>
          <w:color w:val="auto"/>
          <w:sz w:val="24"/>
          <w:szCs w:val="24"/>
          <w:highlight w:val="none"/>
          <w:u w:val="none" w:color="auto"/>
          <w:lang w:val="en-US" w:eastAsia="zh-CN"/>
        </w:rPr>
        <w:t>12000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default" w:ascii="Times New Roman" w:hAnsi="Times New Roman" w:eastAsia="宋体" w:cs="Times New Roman"/>
          <w:color w:val="auto"/>
          <w:sz w:val="24"/>
          <w:szCs w:val="24"/>
          <w:highlight w:val="none"/>
          <w:u w:val="none" w:color="auto"/>
          <w:lang w:eastAsia="zh-CN"/>
        </w:rPr>
        <w:t>生活污水</w:t>
      </w:r>
      <w:r>
        <w:rPr>
          <w:rFonts w:hint="default" w:ascii="Times New Roman" w:hAnsi="Times New Roman" w:eastAsia="宋体" w:cs="Times New Roman"/>
          <w:color w:val="auto"/>
          <w:sz w:val="24"/>
          <w:szCs w:val="24"/>
          <w:highlight w:val="none"/>
          <w:u w:val="none" w:color="auto"/>
        </w:rPr>
        <w:t>经化粪池预处理后排至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处理。</w:t>
      </w:r>
    </w:p>
    <w:p w14:paraId="56EA230D">
      <w:pPr>
        <w:pStyle w:val="5"/>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4.2.2.4初期雨水</w:t>
      </w:r>
    </w:p>
    <w:p w14:paraId="5848C7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本项目的初期雨水为生产区一次暴雨前</w:t>
      </w:r>
      <w:r>
        <w:rPr>
          <w:rFonts w:hint="default" w:ascii="Times New Roman" w:hAnsi="Times New Roman" w:eastAsia="宋体" w:cs="Times New Roman"/>
          <w:color w:val="auto"/>
          <w:sz w:val="24"/>
          <w:szCs w:val="21"/>
          <w:highlight w:val="none"/>
          <w:u w:val="none" w:color="auto"/>
          <w:lang w:val="en-US" w:eastAsia="zh-CN"/>
        </w:rPr>
        <w:t>2</w:t>
      </w:r>
      <w:r>
        <w:rPr>
          <w:rFonts w:hint="default" w:ascii="Times New Roman" w:hAnsi="Times New Roman" w:eastAsia="宋体" w:cs="Times New Roman"/>
          <w:color w:val="auto"/>
          <w:sz w:val="24"/>
          <w:szCs w:val="21"/>
          <w:highlight w:val="none"/>
          <w:u w:val="none" w:color="auto"/>
        </w:rPr>
        <w:t>5min的降水量，初期雨水按下式进行估算：</w:t>
      </w:r>
    </w:p>
    <w:p w14:paraId="530FC9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position w:val="-10"/>
          <w:sz w:val="24"/>
          <w:szCs w:val="21"/>
          <w:highlight w:val="none"/>
          <w:u w:val="none" w:color="auto"/>
        </w:rPr>
        <w:object>
          <v:shape id="_x0000_i1032" o:spt="75" type="#_x0000_t75" style="height:22.5pt;width:111.75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p>
    <w:p w14:paraId="5086AE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position w:val="-8"/>
          <w:sz w:val="24"/>
          <w:szCs w:val="21"/>
          <w:highlight w:val="none"/>
          <w:u w:val="none" w:color="auto"/>
        </w:rPr>
        <w:drawing>
          <wp:inline distT="0" distB="0" distL="0" distR="0">
            <wp:extent cx="123825" cy="219075"/>
            <wp:effectExtent l="0" t="0" r="0" b="0"/>
            <wp:docPr id="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5"/>
                    <pic:cNvPicPr>
                      <a:picLocks noChangeAspect="1" noChangeArrowheads="1"/>
                    </pic:cNvPicPr>
                  </pic:nvPicPr>
                  <pic:blipFill>
                    <a:blip r:embed="rId32" cstate="print"/>
                    <a:srcRect/>
                    <a:stretch>
                      <a:fillRect/>
                    </a:stretch>
                  </pic:blipFill>
                  <pic:spPr>
                    <a:xfrm>
                      <a:off x="0" y="0"/>
                      <a:ext cx="123825" cy="219075"/>
                    </a:xfrm>
                    <a:prstGeom prst="rect">
                      <a:avLst/>
                    </a:prstGeom>
                    <a:noFill/>
                    <a:ln w="9525">
                      <a:noFill/>
                      <a:miter lim="800000"/>
                      <a:headEnd/>
                      <a:tailEnd/>
                    </a:ln>
                  </pic:spPr>
                </pic:pic>
              </a:graphicData>
            </a:graphic>
          </wp:inline>
        </w:drawing>
      </w:r>
      <w:r>
        <w:rPr>
          <w:rFonts w:hint="default" w:ascii="Times New Roman" w:hAnsi="Times New Roman" w:eastAsia="宋体" w:cs="Times New Roman"/>
          <w:color w:val="auto"/>
          <w:kern w:val="0"/>
          <w:sz w:val="24"/>
          <w:szCs w:val="21"/>
          <w:highlight w:val="none"/>
          <w:u w:val="none" w:color="auto"/>
        </w:rPr>
        <w:t xml:space="preserve"> q=</w:t>
      </w:r>
      <w:r>
        <w:rPr>
          <w:rFonts w:hint="default" w:ascii="Times New Roman" w:hAnsi="Times New Roman" w:eastAsia="宋体" w:cs="Times New Roman"/>
          <w:color w:val="auto"/>
          <w:kern w:val="0"/>
          <w:sz w:val="24"/>
          <w:szCs w:val="21"/>
          <w:highlight w:val="none"/>
          <w:u w:val="none" w:color="auto"/>
          <w:lang w:val="en-US" w:eastAsia="zh-CN"/>
        </w:rPr>
        <w:t>892</w:t>
      </w:r>
      <w:r>
        <w:rPr>
          <w:rFonts w:hint="default" w:ascii="Times New Roman" w:hAnsi="Times New Roman" w:eastAsia="宋体" w:cs="Times New Roman"/>
          <w:color w:val="auto"/>
          <w:kern w:val="0"/>
          <w:sz w:val="24"/>
          <w:szCs w:val="21"/>
          <w:highlight w:val="none"/>
          <w:u w:val="none" w:color="auto"/>
        </w:rPr>
        <w:t>（1+</w:t>
      </w:r>
      <w:r>
        <w:rPr>
          <w:rFonts w:hint="default" w:ascii="Times New Roman" w:hAnsi="Times New Roman" w:eastAsia="宋体" w:cs="Times New Roman"/>
          <w:color w:val="auto"/>
          <w:kern w:val="0"/>
          <w:sz w:val="24"/>
          <w:szCs w:val="21"/>
          <w:highlight w:val="none"/>
          <w:u w:val="none" w:color="auto"/>
          <w:lang w:val="en-US" w:eastAsia="zh-CN"/>
        </w:rPr>
        <w:t>0.671</w:t>
      </w:r>
      <w:r>
        <w:rPr>
          <w:rFonts w:hint="default" w:ascii="Times New Roman" w:hAnsi="Times New Roman" w:eastAsia="宋体" w:cs="Times New Roman"/>
          <w:color w:val="auto"/>
          <w:kern w:val="0"/>
          <w:sz w:val="24"/>
          <w:szCs w:val="21"/>
          <w:highlight w:val="none"/>
          <w:u w:val="none" w:color="auto"/>
        </w:rPr>
        <w:t>gp）/</w:t>
      </w:r>
      <w:r>
        <w:rPr>
          <w:rFonts w:hint="default" w:ascii="Times New Roman" w:hAnsi="Times New Roman" w:eastAsia="宋体" w:cs="Times New Roman"/>
          <w:color w:val="auto"/>
          <w:kern w:val="0"/>
          <w:sz w:val="24"/>
          <w:szCs w:val="21"/>
          <w:highlight w:val="none"/>
          <w:u w:val="none" w:color="auto"/>
          <w:lang w:val="en-US" w:eastAsia="zh-CN"/>
        </w:rPr>
        <w:t>t</w:t>
      </w:r>
      <w:r>
        <w:rPr>
          <w:rFonts w:hint="default" w:ascii="Times New Roman" w:hAnsi="Times New Roman" w:eastAsia="宋体" w:cs="Times New Roman"/>
          <w:color w:val="auto"/>
          <w:kern w:val="0"/>
          <w:sz w:val="24"/>
          <w:szCs w:val="21"/>
          <w:highlight w:val="none"/>
          <w:u w:val="none" w:color="auto"/>
          <w:vertAlign w:val="superscript"/>
          <w:lang w:val="en-US" w:eastAsia="zh-CN"/>
        </w:rPr>
        <w:t>0.57</w:t>
      </w:r>
      <w:r>
        <w:rPr>
          <w:rFonts w:hint="default" w:ascii="Times New Roman" w:hAnsi="Times New Roman" w:eastAsia="宋体" w:cs="Times New Roman"/>
          <w:color w:val="auto"/>
          <w:kern w:val="0"/>
          <w:sz w:val="24"/>
          <w:szCs w:val="21"/>
          <w:highlight w:val="none"/>
          <w:u w:val="none" w:color="auto"/>
        </w:rPr>
        <w:t>（升/秒.公顷）</w:t>
      </w:r>
    </w:p>
    <w:p w14:paraId="462885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式中：Q—初期雨水排放量，L/s；</w:t>
      </w:r>
    </w:p>
    <w:p w14:paraId="4FC03A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F—汇水面积；</w:t>
      </w:r>
    </w:p>
    <w:p w14:paraId="1D32B4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Ψ—为径流系数（0.4-0.9，取0.7）；</w:t>
      </w:r>
    </w:p>
    <w:p w14:paraId="2316C5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T—为收水时间，</w:t>
      </w:r>
      <w:r>
        <w:rPr>
          <w:rFonts w:hint="default" w:ascii="Times New Roman" w:hAnsi="Times New Roman" w:eastAsia="宋体" w:cs="Times New Roman"/>
          <w:color w:val="auto"/>
          <w:sz w:val="24"/>
          <w:szCs w:val="21"/>
          <w:highlight w:val="none"/>
          <w:u w:val="none" w:color="auto"/>
          <w:lang w:eastAsia="zh-CN"/>
        </w:rPr>
        <w:t>本项目</w:t>
      </w:r>
      <w:r>
        <w:rPr>
          <w:rFonts w:hint="default" w:ascii="Times New Roman" w:hAnsi="Times New Roman" w:eastAsia="宋体" w:cs="Times New Roman"/>
          <w:color w:val="auto"/>
          <w:sz w:val="24"/>
          <w:szCs w:val="21"/>
          <w:highlight w:val="none"/>
          <w:u w:val="none" w:color="auto"/>
        </w:rPr>
        <w:t>取</w:t>
      </w:r>
      <w:r>
        <w:rPr>
          <w:rFonts w:hint="default" w:ascii="Times New Roman" w:hAnsi="Times New Roman" w:eastAsia="宋体" w:cs="Times New Roman"/>
          <w:color w:val="auto"/>
          <w:sz w:val="24"/>
          <w:szCs w:val="21"/>
          <w:highlight w:val="none"/>
          <w:u w:val="none" w:color="auto"/>
          <w:lang w:val="en-US" w:eastAsia="zh-CN"/>
        </w:rPr>
        <w:t>2</w:t>
      </w:r>
      <w:r>
        <w:rPr>
          <w:rFonts w:hint="default" w:ascii="Times New Roman" w:hAnsi="Times New Roman" w:eastAsia="宋体" w:cs="Times New Roman"/>
          <w:color w:val="auto"/>
          <w:sz w:val="24"/>
          <w:szCs w:val="21"/>
          <w:highlight w:val="none"/>
          <w:u w:val="none" w:color="auto"/>
        </w:rPr>
        <w:t>5min；</w:t>
      </w:r>
    </w:p>
    <w:p w14:paraId="4F606F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q—暴雨强度，地区</w:t>
      </w:r>
      <w:r>
        <w:rPr>
          <w:rFonts w:hint="default" w:ascii="Times New Roman" w:hAnsi="Times New Roman" w:eastAsia="宋体" w:cs="Times New Roman"/>
          <w:color w:val="auto"/>
          <w:sz w:val="24"/>
          <w:szCs w:val="21"/>
          <w:highlight w:val="none"/>
          <w:u w:val="none" w:color="auto"/>
          <w:lang w:val="en-US" w:eastAsia="zh-CN"/>
        </w:rPr>
        <w:t>3</w:t>
      </w:r>
      <w:r>
        <w:rPr>
          <w:rFonts w:hint="default" w:ascii="Times New Roman" w:hAnsi="Times New Roman" w:eastAsia="宋体" w:cs="Times New Roman"/>
          <w:color w:val="auto"/>
          <w:sz w:val="24"/>
          <w:szCs w:val="21"/>
          <w:highlight w:val="none"/>
          <w:u w:val="none" w:color="auto"/>
        </w:rPr>
        <w:t>年内重现期历时</w:t>
      </w:r>
      <w:r>
        <w:rPr>
          <w:rFonts w:hint="default" w:ascii="Times New Roman" w:hAnsi="Times New Roman" w:eastAsia="宋体" w:cs="Times New Roman"/>
          <w:color w:val="auto"/>
          <w:sz w:val="24"/>
          <w:szCs w:val="21"/>
          <w:highlight w:val="none"/>
          <w:u w:val="none" w:color="auto"/>
          <w:lang w:val="en-US" w:eastAsia="zh-CN"/>
        </w:rPr>
        <w:t>25</w:t>
      </w:r>
      <w:r>
        <w:rPr>
          <w:rFonts w:hint="default" w:ascii="Times New Roman" w:hAnsi="Times New Roman" w:eastAsia="宋体" w:cs="Times New Roman"/>
          <w:color w:val="auto"/>
          <w:sz w:val="24"/>
          <w:szCs w:val="21"/>
          <w:highlight w:val="none"/>
          <w:u w:val="none" w:color="auto"/>
        </w:rPr>
        <w:t>min的降雨强度为</w:t>
      </w:r>
      <w:r>
        <w:rPr>
          <w:rFonts w:hint="default" w:ascii="Times New Roman" w:hAnsi="Times New Roman" w:eastAsia="宋体" w:cs="Times New Roman"/>
          <w:color w:val="auto"/>
          <w:sz w:val="24"/>
          <w:szCs w:val="21"/>
          <w:highlight w:val="none"/>
          <w:u w:val="none" w:color="auto"/>
          <w:lang w:val="en-US" w:eastAsia="zh-CN"/>
        </w:rPr>
        <w:t>316.83</w:t>
      </w:r>
      <w:r>
        <w:rPr>
          <w:rFonts w:hint="default" w:ascii="Times New Roman" w:hAnsi="Times New Roman" w:eastAsia="宋体" w:cs="Times New Roman"/>
          <w:color w:val="auto"/>
          <w:sz w:val="24"/>
          <w:szCs w:val="21"/>
          <w:highlight w:val="none"/>
          <w:u w:val="none" w:color="auto"/>
        </w:rPr>
        <w:t>L/s•hm</w:t>
      </w:r>
      <w:r>
        <w:rPr>
          <w:rFonts w:hint="default" w:ascii="Times New Roman" w:hAnsi="Times New Roman" w:eastAsia="宋体" w:cs="Times New Roman"/>
          <w:color w:val="auto"/>
          <w:sz w:val="24"/>
          <w:szCs w:val="21"/>
          <w:highlight w:val="none"/>
          <w:u w:val="none" w:color="auto"/>
          <w:vertAlign w:val="superscript"/>
        </w:rPr>
        <w:t>2</w:t>
      </w:r>
      <w:r>
        <w:rPr>
          <w:rFonts w:hint="default" w:ascii="Times New Roman" w:hAnsi="Times New Roman" w:eastAsia="宋体" w:cs="Times New Roman"/>
          <w:color w:val="auto"/>
          <w:sz w:val="24"/>
          <w:szCs w:val="21"/>
          <w:highlight w:val="none"/>
          <w:u w:val="none" w:color="auto"/>
        </w:rPr>
        <w:t>；</w:t>
      </w:r>
    </w:p>
    <w:p w14:paraId="7A0150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本项目初期雨水汇水面积约</w:t>
      </w:r>
      <w:r>
        <w:rPr>
          <w:rFonts w:hint="default" w:ascii="Times New Roman" w:hAnsi="Times New Roman" w:eastAsia="宋体" w:cs="Times New Roman"/>
          <w:color w:val="auto"/>
          <w:sz w:val="24"/>
          <w:szCs w:val="21"/>
          <w:highlight w:val="none"/>
          <w:u w:val="single" w:color="auto"/>
          <w:lang w:val="en-US" w:eastAsia="zh-CN"/>
        </w:rPr>
        <w:t>0.9</w:t>
      </w:r>
      <w:r>
        <w:rPr>
          <w:rFonts w:hint="default" w:ascii="Times New Roman" w:hAnsi="Times New Roman" w:eastAsia="宋体" w:cs="Times New Roman"/>
          <w:color w:val="auto"/>
          <w:sz w:val="24"/>
          <w:szCs w:val="21"/>
          <w:highlight w:val="none"/>
          <w:u w:val="single" w:color="auto"/>
        </w:rPr>
        <w:t>hm</w:t>
      </w:r>
      <w:r>
        <w:rPr>
          <w:rFonts w:hint="default" w:ascii="Times New Roman" w:hAnsi="Times New Roman" w:eastAsia="宋体" w:cs="Times New Roman"/>
          <w:color w:val="auto"/>
          <w:sz w:val="24"/>
          <w:szCs w:val="21"/>
          <w:highlight w:val="none"/>
          <w:u w:val="single" w:color="auto"/>
          <w:vertAlign w:val="superscript"/>
        </w:rPr>
        <w:t>2</w:t>
      </w:r>
      <w:r>
        <w:rPr>
          <w:rFonts w:hint="default" w:ascii="Times New Roman" w:hAnsi="Times New Roman" w:eastAsia="宋体" w:cs="Times New Roman"/>
          <w:color w:val="auto"/>
          <w:sz w:val="24"/>
          <w:szCs w:val="21"/>
          <w:highlight w:val="none"/>
          <w:u w:val="single" w:color="auto"/>
        </w:rPr>
        <w:t>，经计算，本项目最大一次初期雨水量约为</w:t>
      </w:r>
      <w:r>
        <w:rPr>
          <w:rFonts w:hint="default" w:ascii="Times New Roman" w:hAnsi="Times New Roman" w:eastAsia="宋体" w:cs="Times New Roman"/>
          <w:color w:val="auto"/>
          <w:sz w:val="24"/>
          <w:szCs w:val="21"/>
          <w:highlight w:val="none"/>
          <w:u w:val="single" w:color="auto"/>
          <w:lang w:val="en-US" w:eastAsia="zh-CN"/>
        </w:rPr>
        <w:t>285.15</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。本项目规划在北侧地势较低处建设1个</w:t>
      </w:r>
      <w:r>
        <w:rPr>
          <w:rFonts w:hint="default" w:ascii="Times New Roman" w:hAnsi="Times New Roman" w:eastAsia="宋体" w:cs="Times New Roman"/>
          <w:color w:val="auto"/>
          <w:sz w:val="24"/>
          <w:szCs w:val="21"/>
          <w:highlight w:val="none"/>
          <w:u w:val="single" w:color="auto"/>
          <w:lang w:val="en-US" w:eastAsia="zh-CN"/>
        </w:rPr>
        <w:t>290</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的初期雨水池，能够满足本项目初期雨水的收集要求。</w:t>
      </w:r>
    </w:p>
    <w:p w14:paraId="7CC44E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auto"/>
          <w:sz w:val="24"/>
          <w:szCs w:val="21"/>
          <w:highlight w:val="none"/>
          <w:u w:val="none" w:color="auto"/>
        </w:rPr>
        <w:t>项目产生的初期雨水经初期雨水收集池收集后泵至厂区废水处理站处理，处理达标后</w:t>
      </w:r>
      <w:r>
        <w:rPr>
          <w:rFonts w:hint="default" w:ascii="Times New Roman" w:hAnsi="Times New Roman" w:eastAsia="宋体" w:cs="Times New Roman"/>
          <w:color w:val="auto"/>
          <w:sz w:val="24"/>
          <w:szCs w:val="21"/>
          <w:highlight w:val="none"/>
          <w:u w:val="none" w:color="auto"/>
          <w:lang w:eastAsia="zh-CN"/>
        </w:rPr>
        <w:t>回用于生产</w:t>
      </w:r>
      <w:r>
        <w:rPr>
          <w:rFonts w:hint="default" w:ascii="Times New Roman" w:hAnsi="Times New Roman" w:eastAsia="宋体" w:cs="Times New Roman"/>
          <w:color w:val="auto"/>
          <w:sz w:val="24"/>
          <w:szCs w:val="21"/>
          <w:highlight w:val="none"/>
          <w:u w:val="none" w:color="auto"/>
        </w:rPr>
        <w:t>。</w:t>
      </w:r>
    </w:p>
    <w:p w14:paraId="761F8A12">
      <w:pPr>
        <w:pStyle w:val="5"/>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4.2.2.5 本项目生产工艺用排水分析</w:t>
      </w:r>
    </w:p>
    <w:p w14:paraId="2AB44DEF">
      <w:pPr>
        <w:ind w:firstLine="480" w:firstLineChars="200"/>
        <w:jc w:val="both"/>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本项目生产工艺用排水分析详见下表：</w:t>
      </w:r>
    </w:p>
    <w:p w14:paraId="7A82D499">
      <w:pPr>
        <w:jc w:val="center"/>
        <w:rPr>
          <w:rFonts w:hint="default" w:ascii="Times New Roman" w:hAnsi="Times New Roman" w:eastAsia="宋体" w:cs="Times New Roman"/>
          <w:b/>
          <w:color w:val="auto"/>
          <w:kern w:val="0"/>
          <w:sz w:val="21"/>
          <w:szCs w:val="21"/>
          <w:highlight w:val="none"/>
          <w:u w:val="single" w:color="auto"/>
          <w:lang w:val="en-US" w:eastAsia="zh-CN" w:bidi="ar-SA"/>
        </w:rPr>
      </w:pPr>
      <w:r>
        <w:rPr>
          <w:rFonts w:hint="default" w:ascii="Times New Roman" w:hAnsi="Times New Roman" w:eastAsia="宋体" w:cs="Times New Roman"/>
          <w:b/>
          <w:color w:val="auto"/>
          <w:kern w:val="0"/>
          <w:sz w:val="21"/>
          <w:szCs w:val="21"/>
          <w:highlight w:val="none"/>
          <w:u w:val="single" w:color="auto"/>
          <w:lang w:val="en-US" w:eastAsia="zh-CN" w:bidi="ar-SA"/>
        </w:rPr>
        <w:t>表4.2-11本项目生产工艺用排水一览表</w:t>
      </w:r>
    </w:p>
    <w:p w14:paraId="23D7A0E4">
      <w:pPr>
        <w:pStyle w:val="10"/>
        <w:rPr>
          <w:rFonts w:hint="default" w:ascii="Times New Roman" w:hAnsi="Times New Roman" w:cs="Times New Roman"/>
          <w:color w:val="auto"/>
        </w:rPr>
      </w:pPr>
    </w:p>
    <w:tbl>
      <w:tblPr>
        <w:tblStyle w:val="22"/>
        <w:tblW w:w="470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832"/>
        <w:gridCol w:w="68"/>
        <w:gridCol w:w="750"/>
        <w:gridCol w:w="817"/>
        <w:gridCol w:w="20"/>
        <w:gridCol w:w="910"/>
        <w:gridCol w:w="955"/>
        <w:gridCol w:w="1133"/>
        <w:gridCol w:w="1067"/>
        <w:gridCol w:w="1083"/>
        <w:gridCol w:w="1017"/>
        <w:gridCol w:w="1266"/>
        <w:gridCol w:w="1157"/>
        <w:gridCol w:w="945"/>
      </w:tblGrid>
      <w:tr w14:paraId="4A2BE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78" w:hRule="atLeast"/>
          <w:jc w:val="center"/>
        </w:trPr>
        <w:tc>
          <w:tcPr>
            <w:tcW w:w="493" w:type="pct"/>
            <w:vMerge w:val="restart"/>
            <w:vAlign w:val="center"/>
          </w:tcPr>
          <w:p w14:paraId="6B442FA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用水工序及废水类别</w:t>
            </w:r>
          </w:p>
        </w:tc>
        <w:tc>
          <w:tcPr>
            <w:tcW w:w="1273" w:type="pct"/>
            <w:gridSpan w:val="6"/>
            <w:tcBorders>
              <w:right w:val="single" w:color="auto" w:sz="4" w:space="0"/>
            </w:tcBorders>
            <w:vAlign w:val="center"/>
          </w:tcPr>
          <w:p w14:paraId="548B79E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用水量（m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p>
        </w:tc>
        <w:tc>
          <w:tcPr>
            <w:tcW w:w="358" w:type="pct"/>
            <w:vMerge w:val="restart"/>
            <w:vAlign w:val="center"/>
          </w:tcPr>
          <w:p w14:paraId="1C7851C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水洗</w:t>
            </w:r>
            <w:r>
              <w:rPr>
                <w:rFonts w:hint="default" w:ascii="Times New Roman" w:hAnsi="Times New Roman" w:eastAsia="宋体" w:cs="Times New Roman"/>
                <w:color w:val="auto"/>
                <w:sz w:val="21"/>
                <w:szCs w:val="21"/>
                <w:highlight w:val="none"/>
                <w:u w:val="single" w:color="auto"/>
              </w:rPr>
              <w:t>损耗（m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p>
        </w:tc>
        <w:tc>
          <w:tcPr>
            <w:tcW w:w="424" w:type="pct"/>
            <w:vMerge w:val="restart"/>
            <w:vAlign w:val="center"/>
          </w:tcPr>
          <w:p w14:paraId="5F77428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镀槽</w:t>
            </w:r>
          </w:p>
          <w:p w14:paraId="5EF1CBD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损耗</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p>
        </w:tc>
        <w:tc>
          <w:tcPr>
            <w:tcW w:w="1187" w:type="pct"/>
            <w:gridSpan w:val="3"/>
            <w:vAlign w:val="center"/>
          </w:tcPr>
          <w:p w14:paraId="44A9EEAB">
            <w:pPr>
              <w:widowControl/>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废水产生量（m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p>
        </w:tc>
        <w:tc>
          <w:tcPr>
            <w:tcW w:w="474" w:type="pct"/>
            <w:vMerge w:val="restart"/>
            <w:tcBorders>
              <w:right w:val="single" w:color="auto" w:sz="4" w:space="0"/>
            </w:tcBorders>
            <w:vAlign w:val="center"/>
          </w:tcPr>
          <w:p w14:paraId="46E19AC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废水蒸发损耗</w:t>
            </w:r>
            <w:r>
              <w:rPr>
                <w:rFonts w:hint="default" w:ascii="Times New Roman" w:hAnsi="Times New Roman" w:eastAsia="宋体" w:cs="Times New Roman"/>
                <w:color w:val="auto"/>
                <w:sz w:val="21"/>
                <w:szCs w:val="21"/>
                <w:highlight w:val="none"/>
                <w:u w:val="single" w:color="auto"/>
                <w:lang w:val="en-US" w:eastAsia="zh-CN"/>
              </w:rPr>
              <w:t>/固废带走量</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p>
        </w:tc>
        <w:tc>
          <w:tcPr>
            <w:tcW w:w="433" w:type="pct"/>
            <w:vMerge w:val="restart"/>
            <w:tcBorders>
              <w:left w:val="single" w:color="auto" w:sz="4" w:space="0"/>
            </w:tcBorders>
            <w:vAlign w:val="center"/>
          </w:tcPr>
          <w:p w14:paraId="3CB5D67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废水</w:t>
            </w:r>
            <w:r>
              <w:rPr>
                <w:rFonts w:hint="default" w:ascii="Times New Roman" w:hAnsi="Times New Roman" w:eastAsia="宋体" w:cs="Times New Roman"/>
                <w:color w:val="auto"/>
                <w:sz w:val="21"/>
                <w:szCs w:val="21"/>
                <w:highlight w:val="none"/>
                <w:u w:val="single" w:color="auto"/>
              </w:rPr>
              <w:t>回用量（m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p>
        </w:tc>
        <w:tc>
          <w:tcPr>
            <w:tcW w:w="354" w:type="pct"/>
            <w:vMerge w:val="restart"/>
            <w:vAlign w:val="center"/>
          </w:tcPr>
          <w:p w14:paraId="3DB06EA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废水排放量（m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p>
        </w:tc>
      </w:tr>
      <w:tr w14:paraId="253A7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493" w:type="pct"/>
            <w:vMerge w:val="continue"/>
            <w:vAlign w:val="center"/>
          </w:tcPr>
          <w:p w14:paraId="0A4DB03A">
            <w:pPr>
              <w:spacing w:line="240" w:lineRule="auto"/>
              <w:jc w:val="center"/>
              <w:rPr>
                <w:rFonts w:hint="default" w:ascii="Times New Roman" w:hAnsi="Times New Roman" w:eastAsia="宋体" w:cs="Times New Roman"/>
                <w:color w:val="auto"/>
                <w:sz w:val="21"/>
                <w:szCs w:val="21"/>
                <w:highlight w:val="none"/>
                <w:u w:val="single" w:color="auto"/>
              </w:rPr>
            </w:pPr>
          </w:p>
        </w:tc>
        <w:tc>
          <w:tcPr>
            <w:tcW w:w="337" w:type="pct"/>
            <w:gridSpan w:val="2"/>
            <w:vMerge w:val="restart"/>
            <w:tcBorders>
              <w:right w:val="single" w:color="auto" w:sz="4" w:space="0"/>
            </w:tcBorders>
            <w:vAlign w:val="center"/>
          </w:tcPr>
          <w:p w14:paraId="28EC769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纯水</w:t>
            </w:r>
          </w:p>
        </w:tc>
        <w:tc>
          <w:tcPr>
            <w:tcW w:w="281" w:type="pct"/>
            <w:vMerge w:val="restart"/>
            <w:tcBorders>
              <w:left w:val="single" w:color="auto" w:sz="4" w:space="0"/>
              <w:right w:val="single" w:color="auto" w:sz="4" w:space="0"/>
            </w:tcBorders>
            <w:vAlign w:val="center"/>
          </w:tcPr>
          <w:p w14:paraId="739E5DE5">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浓水</w:t>
            </w:r>
          </w:p>
        </w:tc>
        <w:tc>
          <w:tcPr>
            <w:tcW w:w="655" w:type="pct"/>
            <w:gridSpan w:val="3"/>
            <w:tcBorders>
              <w:left w:val="single" w:color="auto" w:sz="4" w:space="0"/>
              <w:bottom w:val="single" w:color="auto" w:sz="4" w:space="0"/>
            </w:tcBorders>
            <w:vAlign w:val="center"/>
          </w:tcPr>
          <w:p w14:paraId="3650717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回用水量</w:t>
            </w:r>
          </w:p>
        </w:tc>
        <w:tc>
          <w:tcPr>
            <w:tcW w:w="358" w:type="pct"/>
            <w:vMerge w:val="continue"/>
            <w:vAlign w:val="center"/>
          </w:tcPr>
          <w:p w14:paraId="006E1AF6">
            <w:pPr>
              <w:spacing w:line="240" w:lineRule="auto"/>
              <w:jc w:val="center"/>
              <w:rPr>
                <w:rFonts w:hint="default" w:ascii="Times New Roman" w:hAnsi="Times New Roman" w:eastAsia="宋体" w:cs="Times New Roman"/>
                <w:color w:val="auto"/>
                <w:sz w:val="21"/>
                <w:szCs w:val="21"/>
                <w:highlight w:val="none"/>
                <w:u w:val="single" w:color="auto"/>
              </w:rPr>
            </w:pPr>
          </w:p>
        </w:tc>
        <w:tc>
          <w:tcPr>
            <w:tcW w:w="424" w:type="pct"/>
            <w:vMerge w:val="continue"/>
            <w:vAlign w:val="center"/>
          </w:tcPr>
          <w:p w14:paraId="1BB00869">
            <w:pPr>
              <w:spacing w:line="240" w:lineRule="auto"/>
              <w:jc w:val="center"/>
              <w:rPr>
                <w:rFonts w:hint="default" w:ascii="Times New Roman" w:hAnsi="Times New Roman" w:eastAsia="宋体" w:cs="Times New Roman"/>
                <w:color w:val="auto"/>
                <w:sz w:val="21"/>
                <w:szCs w:val="21"/>
                <w:highlight w:val="none"/>
                <w:u w:val="single" w:color="auto"/>
              </w:rPr>
            </w:pPr>
          </w:p>
        </w:tc>
        <w:tc>
          <w:tcPr>
            <w:tcW w:w="400" w:type="pct"/>
            <w:vMerge w:val="restart"/>
            <w:vAlign w:val="center"/>
          </w:tcPr>
          <w:p w14:paraId="71C7D65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产生量</w:t>
            </w:r>
          </w:p>
        </w:tc>
        <w:tc>
          <w:tcPr>
            <w:tcW w:w="406" w:type="pct"/>
            <w:vMerge w:val="restart"/>
            <w:vAlign w:val="center"/>
          </w:tcPr>
          <w:p w14:paraId="5508B08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在线</w:t>
            </w:r>
          </w:p>
          <w:p w14:paraId="19BC8EF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回用量</w:t>
            </w:r>
          </w:p>
        </w:tc>
        <w:tc>
          <w:tcPr>
            <w:tcW w:w="381" w:type="pct"/>
            <w:vMerge w:val="restart"/>
            <w:vAlign w:val="center"/>
          </w:tcPr>
          <w:p w14:paraId="0EE4BBA7">
            <w:pPr>
              <w:widowControl/>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废水</w:t>
            </w:r>
          </w:p>
          <w:p w14:paraId="589B0A3B">
            <w:pPr>
              <w:widowControl/>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处理量</w:t>
            </w:r>
          </w:p>
        </w:tc>
        <w:tc>
          <w:tcPr>
            <w:tcW w:w="474" w:type="pct"/>
            <w:vMerge w:val="continue"/>
            <w:tcBorders>
              <w:bottom w:val="single" w:color="auto" w:sz="4" w:space="0"/>
              <w:right w:val="single" w:color="auto" w:sz="4" w:space="0"/>
            </w:tcBorders>
            <w:vAlign w:val="center"/>
          </w:tcPr>
          <w:p w14:paraId="0AA8FCFA">
            <w:pPr>
              <w:spacing w:line="240" w:lineRule="auto"/>
              <w:jc w:val="center"/>
              <w:rPr>
                <w:rFonts w:hint="default" w:ascii="Times New Roman" w:hAnsi="Times New Roman" w:eastAsia="宋体" w:cs="Times New Roman"/>
                <w:color w:val="auto"/>
                <w:sz w:val="21"/>
                <w:szCs w:val="21"/>
                <w:highlight w:val="none"/>
                <w:u w:val="single" w:color="auto"/>
              </w:rPr>
            </w:pPr>
          </w:p>
        </w:tc>
        <w:tc>
          <w:tcPr>
            <w:tcW w:w="433" w:type="pct"/>
            <w:vMerge w:val="continue"/>
            <w:tcBorders>
              <w:left w:val="single" w:color="auto" w:sz="4" w:space="0"/>
              <w:bottom w:val="single" w:color="auto" w:sz="4" w:space="0"/>
            </w:tcBorders>
            <w:vAlign w:val="center"/>
          </w:tcPr>
          <w:p w14:paraId="615C51B3">
            <w:pPr>
              <w:spacing w:line="240" w:lineRule="auto"/>
              <w:jc w:val="center"/>
              <w:rPr>
                <w:rFonts w:hint="default" w:ascii="Times New Roman" w:hAnsi="Times New Roman" w:eastAsia="宋体" w:cs="Times New Roman"/>
                <w:color w:val="auto"/>
                <w:sz w:val="21"/>
                <w:szCs w:val="21"/>
                <w:highlight w:val="none"/>
                <w:u w:val="single" w:color="auto"/>
              </w:rPr>
            </w:pPr>
          </w:p>
        </w:tc>
        <w:tc>
          <w:tcPr>
            <w:tcW w:w="354" w:type="pct"/>
            <w:vMerge w:val="continue"/>
            <w:vAlign w:val="center"/>
          </w:tcPr>
          <w:p w14:paraId="07E86034">
            <w:pPr>
              <w:spacing w:line="240" w:lineRule="auto"/>
              <w:jc w:val="center"/>
              <w:rPr>
                <w:rFonts w:hint="default" w:ascii="Times New Roman" w:hAnsi="Times New Roman" w:eastAsia="宋体" w:cs="Times New Roman"/>
                <w:color w:val="auto"/>
                <w:sz w:val="21"/>
                <w:szCs w:val="21"/>
                <w:highlight w:val="none"/>
                <w:u w:val="single" w:color="auto"/>
              </w:rPr>
            </w:pPr>
          </w:p>
        </w:tc>
      </w:tr>
      <w:tr w14:paraId="19D02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493" w:type="pct"/>
            <w:vMerge w:val="continue"/>
            <w:vAlign w:val="center"/>
          </w:tcPr>
          <w:p w14:paraId="1355B764">
            <w:pPr>
              <w:spacing w:line="240" w:lineRule="auto"/>
              <w:jc w:val="center"/>
              <w:rPr>
                <w:rFonts w:hint="default" w:ascii="Times New Roman" w:hAnsi="Times New Roman" w:eastAsia="宋体" w:cs="Times New Roman"/>
                <w:color w:val="auto"/>
                <w:sz w:val="21"/>
                <w:szCs w:val="21"/>
                <w:highlight w:val="none"/>
                <w:u w:val="single" w:color="auto"/>
              </w:rPr>
            </w:pPr>
            <w:bookmarkStart w:id="34" w:name="_Hlk84839731"/>
            <w:bookmarkStart w:id="35" w:name="_Hlk84148830"/>
          </w:p>
        </w:tc>
        <w:tc>
          <w:tcPr>
            <w:tcW w:w="337" w:type="pct"/>
            <w:gridSpan w:val="2"/>
            <w:vMerge w:val="continue"/>
            <w:tcBorders>
              <w:bottom w:val="single" w:color="auto" w:sz="4" w:space="0"/>
              <w:right w:val="single" w:color="auto" w:sz="4" w:space="0"/>
            </w:tcBorders>
            <w:vAlign w:val="center"/>
          </w:tcPr>
          <w:p w14:paraId="44615FC7">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281" w:type="pct"/>
            <w:vMerge w:val="continue"/>
            <w:tcBorders>
              <w:left w:val="single" w:color="auto" w:sz="4" w:space="0"/>
              <w:bottom w:val="single" w:color="auto" w:sz="4" w:space="0"/>
              <w:right w:val="single" w:color="auto" w:sz="4" w:space="0"/>
            </w:tcBorders>
            <w:vAlign w:val="center"/>
          </w:tcPr>
          <w:p w14:paraId="378D5EFD">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306" w:type="pct"/>
            <w:tcBorders>
              <w:top w:val="single" w:color="auto" w:sz="4" w:space="0"/>
              <w:right w:val="single" w:color="auto" w:sz="4" w:space="0"/>
            </w:tcBorders>
            <w:vAlign w:val="center"/>
          </w:tcPr>
          <w:p w14:paraId="0B2BA09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蒸</w:t>
            </w:r>
            <w:r>
              <w:rPr>
                <w:rFonts w:hint="eastAsia" w:ascii="Times New Roman" w:hAnsi="Times New Roman" w:eastAsia="宋体" w:cs="Times New Roman"/>
                <w:color w:val="auto"/>
                <w:sz w:val="21"/>
                <w:szCs w:val="21"/>
                <w:highlight w:val="none"/>
                <w:u w:val="single" w:color="auto"/>
                <w:lang w:eastAsia="zh-CN"/>
              </w:rPr>
              <w:t>发冷凝</w:t>
            </w:r>
            <w:r>
              <w:rPr>
                <w:rFonts w:hint="default" w:ascii="Times New Roman" w:hAnsi="Times New Roman" w:eastAsia="宋体" w:cs="Times New Roman"/>
                <w:color w:val="auto"/>
                <w:sz w:val="21"/>
                <w:szCs w:val="21"/>
                <w:highlight w:val="none"/>
                <w:u w:val="single" w:color="auto"/>
                <w:lang w:eastAsia="zh-CN"/>
              </w:rPr>
              <w:t>水</w:t>
            </w:r>
          </w:p>
        </w:tc>
        <w:tc>
          <w:tcPr>
            <w:tcW w:w="348" w:type="pct"/>
            <w:gridSpan w:val="2"/>
            <w:tcBorders>
              <w:top w:val="single" w:color="auto" w:sz="4" w:space="0"/>
              <w:left w:val="single" w:color="auto" w:sz="4" w:space="0"/>
            </w:tcBorders>
            <w:vAlign w:val="center"/>
          </w:tcPr>
          <w:p w14:paraId="18AC85C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蒸</w:t>
            </w:r>
            <w:r>
              <w:rPr>
                <w:rFonts w:hint="eastAsia" w:ascii="Times New Roman" w:hAnsi="Times New Roman" w:eastAsia="宋体" w:cs="Times New Roman"/>
                <w:color w:val="auto"/>
                <w:sz w:val="21"/>
                <w:szCs w:val="21"/>
                <w:highlight w:val="none"/>
                <w:u w:val="single" w:color="auto"/>
                <w:lang w:val="en-US" w:eastAsia="zh-CN"/>
              </w:rPr>
              <w:t>发</w:t>
            </w:r>
            <w:r>
              <w:rPr>
                <w:rFonts w:hint="default" w:ascii="Times New Roman" w:hAnsi="Times New Roman" w:eastAsia="宋体" w:cs="Times New Roman"/>
                <w:color w:val="auto"/>
                <w:sz w:val="21"/>
                <w:szCs w:val="21"/>
                <w:highlight w:val="none"/>
                <w:u w:val="single" w:color="auto"/>
                <w:lang w:val="en-US" w:eastAsia="zh-CN"/>
              </w:rPr>
              <w:t>处理前水</w:t>
            </w:r>
          </w:p>
        </w:tc>
        <w:tc>
          <w:tcPr>
            <w:tcW w:w="358" w:type="pct"/>
            <w:vMerge w:val="continue"/>
            <w:vAlign w:val="center"/>
          </w:tcPr>
          <w:p w14:paraId="2C86AAA9">
            <w:pPr>
              <w:spacing w:line="240" w:lineRule="auto"/>
              <w:jc w:val="center"/>
              <w:rPr>
                <w:rFonts w:hint="default" w:ascii="Times New Roman" w:hAnsi="Times New Roman" w:eastAsia="宋体" w:cs="Times New Roman"/>
                <w:color w:val="auto"/>
                <w:sz w:val="21"/>
                <w:szCs w:val="21"/>
                <w:highlight w:val="none"/>
                <w:u w:val="single" w:color="auto"/>
              </w:rPr>
            </w:pPr>
          </w:p>
        </w:tc>
        <w:tc>
          <w:tcPr>
            <w:tcW w:w="424" w:type="pct"/>
            <w:vMerge w:val="continue"/>
            <w:vAlign w:val="center"/>
          </w:tcPr>
          <w:p w14:paraId="31656986">
            <w:pPr>
              <w:spacing w:line="240" w:lineRule="auto"/>
              <w:jc w:val="center"/>
              <w:rPr>
                <w:rFonts w:hint="default" w:ascii="Times New Roman" w:hAnsi="Times New Roman" w:eastAsia="宋体" w:cs="Times New Roman"/>
                <w:color w:val="auto"/>
                <w:sz w:val="21"/>
                <w:szCs w:val="21"/>
                <w:highlight w:val="none"/>
                <w:u w:val="single" w:color="auto"/>
              </w:rPr>
            </w:pPr>
          </w:p>
        </w:tc>
        <w:tc>
          <w:tcPr>
            <w:tcW w:w="400" w:type="pct"/>
            <w:vMerge w:val="continue"/>
            <w:vAlign w:val="center"/>
          </w:tcPr>
          <w:p w14:paraId="12F427E4">
            <w:pPr>
              <w:spacing w:line="240" w:lineRule="auto"/>
              <w:jc w:val="center"/>
              <w:rPr>
                <w:rFonts w:hint="default" w:ascii="Times New Roman" w:hAnsi="Times New Roman" w:eastAsia="宋体" w:cs="Times New Roman"/>
                <w:color w:val="auto"/>
                <w:sz w:val="21"/>
                <w:szCs w:val="21"/>
                <w:highlight w:val="none"/>
                <w:u w:val="single" w:color="auto"/>
              </w:rPr>
            </w:pPr>
          </w:p>
        </w:tc>
        <w:tc>
          <w:tcPr>
            <w:tcW w:w="406" w:type="pct"/>
            <w:vMerge w:val="continue"/>
            <w:vAlign w:val="center"/>
          </w:tcPr>
          <w:p w14:paraId="5976D123">
            <w:pPr>
              <w:spacing w:line="240" w:lineRule="auto"/>
              <w:jc w:val="center"/>
              <w:rPr>
                <w:rFonts w:hint="default" w:ascii="Times New Roman" w:hAnsi="Times New Roman" w:eastAsia="宋体" w:cs="Times New Roman"/>
                <w:color w:val="auto"/>
                <w:sz w:val="21"/>
                <w:szCs w:val="21"/>
                <w:highlight w:val="none"/>
                <w:u w:val="single" w:color="auto"/>
              </w:rPr>
            </w:pPr>
          </w:p>
        </w:tc>
        <w:tc>
          <w:tcPr>
            <w:tcW w:w="381" w:type="pct"/>
            <w:vMerge w:val="continue"/>
            <w:vAlign w:val="center"/>
          </w:tcPr>
          <w:p w14:paraId="396CDBFA">
            <w:pPr>
              <w:widowControl/>
              <w:spacing w:line="240" w:lineRule="auto"/>
              <w:jc w:val="center"/>
              <w:rPr>
                <w:rFonts w:hint="default" w:ascii="Times New Roman" w:hAnsi="Times New Roman" w:eastAsia="宋体" w:cs="Times New Roman"/>
                <w:color w:val="auto"/>
                <w:sz w:val="21"/>
                <w:szCs w:val="21"/>
                <w:highlight w:val="none"/>
                <w:u w:val="single" w:color="auto"/>
              </w:rPr>
            </w:pPr>
          </w:p>
        </w:tc>
        <w:tc>
          <w:tcPr>
            <w:tcW w:w="474" w:type="pct"/>
            <w:vMerge w:val="continue"/>
            <w:tcBorders>
              <w:bottom w:val="single" w:color="auto" w:sz="4" w:space="0"/>
              <w:right w:val="single" w:color="auto" w:sz="4" w:space="0"/>
            </w:tcBorders>
            <w:vAlign w:val="center"/>
          </w:tcPr>
          <w:p w14:paraId="24E7153B">
            <w:pPr>
              <w:spacing w:line="240" w:lineRule="auto"/>
              <w:jc w:val="center"/>
              <w:rPr>
                <w:rFonts w:hint="default" w:ascii="Times New Roman" w:hAnsi="Times New Roman" w:eastAsia="宋体" w:cs="Times New Roman"/>
                <w:color w:val="auto"/>
                <w:sz w:val="21"/>
                <w:szCs w:val="21"/>
                <w:highlight w:val="none"/>
                <w:u w:val="single" w:color="auto"/>
              </w:rPr>
            </w:pPr>
          </w:p>
        </w:tc>
        <w:tc>
          <w:tcPr>
            <w:tcW w:w="433" w:type="pct"/>
            <w:vMerge w:val="continue"/>
            <w:tcBorders>
              <w:left w:val="single" w:color="auto" w:sz="4" w:space="0"/>
              <w:bottom w:val="single" w:color="auto" w:sz="4" w:space="0"/>
            </w:tcBorders>
            <w:vAlign w:val="center"/>
          </w:tcPr>
          <w:p w14:paraId="34F665E9">
            <w:pPr>
              <w:spacing w:line="240" w:lineRule="auto"/>
              <w:jc w:val="center"/>
              <w:rPr>
                <w:rFonts w:hint="default" w:ascii="Times New Roman" w:hAnsi="Times New Roman" w:eastAsia="宋体" w:cs="Times New Roman"/>
                <w:color w:val="auto"/>
                <w:sz w:val="21"/>
                <w:szCs w:val="21"/>
                <w:highlight w:val="none"/>
                <w:u w:val="single" w:color="auto"/>
              </w:rPr>
            </w:pPr>
          </w:p>
        </w:tc>
        <w:tc>
          <w:tcPr>
            <w:tcW w:w="354" w:type="pct"/>
            <w:vMerge w:val="continue"/>
            <w:vAlign w:val="center"/>
          </w:tcPr>
          <w:p w14:paraId="4DE7BA6B">
            <w:pPr>
              <w:spacing w:line="240" w:lineRule="auto"/>
              <w:jc w:val="center"/>
              <w:rPr>
                <w:rFonts w:hint="default" w:ascii="Times New Roman" w:hAnsi="Times New Roman" w:eastAsia="宋体" w:cs="Times New Roman"/>
                <w:color w:val="auto"/>
                <w:sz w:val="21"/>
                <w:szCs w:val="21"/>
                <w:highlight w:val="none"/>
                <w:u w:val="single" w:color="auto"/>
              </w:rPr>
            </w:pPr>
          </w:p>
        </w:tc>
      </w:tr>
      <w:tr w14:paraId="7E3B1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493" w:type="pct"/>
            <w:vAlign w:val="center"/>
          </w:tcPr>
          <w:p w14:paraId="62C157E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除油（含油废水）</w:t>
            </w:r>
          </w:p>
        </w:tc>
        <w:tc>
          <w:tcPr>
            <w:tcW w:w="337" w:type="pct"/>
            <w:gridSpan w:val="2"/>
            <w:tcBorders>
              <w:top w:val="single" w:color="auto" w:sz="4" w:space="0"/>
              <w:right w:val="single" w:color="auto" w:sz="4" w:space="0"/>
            </w:tcBorders>
            <w:vAlign w:val="center"/>
          </w:tcPr>
          <w:p w14:paraId="7D532FB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lang w:val="en-US" w:eastAsia="zh-CN" w:bidi="ar"/>
              </w:rPr>
              <w:t xml:space="preserve">3.105 </w:t>
            </w:r>
          </w:p>
        </w:tc>
        <w:tc>
          <w:tcPr>
            <w:tcW w:w="281" w:type="pct"/>
            <w:tcBorders>
              <w:top w:val="single" w:color="auto" w:sz="4" w:space="0"/>
              <w:left w:val="single" w:color="auto" w:sz="4" w:space="0"/>
            </w:tcBorders>
            <w:vAlign w:val="center"/>
          </w:tcPr>
          <w:p w14:paraId="193091A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lang w:val="en-US" w:eastAsia="zh-CN" w:bidi="ar"/>
              </w:rPr>
              <w:t xml:space="preserve">2.108 </w:t>
            </w:r>
          </w:p>
        </w:tc>
        <w:tc>
          <w:tcPr>
            <w:tcW w:w="306" w:type="pct"/>
            <w:tcBorders>
              <w:right w:val="single" w:color="auto" w:sz="4" w:space="0"/>
            </w:tcBorders>
            <w:vAlign w:val="center"/>
          </w:tcPr>
          <w:p w14:paraId="02AA0F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lang w:val="en-US" w:eastAsia="zh-CN" w:bidi="ar"/>
              </w:rPr>
              <w:t xml:space="preserve">2.742 </w:t>
            </w:r>
          </w:p>
        </w:tc>
        <w:tc>
          <w:tcPr>
            <w:tcW w:w="348" w:type="pct"/>
            <w:gridSpan w:val="2"/>
            <w:tcBorders>
              <w:left w:val="single" w:color="auto" w:sz="4" w:space="0"/>
            </w:tcBorders>
            <w:vAlign w:val="center"/>
          </w:tcPr>
          <w:p w14:paraId="5E3CA75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lang w:val="en-US" w:eastAsia="zh-CN" w:bidi="ar"/>
              </w:rPr>
              <w:t xml:space="preserve">0.781 </w:t>
            </w:r>
          </w:p>
        </w:tc>
        <w:tc>
          <w:tcPr>
            <w:tcW w:w="358" w:type="pct"/>
            <w:vAlign w:val="center"/>
          </w:tcPr>
          <w:p w14:paraId="091FB2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lang w:val="en-US" w:eastAsia="zh-CN" w:bidi="ar"/>
              </w:rPr>
              <w:t xml:space="preserve">0.994 </w:t>
            </w:r>
          </w:p>
        </w:tc>
        <w:tc>
          <w:tcPr>
            <w:tcW w:w="424" w:type="pct"/>
            <w:vAlign w:val="center"/>
          </w:tcPr>
          <w:p w14:paraId="479984D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lang w:val="en-US" w:eastAsia="zh-CN" w:bidi="ar"/>
              </w:rPr>
              <w:t xml:space="preserve">2.108 </w:t>
            </w:r>
          </w:p>
        </w:tc>
        <w:tc>
          <w:tcPr>
            <w:tcW w:w="400" w:type="pct"/>
            <w:vAlign w:val="center"/>
          </w:tcPr>
          <w:p w14:paraId="48E4837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5.777</w:t>
            </w:r>
          </w:p>
        </w:tc>
        <w:tc>
          <w:tcPr>
            <w:tcW w:w="406" w:type="pct"/>
            <w:vAlign w:val="center"/>
          </w:tcPr>
          <w:p w14:paraId="7F9DF2A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i w:val="0"/>
                <w:iCs w:val="0"/>
                <w:color w:val="auto"/>
                <w:kern w:val="0"/>
                <w:sz w:val="21"/>
                <w:szCs w:val="21"/>
                <w:u w:val="single" w:color="auto"/>
                <w:lang w:val="en-US" w:eastAsia="zh-CN" w:bidi="ar"/>
              </w:rPr>
              <w:t>0</w:t>
            </w:r>
          </w:p>
        </w:tc>
        <w:tc>
          <w:tcPr>
            <w:tcW w:w="381" w:type="pct"/>
            <w:vAlign w:val="center"/>
          </w:tcPr>
          <w:p w14:paraId="012266E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5.777</w:t>
            </w:r>
          </w:p>
        </w:tc>
        <w:tc>
          <w:tcPr>
            <w:tcW w:w="474" w:type="pct"/>
            <w:vMerge w:val="restart"/>
            <w:tcBorders>
              <w:top w:val="single" w:color="auto" w:sz="4" w:space="0"/>
              <w:right w:val="single" w:color="auto" w:sz="4" w:space="0"/>
            </w:tcBorders>
            <w:vAlign w:val="center"/>
          </w:tcPr>
          <w:p w14:paraId="1267921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3.273</w:t>
            </w:r>
          </w:p>
        </w:tc>
        <w:tc>
          <w:tcPr>
            <w:tcW w:w="433" w:type="pct"/>
            <w:vMerge w:val="restart"/>
            <w:tcBorders>
              <w:top w:val="single" w:color="auto" w:sz="4" w:space="0"/>
              <w:left w:val="single" w:color="auto" w:sz="4" w:space="0"/>
            </w:tcBorders>
            <w:vAlign w:val="center"/>
          </w:tcPr>
          <w:p w14:paraId="15729F3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29.217</w:t>
            </w:r>
          </w:p>
        </w:tc>
        <w:tc>
          <w:tcPr>
            <w:tcW w:w="354" w:type="pct"/>
            <w:vAlign w:val="center"/>
          </w:tcPr>
          <w:p w14:paraId="6ECFA7F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w:t>
            </w:r>
          </w:p>
        </w:tc>
      </w:tr>
      <w:tr w14:paraId="15E0BF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493" w:type="pct"/>
            <w:vAlign w:val="center"/>
          </w:tcPr>
          <w:p w14:paraId="58E065E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活化、出光等（酸碱废水）</w:t>
            </w:r>
          </w:p>
        </w:tc>
        <w:tc>
          <w:tcPr>
            <w:tcW w:w="337" w:type="pct"/>
            <w:gridSpan w:val="2"/>
            <w:tcBorders>
              <w:top w:val="single" w:color="auto" w:sz="4" w:space="0"/>
              <w:right w:val="single" w:color="auto" w:sz="4" w:space="0"/>
            </w:tcBorders>
            <w:vAlign w:val="center"/>
          </w:tcPr>
          <w:p w14:paraId="1B91DB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 xml:space="preserve">9.316 </w:t>
            </w:r>
          </w:p>
        </w:tc>
        <w:tc>
          <w:tcPr>
            <w:tcW w:w="281" w:type="pct"/>
            <w:tcBorders>
              <w:top w:val="single" w:color="auto" w:sz="4" w:space="0"/>
              <w:left w:val="single" w:color="auto" w:sz="4" w:space="0"/>
            </w:tcBorders>
            <w:vAlign w:val="center"/>
          </w:tcPr>
          <w:p w14:paraId="77B109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 xml:space="preserve">6.324 </w:t>
            </w:r>
          </w:p>
        </w:tc>
        <w:tc>
          <w:tcPr>
            <w:tcW w:w="306" w:type="pct"/>
            <w:tcBorders>
              <w:right w:val="single" w:color="auto" w:sz="4" w:space="0"/>
            </w:tcBorders>
            <w:vAlign w:val="center"/>
          </w:tcPr>
          <w:p w14:paraId="4BE3A2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 xml:space="preserve">8.227 </w:t>
            </w:r>
          </w:p>
        </w:tc>
        <w:tc>
          <w:tcPr>
            <w:tcW w:w="348" w:type="pct"/>
            <w:gridSpan w:val="2"/>
            <w:tcBorders>
              <w:left w:val="single" w:color="auto" w:sz="4" w:space="0"/>
            </w:tcBorders>
            <w:vAlign w:val="center"/>
          </w:tcPr>
          <w:p w14:paraId="511386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 xml:space="preserve">2.342 </w:t>
            </w:r>
          </w:p>
        </w:tc>
        <w:tc>
          <w:tcPr>
            <w:tcW w:w="358" w:type="pct"/>
            <w:vAlign w:val="center"/>
          </w:tcPr>
          <w:p w14:paraId="0B7C87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 xml:space="preserve">2.982 </w:t>
            </w:r>
          </w:p>
        </w:tc>
        <w:tc>
          <w:tcPr>
            <w:tcW w:w="424" w:type="pct"/>
            <w:vAlign w:val="center"/>
          </w:tcPr>
          <w:p w14:paraId="3A6E19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 xml:space="preserve">6.324 </w:t>
            </w:r>
          </w:p>
        </w:tc>
        <w:tc>
          <w:tcPr>
            <w:tcW w:w="400" w:type="pct"/>
            <w:vAlign w:val="center"/>
          </w:tcPr>
          <w:p w14:paraId="0B451E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16.759</w:t>
            </w:r>
          </w:p>
        </w:tc>
        <w:tc>
          <w:tcPr>
            <w:tcW w:w="406" w:type="pct"/>
            <w:vAlign w:val="center"/>
          </w:tcPr>
          <w:p w14:paraId="07255E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w:t>
            </w:r>
          </w:p>
        </w:tc>
        <w:tc>
          <w:tcPr>
            <w:tcW w:w="381" w:type="pct"/>
            <w:vAlign w:val="center"/>
          </w:tcPr>
          <w:p w14:paraId="1D5EE3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16.759</w:t>
            </w:r>
          </w:p>
        </w:tc>
        <w:tc>
          <w:tcPr>
            <w:tcW w:w="474" w:type="pct"/>
            <w:vMerge w:val="continue"/>
            <w:tcBorders>
              <w:right w:val="single" w:color="auto" w:sz="4" w:space="0"/>
            </w:tcBorders>
            <w:vAlign w:val="center"/>
          </w:tcPr>
          <w:p w14:paraId="155DE37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433" w:type="pct"/>
            <w:vMerge w:val="continue"/>
            <w:tcBorders>
              <w:left w:val="single" w:color="auto" w:sz="4" w:space="0"/>
            </w:tcBorders>
            <w:vAlign w:val="center"/>
          </w:tcPr>
          <w:p w14:paraId="318EE3E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354" w:type="pct"/>
            <w:vAlign w:val="center"/>
          </w:tcPr>
          <w:p w14:paraId="3369D0C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r>
      <w:tr w14:paraId="5454E6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493" w:type="pct"/>
            <w:vAlign w:val="center"/>
          </w:tcPr>
          <w:p w14:paraId="3F0B8B9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浸锌镍、浸锌镍槽过滤棉冲洗（含锌镍废水）</w:t>
            </w:r>
          </w:p>
        </w:tc>
        <w:tc>
          <w:tcPr>
            <w:tcW w:w="337" w:type="pct"/>
            <w:gridSpan w:val="2"/>
            <w:tcBorders>
              <w:right w:val="single" w:color="auto" w:sz="4" w:space="0"/>
            </w:tcBorders>
            <w:vAlign w:val="center"/>
          </w:tcPr>
          <w:p w14:paraId="7D8023B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w:t>
            </w:r>
          </w:p>
        </w:tc>
        <w:tc>
          <w:tcPr>
            <w:tcW w:w="281" w:type="pct"/>
            <w:tcBorders>
              <w:left w:val="single" w:color="auto" w:sz="4" w:space="0"/>
            </w:tcBorders>
            <w:vAlign w:val="center"/>
          </w:tcPr>
          <w:p w14:paraId="5B417A5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306" w:type="pct"/>
            <w:tcBorders>
              <w:right w:val="single" w:color="auto" w:sz="4" w:space="0"/>
            </w:tcBorders>
            <w:vAlign w:val="center"/>
          </w:tcPr>
          <w:p w14:paraId="6191C18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4.128</w:t>
            </w:r>
          </w:p>
        </w:tc>
        <w:tc>
          <w:tcPr>
            <w:tcW w:w="348" w:type="pct"/>
            <w:gridSpan w:val="2"/>
            <w:tcBorders>
              <w:left w:val="single" w:color="auto" w:sz="4" w:space="0"/>
            </w:tcBorders>
            <w:vAlign w:val="center"/>
          </w:tcPr>
          <w:p w14:paraId="786D049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w:t>
            </w:r>
          </w:p>
        </w:tc>
        <w:tc>
          <w:tcPr>
            <w:tcW w:w="358" w:type="pct"/>
            <w:vAlign w:val="center"/>
          </w:tcPr>
          <w:p w14:paraId="5DB4810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0.649</w:t>
            </w:r>
          </w:p>
        </w:tc>
        <w:tc>
          <w:tcPr>
            <w:tcW w:w="424" w:type="pct"/>
            <w:vAlign w:val="center"/>
          </w:tcPr>
          <w:p w14:paraId="20F185E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0.194</w:t>
            </w:r>
          </w:p>
        </w:tc>
        <w:tc>
          <w:tcPr>
            <w:tcW w:w="400" w:type="pct"/>
            <w:vAlign w:val="center"/>
          </w:tcPr>
          <w:p w14:paraId="752FD9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3.679</w:t>
            </w:r>
          </w:p>
        </w:tc>
        <w:tc>
          <w:tcPr>
            <w:tcW w:w="406" w:type="pct"/>
            <w:vAlign w:val="center"/>
          </w:tcPr>
          <w:p w14:paraId="4A3990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0.194</w:t>
            </w:r>
          </w:p>
        </w:tc>
        <w:tc>
          <w:tcPr>
            <w:tcW w:w="381" w:type="pct"/>
            <w:vAlign w:val="center"/>
          </w:tcPr>
          <w:p w14:paraId="7AC602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3.485</w:t>
            </w:r>
          </w:p>
        </w:tc>
        <w:tc>
          <w:tcPr>
            <w:tcW w:w="474" w:type="pct"/>
            <w:vMerge w:val="continue"/>
            <w:tcBorders>
              <w:right w:val="single" w:color="auto" w:sz="4" w:space="0"/>
            </w:tcBorders>
            <w:vAlign w:val="center"/>
          </w:tcPr>
          <w:p w14:paraId="35673CC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433" w:type="pct"/>
            <w:vMerge w:val="continue"/>
            <w:tcBorders>
              <w:left w:val="single" w:color="auto" w:sz="4" w:space="0"/>
            </w:tcBorders>
            <w:vAlign w:val="center"/>
          </w:tcPr>
          <w:p w14:paraId="2F41A17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354" w:type="pct"/>
            <w:vAlign w:val="center"/>
          </w:tcPr>
          <w:p w14:paraId="6DB108BE">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w:t>
            </w:r>
          </w:p>
        </w:tc>
      </w:tr>
      <w:tr w14:paraId="1D2D5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493" w:type="pct"/>
            <w:vAlign w:val="center"/>
          </w:tcPr>
          <w:p w14:paraId="67EFE2D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实验室渡槽、镀镍、镀超硬材料、过滤棉冲洗（含镍废水）</w:t>
            </w:r>
          </w:p>
        </w:tc>
        <w:tc>
          <w:tcPr>
            <w:tcW w:w="337" w:type="pct"/>
            <w:gridSpan w:val="2"/>
            <w:tcBorders>
              <w:right w:val="single" w:color="auto" w:sz="4" w:space="0"/>
            </w:tcBorders>
            <w:vAlign w:val="center"/>
          </w:tcPr>
          <w:p w14:paraId="01F4022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9.457</w:t>
            </w:r>
          </w:p>
        </w:tc>
        <w:tc>
          <w:tcPr>
            <w:tcW w:w="281" w:type="pct"/>
            <w:tcBorders>
              <w:left w:val="single" w:color="auto" w:sz="4" w:space="0"/>
            </w:tcBorders>
            <w:vAlign w:val="center"/>
          </w:tcPr>
          <w:p w14:paraId="4D2CB14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306" w:type="pct"/>
            <w:tcBorders>
              <w:right w:val="single" w:color="auto" w:sz="4" w:space="0"/>
            </w:tcBorders>
            <w:vAlign w:val="center"/>
          </w:tcPr>
          <w:p w14:paraId="6DA74F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7.449</w:t>
            </w:r>
          </w:p>
        </w:tc>
        <w:tc>
          <w:tcPr>
            <w:tcW w:w="348" w:type="pct"/>
            <w:gridSpan w:val="2"/>
            <w:tcBorders>
              <w:left w:val="single" w:color="auto" w:sz="4" w:space="0"/>
            </w:tcBorders>
            <w:vAlign w:val="center"/>
          </w:tcPr>
          <w:p w14:paraId="79D621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w:t>
            </w:r>
          </w:p>
        </w:tc>
        <w:tc>
          <w:tcPr>
            <w:tcW w:w="358" w:type="pct"/>
            <w:vAlign w:val="center"/>
          </w:tcPr>
          <w:p w14:paraId="2ADCBB0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2.536</w:t>
            </w:r>
          </w:p>
        </w:tc>
        <w:tc>
          <w:tcPr>
            <w:tcW w:w="424" w:type="pct"/>
            <w:vAlign w:val="center"/>
          </w:tcPr>
          <w:p w14:paraId="086574A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13.577</w:t>
            </w:r>
          </w:p>
        </w:tc>
        <w:tc>
          <w:tcPr>
            <w:tcW w:w="400" w:type="pct"/>
            <w:vAlign w:val="center"/>
          </w:tcPr>
          <w:p w14:paraId="04303BA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14.37</w:t>
            </w:r>
          </w:p>
        </w:tc>
        <w:tc>
          <w:tcPr>
            <w:tcW w:w="406" w:type="pct"/>
            <w:vAlign w:val="center"/>
          </w:tcPr>
          <w:p w14:paraId="0FF967A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13.577</w:t>
            </w:r>
          </w:p>
        </w:tc>
        <w:tc>
          <w:tcPr>
            <w:tcW w:w="381" w:type="pct"/>
            <w:vAlign w:val="center"/>
          </w:tcPr>
          <w:p w14:paraId="2B0DB91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0.793</w:t>
            </w:r>
          </w:p>
        </w:tc>
        <w:tc>
          <w:tcPr>
            <w:tcW w:w="474" w:type="pct"/>
            <w:vMerge w:val="continue"/>
            <w:tcBorders>
              <w:right w:val="single" w:color="auto" w:sz="4" w:space="0"/>
            </w:tcBorders>
            <w:vAlign w:val="center"/>
          </w:tcPr>
          <w:p w14:paraId="68AE994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433" w:type="pct"/>
            <w:vMerge w:val="continue"/>
            <w:tcBorders>
              <w:left w:val="single" w:color="auto" w:sz="4" w:space="0"/>
            </w:tcBorders>
            <w:vAlign w:val="center"/>
          </w:tcPr>
          <w:p w14:paraId="35AC262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354" w:type="pct"/>
            <w:vAlign w:val="center"/>
          </w:tcPr>
          <w:p w14:paraId="55CEF7A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w:t>
            </w:r>
          </w:p>
        </w:tc>
      </w:tr>
      <w:tr w14:paraId="1F5F2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493" w:type="pct"/>
            <w:vAlign w:val="center"/>
          </w:tcPr>
          <w:p w14:paraId="0A0E151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镀铜、过滤棉冲洗（含铜废水）</w:t>
            </w:r>
          </w:p>
        </w:tc>
        <w:tc>
          <w:tcPr>
            <w:tcW w:w="337" w:type="pct"/>
            <w:gridSpan w:val="2"/>
            <w:tcBorders>
              <w:right w:val="single" w:color="auto" w:sz="4" w:space="0"/>
            </w:tcBorders>
            <w:vAlign w:val="center"/>
          </w:tcPr>
          <w:p w14:paraId="0C14CFA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w:t>
            </w:r>
          </w:p>
        </w:tc>
        <w:tc>
          <w:tcPr>
            <w:tcW w:w="281" w:type="pct"/>
            <w:tcBorders>
              <w:left w:val="single" w:color="auto" w:sz="4" w:space="0"/>
            </w:tcBorders>
            <w:vAlign w:val="center"/>
          </w:tcPr>
          <w:p w14:paraId="1E406DF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306" w:type="pct"/>
            <w:tcBorders>
              <w:right w:val="single" w:color="auto" w:sz="4" w:space="0"/>
            </w:tcBorders>
            <w:vAlign w:val="center"/>
          </w:tcPr>
          <w:p w14:paraId="3264C7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1.472</w:t>
            </w:r>
          </w:p>
        </w:tc>
        <w:tc>
          <w:tcPr>
            <w:tcW w:w="348" w:type="pct"/>
            <w:gridSpan w:val="2"/>
            <w:tcBorders>
              <w:left w:val="single" w:color="auto" w:sz="4" w:space="0"/>
            </w:tcBorders>
            <w:vAlign w:val="center"/>
          </w:tcPr>
          <w:p w14:paraId="63F62AB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w:t>
            </w:r>
          </w:p>
        </w:tc>
        <w:tc>
          <w:tcPr>
            <w:tcW w:w="358" w:type="pct"/>
            <w:vAlign w:val="center"/>
          </w:tcPr>
          <w:p w14:paraId="61D5B5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0.251</w:t>
            </w:r>
          </w:p>
        </w:tc>
        <w:tc>
          <w:tcPr>
            <w:tcW w:w="424" w:type="pct"/>
            <w:vAlign w:val="center"/>
          </w:tcPr>
          <w:p w14:paraId="600A15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0.023</w:t>
            </w:r>
          </w:p>
        </w:tc>
        <w:tc>
          <w:tcPr>
            <w:tcW w:w="400" w:type="pct"/>
            <w:vAlign w:val="center"/>
          </w:tcPr>
          <w:p w14:paraId="1FE916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1.421</w:t>
            </w:r>
          </w:p>
        </w:tc>
        <w:tc>
          <w:tcPr>
            <w:tcW w:w="406" w:type="pct"/>
            <w:vAlign w:val="center"/>
          </w:tcPr>
          <w:p w14:paraId="5FECA1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0.023</w:t>
            </w:r>
          </w:p>
        </w:tc>
        <w:tc>
          <w:tcPr>
            <w:tcW w:w="381" w:type="pct"/>
            <w:vAlign w:val="center"/>
          </w:tcPr>
          <w:p w14:paraId="2ECED1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1.398</w:t>
            </w:r>
          </w:p>
        </w:tc>
        <w:tc>
          <w:tcPr>
            <w:tcW w:w="474" w:type="pct"/>
            <w:vMerge w:val="continue"/>
            <w:tcBorders>
              <w:right w:val="single" w:color="auto" w:sz="4" w:space="0"/>
            </w:tcBorders>
            <w:vAlign w:val="center"/>
          </w:tcPr>
          <w:p w14:paraId="7DED6D4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433" w:type="pct"/>
            <w:vMerge w:val="continue"/>
            <w:tcBorders>
              <w:left w:val="single" w:color="auto" w:sz="4" w:space="0"/>
            </w:tcBorders>
            <w:vAlign w:val="center"/>
          </w:tcPr>
          <w:p w14:paraId="5B8DD71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354" w:type="pct"/>
            <w:vAlign w:val="center"/>
          </w:tcPr>
          <w:p w14:paraId="5393D3D0">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w:t>
            </w:r>
          </w:p>
        </w:tc>
      </w:tr>
      <w:bookmarkEnd w:id="34"/>
      <w:tr w14:paraId="00A764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493" w:type="pct"/>
            <w:vAlign w:val="center"/>
          </w:tcPr>
          <w:p w14:paraId="378C51B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退镀（铜、镍重金属混合废水）</w:t>
            </w:r>
          </w:p>
        </w:tc>
        <w:tc>
          <w:tcPr>
            <w:tcW w:w="337" w:type="pct"/>
            <w:gridSpan w:val="2"/>
            <w:tcBorders>
              <w:right w:val="single" w:color="auto" w:sz="4" w:space="0"/>
            </w:tcBorders>
            <w:vAlign w:val="center"/>
          </w:tcPr>
          <w:p w14:paraId="7E1495F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0.292</w:t>
            </w:r>
          </w:p>
        </w:tc>
        <w:tc>
          <w:tcPr>
            <w:tcW w:w="281" w:type="pct"/>
            <w:tcBorders>
              <w:left w:val="single" w:color="auto" w:sz="4" w:space="0"/>
            </w:tcBorders>
            <w:vAlign w:val="center"/>
          </w:tcPr>
          <w:p w14:paraId="17A7B6E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306" w:type="pct"/>
            <w:tcBorders>
              <w:right w:val="single" w:color="auto" w:sz="4" w:space="0"/>
            </w:tcBorders>
            <w:vAlign w:val="center"/>
          </w:tcPr>
          <w:p w14:paraId="5722F8E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0.318</w:t>
            </w:r>
          </w:p>
        </w:tc>
        <w:tc>
          <w:tcPr>
            <w:tcW w:w="348" w:type="pct"/>
            <w:gridSpan w:val="2"/>
            <w:tcBorders>
              <w:left w:val="single" w:color="auto" w:sz="4" w:space="0"/>
            </w:tcBorders>
            <w:vAlign w:val="center"/>
          </w:tcPr>
          <w:p w14:paraId="238DAE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w:t>
            </w:r>
          </w:p>
        </w:tc>
        <w:tc>
          <w:tcPr>
            <w:tcW w:w="358" w:type="pct"/>
            <w:vAlign w:val="center"/>
          </w:tcPr>
          <w:p w14:paraId="7956770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0.04</w:t>
            </w:r>
          </w:p>
        </w:tc>
        <w:tc>
          <w:tcPr>
            <w:tcW w:w="424" w:type="pct"/>
            <w:vAlign w:val="center"/>
          </w:tcPr>
          <w:p w14:paraId="025566A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0.292</w:t>
            </w:r>
          </w:p>
        </w:tc>
        <w:tc>
          <w:tcPr>
            <w:tcW w:w="400" w:type="pct"/>
            <w:vAlign w:val="center"/>
          </w:tcPr>
          <w:p w14:paraId="2443BFB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0.278</w:t>
            </w:r>
          </w:p>
        </w:tc>
        <w:tc>
          <w:tcPr>
            <w:tcW w:w="406" w:type="pct"/>
            <w:vAlign w:val="center"/>
          </w:tcPr>
          <w:p w14:paraId="3017E34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w:t>
            </w:r>
          </w:p>
        </w:tc>
        <w:tc>
          <w:tcPr>
            <w:tcW w:w="381" w:type="pct"/>
            <w:vAlign w:val="center"/>
          </w:tcPr>
          <w:p w14:paraId="74702DD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0.278</w:t>
            </w:r>
          </w:p>
        </w:tc>
        <w:tc>
          <w:tcPr>
            <w:tcW w:w="474" w:type="pct"/>
            <w:vMerge w:val="continue"/>
            <w:tcBorders>
              <w:right w:val="single" w:color="auto" w:sz="4" w:space="0"/>
            </w:tcBorders>
            <w:vAlign w:val="center"/>
          </w:tcPr>
          <w:p w14:paraId="3CD4359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433" w:type="pct"/>
            <w:vMerge w:val="continue"/>
            <w:tcBorders>
              <w:left w:val="single" w:color="auto" w:sz="4" w:space="0"/>
            </w:tcBorders>
            <w:vAlign w:val="center"/>
          </w:tcPr>
          <w:p w14:paraId="7B69919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354" w:type="pct"/>
            <w:vAlign w:val="center"/>
          </w:tcPr>
          <w:p w14:paraId="3D6829BE">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0</w:t>
            </w:r>
          </w:p>
        </w:tc>
      </w:tr>
      <w:tr w14:paraId="43FF5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93" w:type="pct"/>
            <w:vAlign w:val="center"/>
          </w:tcPr>
          <w:p w14:paraId="2805AF4C">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废气处理设施废水</w:t>
            </w:r>
          </w:p>
        </w:tc>
        <w:tc>
          <w:tcPr>
            <w:tcW w:w="1273" w:type="pct"/>
            <w:gridSpan w:val="6"/>
            <w:vAlign w:val="center"/>
          </w:tcPr>
          <w:p w14:paraId="0358257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2（自来水）</w:t>
            </w:r>
          </w:p>
        </w:tc>
        <w:tc>
          <w:tcPr>
            <w:tcW w:w="782" w:type="pct"/>
            <w:gridSpan w:val="2"/>
            <w:vAlign w:val="center"/>
          </w:tcPr>
          <w:p w14:paraId="35C23520">
            <w:pPr>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0.4</w:t>
            </w:r>
          </w:p>
        </w:tc>
        <w:tc>
          <w:tcPr>
            <w:tcW w:w="400" w:type="pct"/>
            <w:vAlign w:val="center"/>
          </w:tcPr>
          <w:p w14:paraId="6610891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1.6</w:t>
            </w:r>
          </w:p>
        </w:tc>
        <w:tc>
          <w:tcPr>
            <w:tcW w:w="406" w:type="pct"/>
            <w:vAlign w:val="center"/>
          </w:tcPr>
          <w:p w14:paraId="4B48A2E3">
            <w:pPr>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381" w:type="pct"/>
            <w:vAlign w:val="center"/>
          </w:tcPr>
          <w:p w14:paraId="7A9137C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1.6</w:t>
            </w:r>
          </w:p>
        </w:tc>
        <w:tc>
          <w:tcPr>
            <w:tcW w:w="474" w:type="pct"/>
            <w:vMerge w:val="continue"/>
            <w:tcBorders>
              <w:right w:val="single" w:color="auto" w:sz="4" w:space="0"/>
            </w:tcBorders>
            <w:vAlign w:val="center"/>
          </w:tcPr>
          <w:p w14:paraId="5F3546D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433" w:type="pct"/>
            <w:vMerge w:val="continue"/>
            <w:tcBorders>
              <w:left w:val="single" w:color="auto" w:sz="4" w:space="0"/>
            </w:tcBorders>
            <w:vAlign w:val="center"/>
          </w:tcPr>
          <w:p w14:paraId="7F4143C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354" w:type="pct"/>
            <w:vAlign w:val="center"/>
          </w:tcPr>
          <w:p w14:paraId="3CF3138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r>
      <w:tr w14:paraId="140EFC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93" w:type="pct"/>
            <w:vAlign w:val="center"/>
          </w:tcPr>
          <w:p w14:paraId="132096F9">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eastAsia" w:ascii="Times New Roman" w:hAnsi="Times New Roman" w:eastAsia="宋体" w:cs="Times New Roman"/>
                <w:color w:val="auto"/>
                <w:sz w:val="21"/>
                <w:szCs w:val="21"/>
                <w:highlight w:val="none"/>
                <w:u w:val="single" w:color="auto"/>
                <w:lang w:val="en-US" w:eastAsia="zh-CN"/>
              </w:rPr>
              <w:t>电镀车间</w:t>
            </w:r>
            <w:r>
              <w:rPr>
                <w:rFonts w:hint="default" w:ascii="Times New Roman" w:hAnsi="Times New Roman" w:eastAsia="宋体" w:cs="Times New Roman"/>
                <w:color w:val="auto"/>
                <w:sz w:val="21"/>
                <w:szCs w:val="21"/>
                <w:highlight w:val="none"/>
                <w:u w:val="single" w:color="auto"/>
                <w:lang w:eastAsia="zh-CN"/>
              </w:rPr>
              <w:t>地面</w:t>
            </w:r>
            <w:r>
              <w:rPr>
                <w:rFonts w:hint="eastAsia" w:ascii="Times New Roman" w:hAnsi="Times New Roman" w:eastAsia="宋体" w:cs="Times New Roman"/>
                <w:color w:val="auto"/>
                <w:sz w:val="21"/>
                <w:szCs w:val="21"/>
                <w:highlight w:val="none"/>
                <w:u w:val="single" w:color="auto"/>
                <w:lang w:val="en-US" w:eastAsia="zh-CN"/>
              </w:rPr>
              <w:t>清洗</w:t>
            </w:r>
            <w:r>
              <w:rPr>
                <w:rFonts w:hint="default" w:ascii="Times New Roman" w:hAnsi="Times New Roman" w:eastAsia="宋体" w:cs="Times New Roman"/>
                <w:color w:val="auto"/>
                <w:sz w:val="21"/>
                <w:szCs w:val="21"/>
                <w:highlight w:val="none"/>
                <w:u w:val="single" w:color="auto"/>
                <w:lang w:eastAsia="zh-CN"/>
              </w:rPr>
              <w:t>废水</w:t>
            </w:r>
          </w:p>
        </w:tc>
        <w:tc>
          <w:tcPr>
            <w:tcW w:w="311" w:type="pct"/>
            <w:tcBorders>
              <w:right w:val="single" w:color="auto" w:sz="4" w:space="0"/>
            </w:tcBorders>
            <w:vAlign w:val="center"/>
          </w:tcPr>
          <w:p w14:paraId="7B89948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306" w:type="pct"/>
            <w:gridSpan w:val="2"/>
            <w:tcBorders>
              <w:left w:val="single" w:color="auto" w:sz="4" w:space="0"/>
            </w:tcBorders>
            <w:vAlign w:val="center"/>
          </w:tcPr>
          <w:p w14:paraId="68881BE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1.241</w:t>
            </w:r>
          </w:p>
        </w:tc>
        <w:tc>
          <w:tcPr>
            <w:tcW w:w="313" w:type="pct"/>
            <w:gridSpan w:val="2"/>
            <w:tcBorders>
              <w:right w:val="single" w:color="auto" w:sz="4" w:space="0"/>
            </w:tcBorders>
            <w:vAlign w:val="center"/>
          </w:tcPr>
          <w:p w14:paraId="75A4D3F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341" w:type="pct"/>
            <w:tcBorders>
              <w:left w:val="single" w:color="auto" w:sz="4" w:space="0"/>
            </w:tcBorders>
            <w:vAlign w:val="center"/>
          </w:tcPr>
          <w:p w14:paraId="35F0CD8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1.759</w:t>
            </w:r>
          </w:p>
        </w:tc>
        <w:tc>
          <w:tcPr>
            <w:tcW w:w="782" w:type="pct"/>
            <w:gridSpan w:val="2"/>
            <w:vAlign w:val="center"/>
          </w:tcPr>
          <w:p w14:paraId="0D186FE9">
            <w:pPr>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0.6</w:t>
            </w:r>
          </w:p>
        </w:tc>
        <w:tc>
          <w:tcPr>
            <w:tcW w:w="400" w:type="pct"/>
            <w:vAlign w:val="center"/>
          </w:tcPr>
          <w:p w14:paraId="5ED864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2.4</w:t>
            </w:r>
          </w:p>
        </w:tc>
        <w:tc>
          <w:tcPr>
            <w:tcW w:w="406" w:type="pct"/>
            <w:vAlign w:val="center"/>
          </w:tcPr>
          <w:p w14:paraId="321C48C1">
            <w:pPr>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381" w:type="pct"/>
            <w:vAlign w:val="center"/>
          </w:tcPr>
          <w:p w14:paraId="430780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2.4</w:t>
            </w:r>
          </w:p>
        </w:tc>
        <w:tc>
          <w:tcPr>
            <w:tcW w:w="474" w:type="pct"/>
            <w:vMerge w:val="continue"/>
            <w:tcBorders>
              <w:right w:val="single" w:color="auto" w:sz="4" w:space="0"/>
            </w:tcBorders>
            <w:vAlign w:val="center"/>
          </w:tcPr>
          <w:p w14:paraId="19781AF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433" w:type="pct"/>
            <w:vMerge w:val="continue"/>
            <w:tcBorders>
              <w:left w:val="single" w:color="auto" w:sz="4" w:space="0"/>
            </w:tcBorders>
            <w:vAlign w:val="center"/>
          </w:tcPr>
          <w:p w14:paraId="1D338A0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354" w:type="pct"/>
            <w:vAlign w:val="center"/>
          </w:tcPr>
          <w:p w14:paraId="1E06AC3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r>
      <w:bookmarkEnd w:id="35"/>
      <w:tr w14:paraId="3D37AA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93" w:type="pct"/>
            <w:vAlign w:val="center"/>
          </w:tcPr>
          <w:p w14:paraId="022D2675">
            <w:pPr>
              <w:spacing w:line="240" w:lineRule="auto"/>
              <w:jc w:val="center"/>
              <w:rPr>
                <w:rFonts w:hint="default"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小</w:t>
            </w:r>
            <w:r>
              <w:rPr>
                <w:rFonts w:hint="default" w:ascii="Times New Roman" w:hAnsi="Times New Roman" w:eastAsia="宋体" w:cs="Times New Roman"/>
                <w:color w:val="auto"/>
                <w:sz w:val="21"/>
                <w:szCs w:val="21"/>
                <w:highlight w:val="none"/>
                <w:u w:val="single" w:color="auto"/>
              </w:rPr>
              <w:t>合计</w:t>
            </w:r>
          </w:p>
        </w:tc>
        <w:tc>
          <w:tcPr>
            <w:tcW w:w="311" w:type="pct"/>
            <w:tcBorders>
              <w:right w:val="single" w:color="auto" w:sz="4" w:space="0"/>
            </w:tcBorders>
            <w:vAlign w:val="center"/>
          </w:tcPr>
          <w:p w14:paraId="6897C59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24.57</w:t>
            </w:r>
          </w:p>
        </w:tc>
        <w:tc>
          <w:tcPr>
            <w:tcW w:w="306" w:type="pct"/>
            <w:gridSpan w:val="2"/>
            <w:tcBorders>
              <w:left w:val="single" w:color="auto" w:sz="4" w:space="0"/>
            </w:tcBorders>
            <w:vAlign w:val="center"/>
          </w:tcPr>
          <w:p w14:paraId="78770BD4">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9.673</w:t>
            </w:r>
          </w:p>
        </w:tc>
        <w:tc>
          <w:tcPr>
            <w:tcW w:w="655" w:type="pct"/>
            <w:gridSpan w:val="3"/>
            <w:vAlign w:val="center"/>
          </w:tcPr>
          <w:p w14:paraId="526BAA4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29.217</w:t>
            </w:r>
          </w:p>
        </w:tc>
        <w:tc>
          <w:tcPr>
            <w:tcW w:w="782" w:type="pct"/>
            <w:gridSpan w:val="2"/>
            <w:vAlign w:val="center"/>
          </w:tcPr>
          <w:p w14:paraId="4CC08E2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30.97</w:t>
            </w:r>
          </w:p>
        </w:tc>
        <w:tc>
          <w:tcPr>
            <w:tcW w:w="400" w:type="pct"/>
            <w:vAlign w:val="center"/>
          </w:tcPr>
          <w:p w14:paraId="132CAA0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46.284</w:t>
            </w:r>
          </w:p>
        </w:tc>
        <w:tc>
          <w:tcPr>
            <w:tcW w:w="406" w:type="pct"/>
            <w:vAlign w:val="center"/>
          </w:tcPr>
          <w:p w14:paraId="57B5DFB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13.794</w:t>
            </w:r>
          </w:p>
        </w:tc>
        <w:tc>
          <w:tcPr>
            <w:tcW w:w="381" w:type="pct"/>
            <w:vAlign w:val="center"/>
          </w:tcPr>
          <w:p w14:paraId="7DBD399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32.49</w:t>
            </w:r>
          </w:p>
        </w:tc>
        <w:tc>
          <w:tcPr>
            <w:tcW w:w="474" w:type="pct"/>
            <w:tcBorders>
              <w:right w:val="single" w:color="auto" w:sz="4" w:space="0"/>
            </w:tcBorders>
            <w:vAlign w:val="center"/>
          </w:tcPr>
          <w:p w14:paraId="6D990C6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3.273</w:t>
            </w:r>
          </w:p>
        </w:tc>
        <w:tc>
          <w:tcPr>
            <w:tcW w:w="433" w:type="pct"/>
            <w:tcBorders>
              <w:left w:val="single" w:color="auto" w:sz="4" w:space="0"/>
            </w:tcBorders>
            <w:vAlign w:val="center"/>
          </w:tcPr>
          <w:p w14:paraId="0AF1C4D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29.217</w:t>
            </w:r>
          </w:p>
        </w:tc>
        <w:tc>
          <w:tcPr>
            <w:tcW w:w="354" w:type="pct"/>
            <w:vAlign w:val="center"/>
          </w:tcPr>
          <w:p w14:paraId="30573F2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w:t>
            </w:r>
          </w:p>
        </w:tc>
      </w:tr>
      <w:tr w14:paraId="1AD03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93" w:type="pct"/>
            <w:vAlign w:val="center"/>
          </w:tcPr>
          <w:p w14:paraId="32ED5F36">
            <w:pPr>
              <w:spacing w:line="240" w:lineRule="auto"/>
              <w:jc w:val="center"/>
              <w:rPr>
                <w:rFonts w:hint="default" w:ascii="Times New Roman" w:hAnsi="Times New Roman" w:eastAsia="宋体" w:cs="Times New Roman"/>
                <w:color w:val="auto"/>
                <w:sz w:val="21"/>
                <w:szCs w:val="21"/>
                <w:highlight w:val="none"/>
                <w:u w:val="single" w:color="auto"/>
                <w:lang w:val="en-US"/>
              </w:rPr>
            </w:pPr>
            <w:r>
              <w:rPr>
                <w:rFonts w:hint="eastAsia" w:ascii="Times New Roman" w:hAnsi="Times New Roman" w:eastAsia="宋体" w:cs="Times New Roman"/>
                <w:color w:val="auto"/>
                <w:sz w:val="21"/>
                <w:szCs w:val="21"/>
                <w:highlight w:val="none"/>
                <w:u w:val="single" w:color="auto"/>
                <w:lang w:val="en-US" w:eastAsia="zh-CN"/>
              </w:rPr>
              <w:t>机加工车间卫生废水</w:t>
            </w:r>
          </w:p>
        </w:tc>
        <w:tc>
          <w:tcPr>
            <w:tcW w:w="1273" w:type="pct"/>
            <w:gridSpan w:val="6"/>
            <w:vAlign w:val="center"/>
          </w:tcPr>
          <w:p w14:paraId="69F390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1（自来水）</w:t>
            </w:r>
          </w:p>
        </w:tc>
        <w:tc>
          <w:tcPr>
            <w:tcW w:w="782" w:type="pct"/>
            <w:gridSpan w:val="2"/>
            <w:vAlign w:val="center"/>
          </w:tcPr>
          <w:p w14:paraId="1038D70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0.2</w:t>
            </w:r>
          </w:p>
        </w:tc>
        <w:tc>
          <w:tcPr>
            <w:tcW w:w="400" w:type="pct"/>
            <w:vAlign w:val="center"/>
          </w:tcPr>
          <w:p w14:paraId="49DCB53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0.8</w:t>
            </w:r>
          </w:p>
        </w:tc>
        <w:tc>
          <w:tcPr>
            <w:tcW w:w="406" w:type="pct"/>
            <w:vAlign w:val="center"/>
          </w:tcPr>
          <w:p w14:paraId="4C5C7D9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w:t>
            </w:r>
          </w:p>
        </w:tc>
        <w:tc>
          <w:tcPr>
            <w:tcW w:w="1017" w:type="dxa"/>
            <w:vAlign w:val="center"/>
          </w:tcPr>
          <w:p w14:paraId="2AD1747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0.8</w:t>
            </w:r>
          </w:p>
        </w:tc>
        <w:tc>
          <w:tcPr>
            <w:tcW w:w="474" w:type="pct"/>
            <w:tcBorders>
              <w:right w:val="single" w:color="auto" w:sz="4" w:space="0"/>
            </w:tcBorders>
            <w:vAlign w:val="center"/>
          </w:tcPr>
          <w:p w14:paraId="2A5A4A2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w:t>
            </w:r>
          </w:p>
        </w:tc>
        <w:tc>
          <w:tcPr>
            <w:tcW w:w="433" w:type="pct"/>
            <w:tcBorders>
              <w:left w:val="single" w:color="auto" w:sz="4" w:space="0"/>
            </w:tcBorders>
            <w:vAlign w:val="center"/>
          </w:tcPr>
          <w:p w14:paraId="53163F5E">
            <w:pPr>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w:t>
            </w:r>
          </w:p>
        </w:tc>
        <w:tc>
          <w:tcPr>
            <w:tcW w:w="945" w:type="dxa"/>
            <w:vAlign w:val="center"/>
          </w:tcPr>
          <w:p w14:paraId="493AEC2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0.8</w:t>
            </w:r>
          </w:p>
        </w:tc>
      </w:tr>
      <w:tr w14:paraId="6447F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93" w:type="pct"/>
            <w:vAlign w:val="center"/>
          </w:tcPr>
          <w:p w14:paraId="2C4D8CC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机加工车间容器清洗废水</w:t>
            </w:r>
          </w:p>
        </w:tc>
        <w:tc>
          <w:tcPr>
            <w:tcW w:w="1273" w:type="pct"/>
            <w:gridSpan w:val="6"/>
            <w:vAlign w:val="center"/>
          </w:tcPr>
          <w:p w14:paraId="537B7BA3">
            <w:pPr>
              <w:spacing w:line="240" w:lineRule="auto"/>
              <w:jc w:val="center"/>
              <w:rPr>
                <w:rFonts w:hint="eastAsia"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color w:val="auto"/>
                <w:sz w:val="21"/>
                <w:szCs w:val="21"/>
                <w:highlight w:val="none"/>
                <w:u w:val="single" w:color="auto"/>
                <w:lang w:val="en-US" w:eastAsia="zh-CN"/>
              </w:rPr>
              <w:t>3（自来水）</w:t>
            </w:r>
          </w:p>
        </w:tc>
        <w:tc>
          <w:tcPr>
            <w:tcW w:w="782" w:type="pct"/>
            <w:gridSpan w:val="2"/>
            <w:vAlign w:val="center"/>
          </w:tcPr>
          <w:p w14:paraId="3F08857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0.3</w:t>
            </w:r>
          </w:p>
        </w:tc>
        <w:tc>
          <w:tcPr>
            <w:tcW w:w="400" w:type="pct"/>
            <w:vAlign w:val="center"/>
          </w:tcPr>
          <w:p w14:paraId="3C25AAD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2.7</w:t>
            </w:r>
          </w:p>
        </w:tc>
        <w:tc>
          <w:tcPr>
            <w:tcW w:w="406" w:type="pct"/>
            <w:vAlign w:val="center"/>
          </w:tcPr>
          <w:p w14:paraId="77D4A97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w:t>
            </w:r>
          </w:p>
        </w:tc>
        <w:tc>
          <w:tcPr>
            <w:tcW w:w="1017" w:type="dxa"/>
            <w:vAlign w:val="center"/>
          </w:tcPr>
          <w:p w14:paraId="6605BA6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2.7</w:t>
            </w:r>
          </w:p>
        </w:tc>
        <w:tc>
          <w:tcPr>
            <w:tcW w:w="474" w:type="pct"/>
            <w:tcBorders>
              <w:right w:val="single" w:color="auto" w:sz="4" w:space="0"/>
            </w:tcBorders>
            <w:vAlign w:val="center"/>
          </w:tcPr>
          <w:p w14:paraId="1B648B4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w:t>
            </w:r>
          </w:p>
        </w:tc>
        <w:tc>
          <w:tcPr>
            <w:tcW w:w="433" w:type="pct"/>
            <w:tcBorders>
              <w:left w:val="single" w:color="auto" w:sz="4" w:space="0"/>
            </w:tcBorders>
            <w:vAlign w:val="center"/>
          </w:tcPr>
          <w:p w14:paraId="23ADDB25">
            <w:pPr>
              <w:jc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i w:val="0"/>
                <w:iCs w:val="0"/>
                <w:color w:val="auto"/>
                <w:kern w:val="0"/>
                <w:sz w:val="21"/>
                <w:szCs w:val="21"/>
                <w:u w:val="single" w:color="auto"/>
                <w:lang w:val="en-US" w:eastAsia="zh-CN" w:bidi="ar"/>
              </w:rPr>
              <w:t>--</w:t>
            </w:r>
          </w:p>
        </w:tc>
        <w:tc>
          <w:tcPr>
            <w:tcW w:w="945" w:type="dxa"/>
            <w:vAlign w:val="center"/>
          </w:tcPr>
          <w:p w14:paraId="7903746C">
            <w:pPr>
              <w:spacing w:line="240" w:lineRule="auto"/>
              <w:jc w:val="center"/>
              <w:rPr>
                <w:rFonts w:hint="eastAsia"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color w:val="auto"/>
                <w:sz w:val="21"/>
                <w:szCs w:val="21"/>
                <w:highlight w:val="none"/>
                <w:u w:val="single" w:color="auto"/>
                <w:lang w:val="en-US" w:eastAsia="zh-CN"/>
              </w:rPr>
              <w:t>2.7</w:t>
            </w:r>
          </w:p>
        </w:tc>
      </w:tr>
      <w:tr w14:paraId="04ECF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93" w:type="pct"/>
            <w:vAlign w:val="center"/>
          </w:tcPr>
          <w:p w14:paraId="790A578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机加工车间烧结制品直接冷却废水</w:t>
            </w:r>
          </w:p>
        </w:tc>
        <w:tc>
          <w:tcPr>
            <w:tcW w:w="1273" w:type="pct"/>
            <w:gridSpan w:val="6"/>
            <w:vAlign w:val="center"/>
          </w:tcPr>
          <w:p w14:paraId="2D399A1A">
            <w:pPr>
              <w:spacing w:line="240" w:lineRule="auto"/>
              <w:jc w:val="center"/>
              <w:rPr>
                <w:rFonts w:hint="eastAsia"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color w:val="auto"/>
                <w:sz w:val="21"/>
                <w:szCs w:val="21"/>
                <w:highlight w:val="none"/>
                <w:u w:val="single" w:color="auto"/>
                <w:lang w:val="en-US" w:eastAsia="zh-CN"/>
              </w:rPr>
              <w:t>5（自来水）</w:t>
            </w:r>
          </w:p>
        </w:tc>
        <w:tc>
          <w:tcPr>
            <w:tcW w:w="782" w:type="pct"/>
            <w:gridSpan w:val="2"/>
            <w:vAlign w:val="center"/>
          </w:tcPr>
          <w:p w14:paraId="7F06FE4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1.3</w:t>
            </w:r>
          </w:p>
        </w:tc>
        <w:tc>
          <w:tcPr>
            <w:tcW w:w="400" w:type="pct"/>
            <w:vAlign w:val="center"/>
          </w:tcPr>
          <w:p w14:paraId="0BB2083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3.7</w:t>
            </w:r>
          </w:p>
        </w:tc>
        <w:tc>
          <w:tcPr>
            <w:tcW w:w="406" w:type="pct"/>
            <w:vAlign w:val="center"/>
          </w:tcPr>
          <w:p w14:paraId="52AC71E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w:t>
            </w:r>
          </w:p>
        </w:tc>
        <w:tc>
          <w:tcPr>
            <w:tcW w:w="1017" w:type="dxa"/>
            <w:vAlign w:val="center"/>
          </w:tcPr>
          <w:p w14:paraId="5AE5CA2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3.7</w:t>
            </w:r>
          </w:p>
        </w:tc>
        <w:tc>
          <w:tcPr>
            <w:tcW w:w="474" w:type="pct"/>
            <w:tcBorders>
              <w:right w:val="single" w:color="auto" w:sz="4" w:space="0"/>
            </w:tcBorders>
            <w:vAlign w:val="center"/>
          </w:tcPr>
          <w:p w14:paraId="0180687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w:t>
            </w:r>
          </w:p>
        </w:tc>
        <w:tc>
          <w:tcPr>
            <w:tcW w:w="433" w:type="pct"/>
            <w:tcBorders>
              <w:left w:val="single" w:color="auto" w:sz="4" w:space="0"/>
            </w:tcBorders>
            <w:vAlign w:val="center"/>
          </w:tcPr>
          <w:p w14:paraId="7828BF50">
            <w:pPr>
              <w:jc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i w:val="0"/>
                <w:iCs w:val="0"/>
                <w:color w:val="auto"/>
                <w:kern w:val="0"/>
                <w:sz w:val="21"/>
                <w:szCs w:val="21"/>
                <w:u w:val="single" w:color="auto"/>
                <w:lang w:val="en-US" w:eastAsia="zh-CN" w:bidi="ar"/>
              </w:rPr>
              <w:t>--</w:t>
            </w:r>
          </w:p>
        </w:tc>
        <w:tc>
          <w:tcPr>
            <w:tcW w:w="945" w:type="dxa"/>
            <w:vAlign w:val="center"/>
          </w:tcPr>
          <w:p w14:paraId="0A2F93B8">
            <w:pPr>
              <w:spacing w:line="240" w:lineRule="auto"/>
              <w:jc w:val="center"/>
              <w:rPr>
                <w:rFonts w:hint="eastAsia"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color w:val="auto"/>
                <w:sz w:val="21"/>
                <w:szCs w:val="21"/>
                <w:highlight w:val="none"/>
                <w:u w:val="single" w:color="auto"/>
                <w:lang w:val="en-US" w:eastAsia="zh-CN"/>
              </w:rPr>
              <w:t>3.7</w:t>
            </w:r>
          </w:p>
        </w:tc>
      </w:tr>
      <w:tr w14:paraId="30E2B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645" w:type="pct"/>
            <w:gridSpan w:val="14"/>
            <w:vAlign w:val="center"/>
          </w:tcPr>
          <w:p w14:paraId="15648F1B">
            <w:pPr>
              <w:jc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i w:val="0"/>
                <w:iCs w:val="0"/>
                <w:color w:val="auto"/>
                <w:kern w:val="0"/>
                <w:sz w:val="21"/>
                <w:szCs w:val="21"/>
                <w:u w:val="single" w:color="auto"/>
                <w:lang w:val="en-US" w:eastAsia="zh-CN" w:bidi="ar"/>
              </w:rPr>
              <w:t>合计</w:t>
            </w:r>
          </w:p>
        </w:tc>
        <w:tc>
          <w:tcPr>
            <w:tcW w:w="354" w:type="pct"/>
            <w:vAlign w:val="center"/>
          </w:tcPr>
          <w:p w14:paraId="7D0DC7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i w:val="0"/>
                <w:iCs w:val="0"/>
                <w:color w:val="auto"/>
                <w:kern w:val="0"/>
                <w:sz w:val="21"/>
                <w:szCs w:val="21"/>
                <w:u w:val="single" w:color="auto"/>
                <w:lang w:val="en-US" w:eastAsia="zh-CN" w:bidi="ar"/>
              </w:rPr>
              <w:t>7,2</w:t>
            </w:r>
          </w:p>
        </w:tc>
      </w:tr>
      <w:tr w14:paraId="48B03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3" w:type="pct"/>
            <w:vAlign w:val="center"/>
          </w:tcPr>
          <w:p w14:paraId="673F7BC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纯水站</w:t>
            </w:r>
          </w:p>
        </w:tc>
        <w:tc>
          <w:tcPr>
            <w:tcW w:w="4506" w:type="pct"/>
            <w:gridSpan w:val="14"/>
            <w:vAlign w:val="center"/>
          </w:tcPr>
          <w:p w14:paraId="07E788C7">
            <w:pPr>
              <w:spacing w:line="240" w:lineRule="auto"/>
              <w:jc w:val="both"/>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自来水用量：32.243</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r>
              <w:rPr>
                <w:rFonts w:hint="default" w:ascii="Times New Roman" w:hAnsi="Times New Roman" w:eastAsia="宋体" w:cs="Times New Roman"/>
                <w:color w:val="auto"/>
                <w:sz w:val="21"/>
                <w:szCs w:val="21"/>
                <w:highlight w:val="none"/>
                <w:u w:val="single" w:color="auto"/>
                <w:lang w:val="en-US" w:eastAsia="zh-CN"/>
              </w:rPr>
              <w:t xml:space="preserve">     纯水产生量：22.57</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r>
              <w:rPr>
                <w:rFonts w:hint="default" w:ascii="Times New Roman" w:hAnsi="Times New Roman" w:eastAsia="宋体" w:cs="Times New Roman"/>
                <w:color w:val="auto"/>
                <w:sz w:val="21"/>
                <w:szCs w:val="21"/>
                <w:highlight w:val="none"/>
                <w:u w:val="single" w:color="auto"/>
                <w:lang w:val="en-US" w:eastAsia="zh-CN"/>
              </w:rPr>
              <w:t xml:space="preserve">    浓水产生量：9.673</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/d</w:t>
            </w:r>
            <w:r>
              <w:rPr>
                <w:rFonts w:hint="default" w:ascii="Times New Roman" w:hAnsi="Times New Roman" w:eastAsia="宋体" w:cs="Times New Roman"/>
                <w:color w:val="auto"/>
                <w:sz w:val="21"/>
                <w:szCs w:val="21"/>
                <w:highlight w:val="none"/>
                <w:u w:val="single" w:color="auto"/>
                <w:lang w:eastAsia="zh-CN"/>
              </w:rPr>
              <w:t>，浓水回用于前处理工序及地面</w:t>
            </w:r>
            <w:r>
              <w:rPr>
                <w:rFonts w:hint="eastAsia" w:ascii="Times New Roman" w:hAnsi="Times New Roman" w:eastAsia="宋体" w:cs="Times New Roman"/>
                <w:color w:val="auto"/>
                <w:sz w:val="21"/>
                <w:szCs w:val="21"/>
                <w:highlight w:val="none"/>
                <w:u w:val="single" w:color="auto"/>
                <w:lang w:val="en-US" w:eastAsia="zh-CN"/>
              </w:rPr>
              <w:t>清洗</w:t>
            </w:r>
          </w:p>
        </w:tc>
      </w:tr>
      <w:tr w14:paraId="66C4D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000" w:type="pct"/>
            <w:gridSpan w:val="15"/>
            <w:vAlign w:val="center"/>
          </w:tcPr>
          <w:p w14:paraId="7CF9DA19">
            <w:pPr>
              <w:spacing w:line="240" w:lineRule="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备注：在线回用量指</w:t>
            </w:r>
            <w:r>
              <w:rPr>
                <w:rFonts w:hint="default" w:ascii="Times New Roman" w:hAnsi="Times New Roman" w:eastAsia="宋体" w:cs="Times New Roman"/>
                <w:color w:val="auto"/>
                <w:sz w:val="21"/>
                <w:szCs w:val="21"/>
                <w:highlight w:val="none"/>
                <w:u w:val="single" w:color="auto"/>
                <w:lang w:eastAsia="zh-CN"/>
              </w:rPr>
              <w:t>镀后</w:t>
            </w:r>
            <w:r>
              <w:rPr>
                <w:rFonts w:hint="default" w:ascii="Times New Roman" w:hAnsi="Times New Roman" w:eastAsia="宋体" w:cs="Times New Roman"/>
                <w:color w:val="auto"/>
                <w:sz w:val="21"/>
                <w:szCs w:val="21"/>
                <w:highlight w:val="none"/>
                <w:u w:val="single" w:color="auto"/>
              </w:rPr>
              <w:t>水洗废水部分直接回用于镀槽，补充镀槽水损失</w:t>
            </w:r>
            <w:r>
              <w:rPr>
                <w:rFonts w:hint="default" w:ascii="Times New Roman" w:hAnsi="Times New Roman" w:eastAsia="宋体" w:cs="Times New Roman"/>
                <w:color w:val="auto"/>
                <w:sz w:val="21"/>
                <w:szCs w:val="21"/>
                <w:highlight w:val="none"/>
                <w:u w:val="single" w:color="auto"/>
                <w:lang w:eastAsia="zh-CN"/>
              </w:rPr>
              <w:t>。</w:t>
            </w:r>
          </w:p>
        </w:tc>
      </w:tr>
    </w:tbl>
    <w:p w14:paraId="353E8E6A">
      <w:pPr>
        <w:rPr>
          <w:rFonts w:hint="default" w:ascii="Times New Roman" w:hAnsi="Times New Roman" w:cs="Times New Roman"/>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AndChars" w:linePitch="312" w:charSpace="0"/>
        </w:sectPr>
      </w:pPr>
    </w:p>
    <w:p w14:paraId="433DF63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1"/>
          <w:highlight w:val="none"/>
          <w:u w:val="single" w:color="auto"/>
          <w:lang w:val="en-US" w:eastAsia="zh-CN"/>
        </w:rPr>
      </w:pPr>
      <w:r>
        <w:rPr>
          <w:rFonts w:hint="default" w:ascii="Times New Roman" w:hAnsi="Times New Roman" w:eastAsia="宋体" w:cs="Times New Roman"/>
          <w:color w:val="auto"/>
          <w:sz w:val="24"/>
          <w:szCs w:val="21"/>
          <w:highlight w:val="none"/>
          <w:u w:val="single" w:color="auto"/>
          <w:lang w:val="en-US" w:eastAsia="zh-CN"/>
        </w:rPr>
        <w:object>
          <v:shape id="_x0000_i1033" o:spt="75" type="#_x0000_t75" style="height:572.4pt;width:414.75pt;" o:ole="t" filled="f" o:preferrelative="t" stroked="f" coordsize="21600,21600">
            <v:path/>
            <v:fill on="f" focussize="0,0"/>
            <v:stroke on="f"/>
            <v:imagedata r:id="rId34" o:title=""/>
            <o:lock v:ext="edit" aspectratio="f"/>
            <w10:wrap type="none"/>
            <w10:anchorlock/>
          </v:shape>
          <o:OLEObject Type="Embed" ProgID="Visio.Drawing.15" ShapeID="_x0000_i1033" DrawAspect="Content" ObjectID="_1468075733" r:id="rId33">
            <o:LockedField>false</o:LockedField>
          </o:OLEObject>
        </w:object>
      </w:r>
    </w:p>
    <w:p w14:paraId="650D107E">
      <w:pPr>
        <w:jc w:val="center"/>
        <w:rPr>
          <w:rFonts w:hint="default" w:ascii="Times New Roman" w:hAnsi="Times New Roman" w:eastAsia="宋体" w:cs="Times New Roman"/>
          <w:b/>
          <w:color w:val="auto"/>
          <w:kern w:val="0"/>
          <w:sz w:val="21"/>
          <w:szCs w:val="21"/>
          <w:highlight w:val="none"/>
          <w:u w:val="single" w:color="auto"/>
          <w:lang w:val="en-US" w:eastAsia="zh-CN" w:bidi="ar-SA"/>
        </w:rPr>
      </w:pPr>
      <w:r>
        <w:rPr>
          <w:rFonts w:hint="default" w:ascii="Times New Roman" w:hAnsi="Times New Roman" w:eastAsia="宋体" w:cs="Times New Roman"/>
          <w:b/>
          <w:color w:val="auto"/>
          <w:kern w:val="0"/>
          <w:sz w:val="21"/>
          <w:szCs w:val="21"/>
          <w:highlight w:val="none"/>
          <w:u w:val="single" w:color="auto"/>
          <w:lang w:val="en-US" w:eastAsia="zh-CN" w:bidi="ar-SA"/>
        </w:rPr>
        <w:t>图4.2-1 水平衡图</w:t>
      </w:r>
    </w:p>
    <w:p w14:paraId="09576E8C">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36" w:name="_Toc4751"/>
      <w:r>
        <w:rPr>
          <w:rFonts w:hint="default" w:ascii="Times New Roman" w:hAnsi="Times New Roman" w:eastAsia="宋体" w:cs="Times New Roman"/>
          <w:color w:val="auto"/>
          <w:sz w:val="28"/>
          <w:szCs w:val="28"/>
          <w:highlight w:val="none"/>
          <w:u w:val="none" w:color="auto"/>
          <w:lang w:val="en-US" w:eastAsia="zh-CN"/>
        </w:rPr>
        <w:t>4.3施工期污染源分析</w:t>
      </w:r>
      <w:bookmarkEnd w:id="36"/>
    </w:p>
    <w:p w14:paraId="648C7E0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项目施工期主要包括场地平整、土建施工、设备安装调试等阶段，经竣工验收后即投入营运使用。施工期工艺流程及产污流程如下图所示：</w:t>
      </w:r>
    </w:p>
    <w:p w14:paraId="6BF9521D">
      <w:pPr>
        <w:spacing w:line="240" w:lineRule="auto"/>
        <w:jc w:val="center"/>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object>
          <v:shape id="_x0000_i1034" o:spt="75" type="#_x0000_t75" style="height:242.25pt;width:333.75pt;" o:ole="t" filled="f" o:preferrelative="t" stroked="f" coordsize="21600,21600">
            <v:path/>
            <v:fill on="f" focussize="0,0"/>
            <v:stroke on="f"/>
            <v:imagedata r:id="rId36" o:title=""/>
            <o:lock v:ext="edit" aspectratio="t"/>
            <w10:wrap type="none"/>
            <w10:anchorlock/>
          </v:shape>
          <o:OLEObject Type="Embed" ProgID="Visio.Drawing.11" ShapeID="_x0000_i1034" DrawAspect="Content" ObjectID="_1468075734" r:id="rId35">
            <o:LockedField>false</o:LockedField>
          </o:OLEObject>
        </w:object>
      </w:r>
    </w:p>
    <w:p w14:paraId="40607D02">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图</w:t>
      </w:r>
      <w:r>
        <w:rPr>
          <w:rFonts w:hint="default" w:ascii="Times New Roman" w:hAnsi="Times New Roman" w:eastAsia="宋体" w:cs="Times New Roman"/>
          <w:b/>
          <w:color w:val="auto"/>
          <w:sz w:val="21"/>
          <w:szCs w:val="18"/>
          <w:highlight w:val="none"/>
          <w:u w:val="none" w:color="auto"/>
          <w:lang w:val="en-US" w:eastAsia="zh-CN"/>
        </w:rPr>
        <w:t>4</w:t>
      </w:r>
      <w:r>
        <w:rPr>
          <w:rFonts w:hint="default" w:ascii="Times New Roman" w:hAnsi="Times New Roman" w:eastAsia="宋体" w:cs="Times New Roman"/>
          <w:b/>
          <w:color w:val="auto"/>
          <w:sz w:val="21"/>
          <w:szCs w:val="18"/>
          <w:highlight w:val="none"/>
          <w:u w:val="none" w:color="auto"/>
        </w:rPr>
        <w:t>.3-1  项目施工期工艺流程及产污流程图</w:t>
      </w:r>
    </w:p>
    <w:p w14:paraId="5D17045E">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.3.1施工期废气</w:t>
      </w:r>
    </w:p>
    <w:p w14:paraId="5670FC1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施工期的大气污染物主要是扬尘、汽车尾气。</w:t>
      </w:r>
    </w:p>
    <w:p w14:paraId="2D952EE5">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（1）施工扬尘</w:t>
      </w:r>
    </w:p>
    <w:p w14:paraId="5DA0D37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项目施工中，在场地平整、土建施工等过程中，都将产生粉尘污染施工环境。类比同类工程，浓度较高的施工阶段是场地平整过程中的土料装卸过程（约20mg/m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~50mg/m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）；类比同类工程项目，在距施工现场边界50m处，TSP浓度最大达到0.487mg/m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，施工期无组织扬尘的污染范围主要集中施工场地外150m以内。</w:t>
      </w:r>
    </w:p>
    <w:p w14:paraId="17FA776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（2）汽车尾气</w:t>
      </w:r>
    </w:p>
    <w:p w14:paraId="75863C0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施工中施工机械产生的废气、运输车辆产生的尾气均是动力燃料柴油和汽油燃烧后所产生，为影响空气环境的主要污染物之一，主要成份是烯烃类、CO和NO</w:t>
      </w:r>
      <w:r>
        <w:rPr>
          <w:rFonts w:hint="default" w:ascii="Times New Roman" w:hAnsi="Times New Roman" w:eastAsia="宋体" w:cs="Times New Roman"/>
          <w:color w:val="auto"/>
          <w:sz w:val="24"/>
          <w:szCs w:val="21"/>
          <w:highlight w:val="none"/>
          <w:u w:val="none" w:color="auto"/>
          <w:vertAlign w:val="subscript"/>
        </w:rPr>
        <w:t>X</w:t>
      </w:r>
      <w:r>
        <w:rPr>
          <w:rFonts w:hint="default" w:ascii="Times New Roman" w:hAnsi="Times New Roman" w:eastAsia="宋体" w:cs="Times New Roman"/>
          <w:color w:val="auto"/>
          <w:sz w:val="24"/>
          <w:szCs w:val="21"/>
          <w:highlight w:val="none"/>
          <w:u w:val="none" w:color="auto"/>
        </w:rPr>
        <w:t>，属无组织</w:t>
      </w:r>
      <w:r>
        <w:rPr>
          <w:rFonts w:hint="eastAsia" w:ascii="Times New Roman" w:hAnsi="Times New Roman" w:eastAsia="宋体" w:cs="Times New Roman"/>
          <w:color w:val="auto"/>
          <w:sz w:val="24"/>
          <w:szCs w:val="21"/>
          <w:highlight w:val="none"/>
          <w:u w:val="none" w:color="auto"/>
          <w:lang w:eastAsia="zh-CN"/>
        </w:rPr>
        <w:t>间歇性</w:t>
      </w:r>
      <w:r>
        <w:rPr>
          <w:rFonts w:hint="default" w:ascii="Times New Roman" w:hAnsi="Times New Roman" w:eastAsia="宋体" w:cs="Times New Roman"/>
          <w:color w:val="auto"/>
          <w:sz w:val="24"/>
          <w:szCs w:val="21"/>
          <w:highlight w:val="none"/>
          <w:u w:val="none" w:color="auto"/>
        </w:rPr>
        <w:t>排放。在施工过程中用到的推土机、挖掘机、装载机及运输卡车，类比类似的项目，施工期的废气为无组织间断排放，产生量不大，影响范围有限。</w:t>
      </w:r>
    </w:p>
    <w:p w14:paraId="46A9F066">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.3.2施工期废水</w:t>
      </w:r>
    </w:p>
    <w:p w14:paraId="2CBE9C3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施工废水主要来源于工程施工砼浇筑和机械、车辆的冲洗和施工人员的</w:t>
      </w:r>
      <w:r>
        <w:rPr>
          <w:rFonts w:hint="default" w:ascii="Times New Roman" w:hAnsi="Times New Roman" w:eastAsia="宋体" w:cs="Times New Roman"/>
          <w:color w:val="auto"/>
          <w:sz w:val="24"/>
          <w:szCs w:val="21"/>
          <w:highlight w:val="none"/>
          <w:u w:val="none" w:color="auto"/>
          <w:lang w:eastAsia="zh-CN"/>
        </w:rPr>
        <w:t>生活污水</w:t>
      </w:r>
      <w:r>
        <w:rPr>
          <w:rFonts w:hint="default" w:ascii="Times New Roman" w:hAnsi="Times New Roman" w:eastAsia="宋体" w:cs="Times New Roman"/>
          <w:color w:val="auto"/>
          <w:sz w:val="24"/>
          <w:szCs w:val="21"/>
          <w:highlight w:val="none"/>
          <w:u w:val="none" w:color="auto"/>
        </w:rPr>
        <w:t>等。</w:t>
      </w:r>
    </w:p>
    <w:p w14:paraId="3A94AFA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（1）施工废水</w:t>
      </w:r>
    </w:p>
    <w:p w14:paraId="6F24EA9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施工废水主要为施工设备的清洗用水等过程产生，主要含SS和油污。据类比及初步估算，一般施工车辆冲洗废水约500L/辆，每天按20辆计，冲洗废水约10m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/d。施工废水收集、沉淀处理后回用作施工场地降尘用水、车辆和工具冲洗水，不排放。</w:t>
      </w:r>
    </w:p>
    <w:p w14:paraId="1B9F968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rPr>
        <w:t>（2）</w:t>
      </w:r>
      <w:r>
        <w:rPr>
          <w:rFonts w:hint="default" w:ascii="Times New Roman" w:hAnsi="Times New Roman" w:eastAsia="宋体" w:cs="Times New Roman"/>
          <w:color w:val="auto"/>
          <w:sz w:val="24"/>
          <w:szCs w:val="21"/>
          <w:highlight w:val="none"/>
          <w:u w:val="none" w:color="auto"/>
          <w:lang w:eastAsia="zh-CN"/>
        </w:rPr>
        <w:t>生活污水</w:t>
      </w:r>
    </w:p>
    <w:p w14:paraId="7A8D0C7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项目预计施工人数约为80人，均不在施工营地住宿，</w:t>
      </w:r>
      <w:r>
        <w:rPr>
          <w:rFonts w:hint="default" w:ascii="Times New Roman" w:hAnsi="Times New Roman" w:eastAsia="宋体" w:cs="Times New Roman"/>
          <w:color w:val="auto"/>
          <w:sz w:val="24"/>
          <w:szCs w:val="21"/>
          <w:highlight w:val="none"/>
          <w:u w:val="none" w:color="auto"/>
          <w:lang w:eastAsia="zh-CN"/>
        </w:rPr>
        <w:t>生活污水</w:t>
      </w:r>
      <w:r>
        <w:rPr>
          <w:rFonts w:hint="default" w:ascii="Times New Roman" w:hAnsi="Times New Roman" w:eastAsia="宋体" w:cs="Times New Roman"/>
          <w:color w:val="auto"/>
          <w:sz w:val="24"/>
          <w:szCs w:val="21"/>
          <w:highlight w:val="none"/>
          <w:u w:val="none" w:color="auto"/>
        </w:rPr>
        <w:t>主要是洗手废水，每人每天用水量约为50L，施工生活用水量为4m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w:t>
      </w:r>
      <w:r>
        <w:rPr>
          <w:rFonts w:hint="default" w:ascii="Times New Roman" w:hAnsi="Times New Roman" w:eastAsia="宋体" w:cs="Times New Roman"/>
          <w:color w:val="auto"/>
          <w:sz w:val="24"/>
          <w:szCs w:val="21"/>
          <w:highlight w:val="none"/>
          <w:u w:val="none" w:color="auto"/>
          <w:lang w:eastAsia="zh-CN"/>
        </w:rPr>
        <w:t>生活污水</w:t>
      </w:r>
      <w:r>
        <w:rPr>
          <w:rFonts w:hint="default" w:ascii="Times New Roman" w:hAnsi="Times New Roman" w:eastAsia="宋体" w:cs="Times New Roman"/>
          <w:color w:val="auto"/>
          <w:sz w:val="24"/>
          <w:szCs w:val="21"/>
          <w:highlight w:val="none"/>
          <w:u w:val="none" w:color="auto"/>
        </w:rPr>
        <w:t>产生量为3m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w:t>
      </w:r>
      <w:r>
        <w:rPr>
          <w:rFonts w:hint="default" w:ascii="Times New Roman" w:hAnsi="Times New Roman" w:eastAsia="宋体" w:cs="Times New Roman"/>
          <w:color w:val="auto"/>
          <w:sz w:val="24"/>
          <w:szCs w:val="21"/>
          <w:highlight w:val="none"/>
          <w:u w:val="none" w:color="auto"/>
          <w:lang w:eastAsia="zh-CN"/>
        </w:rPr>
        <w:t>生活污水</w:t>
      </w:r>
      <w:r>
        <w:rPr>
          <w:rFonts w:hint="default" w:ascii="Times New Roman" w:hAnsi="Times New Roman" w:eastAsia="宋体" w:cs="Times New Roman"/>
          <w:color w:val="auto"/>
          <w:sz w:val="24"/>
          <w:szCs w:val="21"/>
          <w:highlight w:val="none"/>
          <w:u w:val="none" w:color="auto"/>
        </w:rPr>
        <w:t>主要污染物为COD、BOD</w:t>
      </w:r>
      <w:r>
        <w:rPr>
          <w:rFonts w:hint="default" w:ascii="Times New Roman" w:hAnsi="Times New Roman" w:eastAsia="宋体" w:cs="Times New Roman"/>
          <w:color w:val="auto"/>
          <w:sz w:val="24"/>
          <w:szCs w:val="21"/>
          <w:highlight w:val="none"/>
          <w:u w:val="none" w:color="auto"/>
          <w:vertAlign w:val="subscript"/>
        </w:rPr>
        <w:t>5</w:t>
      </w:r>
      <w:r>
        <w:rPr>
          <w:rFonts w:hint="default" w:ascii="Times New Roman" w:hAnsi="Times New Roman" w:eastAsia="宋体" w:cs="Times New Roman"/>
          <w:color w:val="auto"/>
          <w:sz w:val="24"/>
          <w:szCs w:val="21"/>
          <w:highlight w:val="none"/>
          <w:u w:val="none" w:color="auto"/>
        </w:rPr>
        <w:t>、NH</w:t>
      </w:r>
      <w:r>
        <w:rPr>
          <w:rFonts w:hint="default" w:ascii="Times New Roman" w:hAnsi="Times New Roman" w:eastAsia="宋体" w:cs="Times New Roman"/>
          <w:color w:val="auto"/>
          <w:sz w:val="24"/>
          <w:szCs w:val="21"/>
          <w:highlight w:val="none"/>
          <w:u w:val="none" w:color="auto"/>
          <w:vertAlign w:val="subscript"/>
        </w:rPr>
        <w:t>3</w:t>
      </w:r>
      <w:r>
        <w:rPr>
          <w:rFonts w:hint="default" w:ascii="Times New Roman" w:hAnsi="Times New Roman" w:eastAsia="宋体" w:cs="Times New Roman"/>
          <w:color w:val="auto"/>
          <w:sz w:val="24"/>
          <w:szCs w:val="21"/>
          <w:highlight w:val="none"/>
          <w:u w:val="none" w:color="auto"/>
        </w:rPr>
        <w:t>-N、SS，施工期</w:t>
      </w:r>
      <w:r>
        <w:rPr>
          <w:rFonts w:hint="default" w:ascii="Times New Roman" w:hAnsi="Times New Roman" w:eastAsia="宋体" w:cs="Times New Roman"/>
          <w:color w:val="auto"/>
          <w:sz w:val="24"/>
          <w:szCs w:val="21"/>
          <w:highlight w:val="none"/>
          <w:u w:val="none" w:color="auto"/>
          <w:lang w:eastAsia="zh-CN"/>
        </w:rPr>
        <w:t>生活污水</w:t>
      </w:r>
      <w:r>
        <w:rPr>
          <w:rFonts w:hint="default" w:ascii="Times New Roman" w:hAnsi="Times New Roman" w:eastAsia="宋体" w:cs="Times New Roman"/>
          <w:color w:val="auto"/>
          <w:sz w:val="24"/>
          <w:szCs w:val="21"/>
          <w:highlight w:val="none"/>
          <w:u w:val="none" w:color="auto"/>
        </w:rPr>
        <w:t>经化粪池处理后排入市政污水管网。</w:t>
      </w:r>
    </w:p>
    <w:p w14:paraId="6E2B87C9">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.3.3 施工期噪声</w:t>
      </w:r>
    </w:p>
    <w:p w14:paraId="1FB0038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施工期噪声主要来自施工机器和运输设备噪声。主要噪声源有推土机、挖掘机、冲击钻、手风钻以及运输车辆所产生的交通噪声，噪声强度均在75～100dB（A）之间，施工期各施工机械噪声见下表。</w:t>
      </w:r>
    </w:p>
    <w:p w14:paraId="51417FDD">
      <w:pPr>
        <w:jc w:val="center"/>
        <w:rPr>
          <w:rFonts w:hint="default" w:ascii="Times New Roman" w:hAnsi="Times New Roman" w:eastAsia="宋体" w:cs="Times New Roman"/>
          <w:b/>
          <w:color w:val="auto"/>
          <w:kern w:val="0"/>
          <w:sz w:val="21"/>
          <w:szCs w:val="16"/>
          <w:highlight w:val="none"/>
          <w:u w:val="none" w:color="auto"/>
        </w:rPr>
      </w:pPr>
      <w:r>
        <w:rPr>
          <w:rFonts w:hint="default" w:ascii="Times New Roman" w:hAnsi="Times New Roman" w:eastAsia="宋体" w:cs="Times New Roman"/>
          <w:b/>
          <w:color w:val="auto"/>
          <w:kern w:val="0"/>
          <w:sz w:val="21"/>
          <w:szCs w:val="16"/>
          <w:highlight w:val="none"/>
          <w:u w:val="none" w:color="auto"/>
        </w:rPr>
        <w:t>表</w:t>
      </w:r>
      <w:r>
        <w:rPr>
          <w:rFonts w:hint="default" w:ascii="Times New Roman" w:hAnsi="Times New Roman" w:eastAsia="宋体" w:cs="Times New Roman"/>
          <w:b/>
          <w:color w:val="auto"/>
          <w:kern w:val="0"/>
          <w:sz w:val="21"/>
          <w:szCs w:val="16"/>
          <w:highlight w:val="none"/>
          <w:u w:val="none" w:color="auto"/>
          <w:lang w:val="en-US" w:eastAsia="zh-CN"/>
        </w:rPr>
        <w:t>4</w:t>
      </w:r>
      <w:r>
        <w:rPr>
          <w:rFonts w:hint="default" w:ascii="Times New Roman" w:hAnsi="Times New Roman" w:eastAsia="宋体" w:cs="Times New Roman"/>
          <w:b/>
          <w:color w:val="auto"/>
          <w:kern w:val="0"/>
          <w:sz w:val="21"/>
          <w:szCs w:val="16"/>
          <w:highlight w:val="none"/>
          <w:u w:val="none" w:color="auto"/>
        </w:rPr>
        <w:t>.3-1  主要施工机械噪声强度</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2"/>
        <w:gridCol w:w="3155"/>
        <w:gridCol w:w="2945"/>
      </w:tblGrid>
      <w:tr w14:paraId="2C6A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1" w:type="pct"/>
            <w:tcBorders>
              <w:top w:val="single" w:color="auto" w:sz="12" w:space="0"/>
              <w:left w:val="single" w:color="auto" w:sz="12" w:space="0"/>
              <w:bottom w:val="single" w:color="auto" w:sz="4" w:space="0"/>
              <w:right w:val="single" w:color="auto" w:sz="4" w:space="0"/>
            </w:tcBorders>
            <w:vAlign w:val="center"/>
          </w:tcPr>
          <w:p w14:paraId="1B730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序号</w:t>
            </w:r>
          </w:p>
        </w:tc>
        <w:tc>
          <w:tcPr>
            <w:tcW w:w="1851" w:type="pct"/>
            <w:tcBorders>
              <w:top w:val="single" w:color="auto" w:sz="12" w:space="0"/>
              <w:left w:val="single" w:color="auto" w:sz="4" w:space="0"/>
              <w:bottom w:val="single" w:color="auto" w:sz="4" w:space="0"/>
              <w:right w:val="single" w:color="auto" w:sz="4" w:space="0"/>
            </w:tcBorders>
            <w:vAlign w:val="center"/>
          </w:tcPr>
          <w:p w14:paraId="6068E8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设备名称</w:t>
            </w:r>
          </w:p>
        </w:tc>
        <w:tc>
          <w:tcPr>
            <w:tcW w:w="1728" w:type="pct"/>
            <w:tcBorders>
              <w:top w:val="single" w:color="auto" w:sz="12" w:space="0"/>
              <w:left w:val="single" w:color="auto" w:sz="4" w:space="0"/>
              <w:bottom w:val="single" w:color="auto" w:sz="4" w:space="0"/>
              <w:right w:val="single" w:color="auto" w:sz="12" w:space="0"/>
            </w:tcBorders>
            <w:vAlign w:val="center"/>
          </w:tcPr>
          <w:p w14:paraId="5BF66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测量声级dB（A）</w:t>
            </w:r>
          </w:p>
        </w:tc>
      </w:tr>
      <w:tr w14:paraId="0EE7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1" w:type="pct"/>
            <w:tcBorders>
              <w:top w:val="single" w:color="auto" w:sz="4" w:space="0"/>
              <w:left w:val="single" w:color="auto" w:sz="12" w:space="0"/>
              <w:bottom w:val="single" w:color="auto" w:sz="4" w:space="0"/>
              <w:right w:val="single" w:color="auto" w:sz="4" w:space="0"/>
            </w:tcBorders>
            <w:vAlign w:val="center"/>
          </w:tcPr>
          <w:p w14:paraId="2ACA1E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1</w:t>
            </w:r>
          </w:p>
        </w:tc>
        <w:tc>
          <w:tcPr>
            <w:tcW w:w="1851" w:type="pct"/>
            <w:tcBorders>
              <w:top w:val="single" w:color="auto" w:sz="4" w:space="0"/>
              <w:left w:val="single" w:color="auto" w:sz="4" w:space="0"/>
              <w:bottom w:val="single" w:color="auto" w:sz="4" w:space="0"/>
              <w:right w:val="single" w:color="auto" w:sz="4" w:space="0"/>
            </w:tcBorders>
            <w:vAlign w:val="center"/>
          </w:tcPr>
          <w:p w14:paraId="0A2796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推土机</w:t>
            </w:r>
          </w:p>
        </w:tc>
        <w:tc>
          <w:tcPr>
            <w:tcW w:w="1728" w:type="pct"/>
            <w:tcBorders>
              <w:top w:val="single" w:color="auto" w:sz="4" w:space="0"/>
              <w:left w:val="single" w:color="auto" w:sz="4" w:space="0"/>
              <w:bottom w:val="single" w:color="auto" w:sz="4" w:space="0"/>
              <w:right w:val="single" w:color="auto" w:sz="12" w:space="0"/>
            </w:tcBorders>
            <w:vAlign w:val="center"/>
          </w:tcPr>
          <w:p w14:paraId="5A742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96</w:t>
            </w:r>
          </w:p>
        </w:tc>
      </w:tr>
      <w:tr w14:paraId="2FA6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1" w:type="pct"/>
            <w:tcBorders>
              <w:top w:val="single" w:color="auto" w:sz="4" w:space="0"/>
              <w:left w:val="single" w:color="auto" w:sz="12" w:space="0"/>
              <w:bottom w:val="single" w:color="auto" w:sz="4" w:space="0"/>
              <w:right w:val="single" w:color="auto" w:sz="4" w:space="0"/>
            </w:tcBorders>
            <w:vAlign w:val="center"/>
          </w:tcPr>
          <w:p w14:paraId="5CD0E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2</w:t>
            </w:r>
          </w:p>
        </w:tc>
        <w:tc>
          <w:tcPr>
            <w:tcW w:w="1851" w:type="pct"/>
            <w:tcBorders>
              <w:top w:val="single" w:color="auto" w:sz="4" w:space="0"/>
              <w:left w:val="single" w:color="auto" w:sz="4" w:space="0"/>
              <w:bottom w:val="single" w:color="auto" w:sz="4" w:space="0"/>
              <w:right w:val="single" w:color="auto" w:sz="4" w:space="0"/>
            </w:tcBorders>
            <w:vAlign w:val="center"/>
          </w:tcPr>
          <w:p w14:paraId="281C5C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装载机</w:t>
            </w:r>
          </w:p>
        </w:tc>
        <w:tc>
          <w:tcPr>
            <w:tcW w:w="1728" w:type="pct"/>
            <w:tcBorders>
              <w:top w:val="single" w:color="auto" w:sz="4" w:space="0"/>
              <w:left w:val="single" w:color="auto" w:sz="4" w:space="0"/>
              <w:bottom w:val="single" w:color="auto" w:sz="4" w:space="0"/>
              <w:right w:val="single" w:color="auto" w:sz="12" w:space="0"/>
            </w:tcBorders>
            <w:vAlign w:val="center"/>
          </w:tcPr>
          <w:p w14:paraId="0139B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89</w:t>
            </w:r>
          </w:p>
        </w:tc>
      </w:tr>
      <w:tr w14:paraId="7D11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1" w:type="pct"/>
            <w:tcBorders>
              <w:top w:val="single" w:color="auto" w:sz="4" w:space="0"/>
              <w:left w:val="single" w:color="auto" w:sz="12" w:space="0"/>
              <w:bottom w:val="single" w:color="auto" w:sz="4" w:space="0"/>
              <w:right w:val="single" w:color="auto" w:sz="4" w:space="0"/>
            </w:tcBorders>
            <w:vAlign w:val="center"/>
          </w:tcPr>
          <w:p w14:paraId="20DEE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3</w:t>
            </w:r>
          </w:p>
        </w:tc>
        <w:tc>
          <w:tcPr>
            <w:tcW w:w="1851" w:type="pct"/>
            <w:tcBorders>
              <w:top w:val="single" w:color="auto" w:sz="4" w:space="0"/>
              <w:left w:val="single" w:color="auto" w:sz="4" w:space="0"/>
              <w:bottom w:val="single" w:color="auto" w:sz="4" w:space="0"/>
              <w:right w:val="single" w:color="auto" w:sz="4" w:space="0"/>
            </w:tcBorders>
            <w:vAlign w:val="center"/>
          </w:tcPr>
          <w:p w14:paraId="590CA6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挖掘机</w:t>
            </w:r>
          </w:p>
        </w:tc>
        <w:tc>
          <w:tcPr>
            <w:tcW w:w="1728" w:type="pct"/>
            <w:tcBorders>
              <w:top w:val="single" w:color="auto" w:sz="4" w:space="0"/>
              <w:left w:val="single" w:color="auto" w:sz="4" w:space="0"/>
              <w:bottom w:val="single" w:color="auto" w:sz="4" w:space="0"/>
              <w:right w:val="single" w:color="auto" w:sz="12" w:space="0"/>
            </w:tcBorders>
            <w:vAlign w:val="center"/>
          </w:tcPr>
          <w:p w14:paraId="380C98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86</w:t>
            </w:r>
          </w:p>
        </w:tc>
      </w:tr>
      <w:tr w14:paraId="0BC9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1" w:type="pct"/>
            <w:tcBorders>
              <w:top w:val="single" w:color="auto" w:sz="4" w:space="0"/>
              <w:left w:val="single" w:color="auto" w:sz="12" w:space="0"/>
              <w:bottom w:val="single" w:color="auto" w:sz="4" w:space="0"/>
              <w:right w:val="single" w:color="auto" w:sz="4" w:space="0"/>
            </w:tcBorders>
            <w:vAlign w:val="center"/>
          </w:tcPr>
          <w:p w14:paraId="4516AF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4</w:t>
            </w:r>
          </w:p>
        </w:tc>
        <w:tc>
          <w:tcPr>
            <w:tcW w:w="1851" w:type="pct"/>
            <w:tcBorders>
              <w:top w:val="single" w:color="auto" w:sz="4" w:space="0"/>
              <w:left w:val="single" w:color="auto" w:sz="4" w:space="0"/>
              <w:bottom w:val="single" w:color="auto" w:sz="4" w:space="0"/>
              <w:right w:val="single" w:color="auto" w:sz="4" w:space="0"/>
            </w:tcBorders>
            <w:vAlign w:val="center"/>
          </w:tcPr>
          <w:p w14:paraId="054F61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振动器</w:t>
            </w:r>
          </w:p>
        </w:tc>
        <w:tc>
          <w:tcPr>
            <w:tcW w:w="1728" w:type="pct"/>
            <w:tcBorders>
              <w:top w:val="single" w:color="auto" w:sz="4" w:space="0"/>
              <w:left w:val="single" w:color="auto" w:sz="4" w:space="0"/>
              <w:bottom w:val="single" w:color="auto" w:sz="4" w:space="0"/>
              <w:right w:val="single" w:color="auto" w:sz="12" w:space="0"/>
            </w:tcBorders>
            <w:vAlign w:val="center"/>
          </w:tcPr>
          <w:p w14:paraId="0F9DF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92</w:t>
            </w:r>
          </w:p>
        </w:tc>
      </w:tr>
      <w:tr w14:paraId="31DE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1" w:type="pct"/>
            <w:tcBorders>
              <w:top w:val="single" w:color="auto" w:sz="4" w:space="0"/>
              <w:left w:val="single" w:color="auto" w:sz="12" w:space="0"/>
              <w:bottom w:val="single" w:color="auto" w:sz="12" w:space="0"/>
              <w:right w:val="single" w:color="auto" w:sz="4" w:space="0"/>
            </w:tcBorders>
            <w:vAlign w:val="center"/>
          </w:tcPr>
          <w:p w14:paraId="67E2CF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5</w:t>
            </w:r>
          </w:p>
        </w:tc>
        <w:tc>
          <w:tcPr>
            <w:tcW w:w="1851" w:type="pct"/>
            <w:tcBorders>
              <w:top w:val="single" w:color="auto" w:sz="4" w:space="0"/>
              <w:left w:val="single" w:color="auto" w:sz="4" w:space="0"/>
              <w:bottom w:val="single" w:color="auto" w:sz="12" w:space="0"/>
              <w:right w:val="single" w:color="auto" w:sz="4" w:space="0"/>
            </w:tcBorders>
            <w:vAlign w:val="center"/>
          </w:tcPr>
          <w:p w14:paraId="394B66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中、轻型载重汽车</w:t>
            </w:r>
          </w:p>
        </w:tc>
        <w:tc>
          <w:tcPr>
            <w:tcW w:w="1728" w:type="pct"/>
            <w:tcBorders>
              <w:top w:val="single" w:color="auto" w:sz="4" w:space="0"/>
              <w:left w:val="single" w:color="auto" w:sz="4" w:space="0"/>
              <w:bottom w:val="single" w:color="auto" w:sz="12" w:space="0"/>
              <w:right w:val="single" w:color="auto" w:sz="12" w:space="0"/>
            </w:tcBorders>
            <w:vAlign w:val="center"/>
          </w:tcPr>
          <w:p w14:paraId="56C226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1"/>
                <w:szCs w:val="16"/>
                <w:highlight w:val="none"/>
                <w:u w:val="none" w:color="auto"/>
              </w:rPr>
            </w:pPr>
            <w:r>
              <w:rPr>
                <w:rFonts w:hint="default" w:ascii="Times New Roman" w:hAnsi="Times New Roman" w:eastAsia="宋体" w:cs="Times New Roman"/>
                <w:b w:val="0"/>
                <w:bCs/>
                <w:color w:val="auto"/>
                <w:kern w:val="0"/>
                <w:sz w:val="21"/>
                <w:szCs w:val="16"/>
                <w:highlight w:val="none"/>
                <w:u w:val="none" w:color="auto"/>
              </w:rPr>
              <w:t>85</w:t>
            </w:r>
          </w:p>
        </w:tc>
      </w:tr>
    </w:tbl>
    <w:p w14:paraId="7816842E">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.3.4施工期固体废物</w:t>
      </w:r>
    </w:p>
    <w:p w14:paraId="4FD8A90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项目施工过程中场地平整、建筑物基础开挖产生的开挖土石方全部用于项目用地范围的回填，项目施工过程不会产生废弃土石方，故施工期固体废物主要是生活垃圾、建筑垃圾。</w:t>
      </w:r>
    </w:p>
    <w:p w14:paraId="0B56BE6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（1）建筑垃圾</w:t>
      </w:r>
    </w:p>
    <w:p w14:paraId="1A64C1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lang w:val="en-GB"/>
        </w:rPr>
        <w:t>项目施工期建筑垃圾主要来自施工作业及室内装修，包括砂石、石块、碎砖、混凝土碎块等</w:t>
      </w:r>
      <w:r>
        <w:rPr>
          <w:rFonts w:hint="default" w:ascii="Times New Roman" w:hAnsi="Times New Roman" w:eastAsia="宋体" w:cs="Times New Roman"/>
          <w:color w:val="auto"/>
          <w:sz w:val="24"/>
          <w:szCs w:val="21"/>
          <w:highlight w:val="none"/>
          <w:u w:val="none" w:color="auto"/>
        </w:rPr>
        <w:t>，建筑垃圾按每100m</w:t>
      </w:r>
      <w:r>
        <w:rPr>
          <w:rFonts w:hint="default" w:ascii="Times New Roman" w:hAnsi="Times New Roman" w:eastAsia="宋体" w:cs="Times New Roman"/>
          <w:color w:val="auto"/>
          <w:sz w:val="24"/>
          <w:szCs w:val="21"/>
          <w:highlight w:val="none"/>
          <w:u w:val="none" w:color="auto"/>
          <w:vertAlign w:val="superscript"/>
        </w:rPr>
        <w:t>2</w:t>
      </w:r>
      <w:r>
        <w:rPr>
          <w:rFonts w:hint="default" w:ascii="Times New Roman" w:hAnsi="Times New Roman" w:eastAsia="宋体" w:cs="Times New Roman"/>
          <w:color w:val="auto"/>
          <w:sz w:val="24"/>
          <w:szCs w:val="21"/>
          <w:highlight w:val="none"/>
          <w:u w:val="none" w:color="auto"/>
        </w:rPr>
        <w:t>建筑面积产生建筑垃圾1.5t计算，本项目总建筑面积约73448m</w:t>
      </w:r>
      <w:r>
        <w:rPr>
          <w:rFonts w:hint="default" w:ascii="Times New Roman" w:hAnsi="Times New Roman" w:eastAsia="宋体" w:cs="Times New Roman"/>
          <w:color w:val="auto"/>
          <w:sz w:val="24"/>
          <w:szCs w:val="21"/>
          <w:highlight w:val="none"/>
          <w:u w:val="none" w:color="auto"/>
          <w:vertAlign w:val="superscript"/>
        </w:rPr>
        <w:t>2</w:t>
      </w:r>
      <w:r>
        <w:rPr>
          <w:rFonts w:hint="default" w:ascii="Times New Roman" w:hAnsi="Times New Roman" w:eastAsia="宋体" w:cs="Times New Roman"/>
          <w:color w:val="auto"/>
          <w:sz w:val="24"/>
          <w:szCs w:val="21"/>
          <w:highlight w:val="none"/>
          <w:u w:val="none" w:color="auto"/>
        </w:rPr>
        <w:t>，则施工期建筑垃圾产生量约为1100t。</w:t>
      </w:r>
    </w:p>
    <w:p w14:paraId="7A0CE6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建筑垃圾集中收集后，需按照建筑垃圾管理部门的要求运至指定地点堆放或处置，并请具有建筑垃圾运输许可证的单位按照指定的路线和地点进行运输和填埋。</w:t>
      </w:r>
    </w:p>
    <w:p w14:paraId="6EFDAC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（2）生活垃圾</w:t>
      </w:r>
    </w:p>
    <w:p w14:paraId="36F03F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施工期施工人员约80人，不在施工场地食宿，垃圾产生量以0.3kg/人·d计，则约24kg/d，</w:t>
      </w:r>
      <w:r>
        <w:rPr>
          <w:rFonts w:hint="default" w:ascii="Times New Roman" w:hAnsi="Times New Roman" w:eastAsia="宋体" w:cs="Times New Roman"/>
          <w:color w:val="auto"/>
          <w:sz w:val="24"/>
          <w:szCs w:val="21"/>
          <w:highlight w:val="none"/>
          <w:u w:val="none" w:color="auto"/>
        </w:rPr>
        <w:t>生活垃圾统一收集后清运至垃圾收集清运点，由环卫部门处置。</w:t>
      </w:r>
    </w:p>
    <w:p w14:paraId="18910058">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.3.5施工期生态影响</w:t>
      </w:r>
    </w:p>
    <w:p w14:paraId="4A2659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项目位于</w:t>
      </w:r>
      <w:r>
        <w:rPr>
          <w:rFonts w:hint="default" w:ascii="Times New Roman" w:hAnsi="Times New Roman" w:eastAsia="宋体" w:cs="Times New Roman"/>
          <w:color w:val="auto"/>
          <w:sz w:val="24"/>
          <w:szCs w:val="21"/>
          <w:highlight w:val="none"/>
          <w:u w:val="none" w:color="auto"/>
          <w:lang w:val="en-GB" w:eastAsia="zh-CN"/>
        </w:rPr>
        <w:t>衡阳松木经济开发区</w:t>
      </w:r>
      <w:r>
        <w:rPr>
          <w:rFonts w:hint="default" w:ascii="Times New Roman" w:hAnsi="Times New Roman" w:eastAsia="宋体" w:cs="Times New Roman"/>
          <w:color w:val="auto"/>
          <w:sz w:val="24"/>
          <w:szCs w:val="21"/>
          <w:highlight w:val="none"/>
          <w:u w:val="none" w:color="auto"/>
          <w:lang w:val="en-GB"/>
        </w:rPr>
        <w:t>，项目用地为工业用地，施工期生态影响主要表现为施工水土流失。</w:t>
      </w:r>
    </w:p>
    <w:p w14:paraId="5564DF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项目施工开挖过程使表土松散裸露，在大雨或暴雨等天气下受地表径流的冲刷而发生水土流失，另外施工期由于挖土、堆料等作业，将会对局部景观造成一定的不良影响。但这些影响会随着施工的结束而消失，并且项目建成后绿化植被将会得到一定程度的恢复，补偿被损坏的生态，对区域生态环境有所改善。</w:t>
      </w:r>
    </w:p>
    <w:p w14:paraId="0CFFF875">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37" w:name="_Toc32263"/>
      <w:r>
        <w:rPr>
          <w:rFonts w:hint="default" w:ascii="Times New Roman" w:hAnsi="Times New Roman" w:eastAsia="宋体" w:cs="Times New Roman"/>
          <w:color w:val="auto"/>
          <w:sz w:val="28"/>
          <w:szCs w:val="28"/>
          <w:highlight w:val="none"/>
          <w:u w:val="none" w:color="auto"/>
          <w:lang w:val="en-US" w:eastAsia="zh-CN"/>
        </w:rPr>
        <w:t>4.4运营期污染源分析</w:t>
      </w:r>
      <w:bookmarkEnd w:id="37"/>
    </w:p>
    <w:p w14:paraId="6439752F">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4.4.1运营期废气</w:t>
      </w:r>
    </w:p>
    <w:p w14:paraId="52051A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本项目运营期废气主要污染物为氯化氢、硫酸雾、氮氧化物、</w:t>
      </w:r>
      <w:r>
        <w:rPr>
          <w:rFonts w:hint="default" w:ascii="Times New Roman" w:hAnsi="Times New Roman" w:eastAsia="宋体" w:cs="Times New Roman"/>
          <w:color w:val="auto"/>
          <w:sz w:val="24"/>
          <w:szCs w:val="21"/>
          <w:highlight w:val="none"/>
          <w:u w:val="none" w:color="auto"/>
          <w:lang w:val="en-GB" w:eastAsia="zh-CN"/>
        </w:rPr>
        <w:t>颗粒物、</w:t>
      </w:r>
      <w:r>
        <w:rPr>
          <w:rFonts w:hint="default" w:ascii="Times New Roman" w:hAnsi="Times New Roman" w:eastAsia="宋体" w:cs="Times New Roman"/>
          <w:color w:val="auto"/>
          <w:sz w:val="24"/>
          <w:szCs w:val="21"/>
          <w:highlight w:val="none"/>
          <w:u w:val="none" w:color="auto"/>
          <w:lang w:val="en-US" w:eastAsia="zh-CN"/>
        </w:rPr>
        <w:t>非甲烷总烃、</w:t>
      </w:r>
      <w:r>
        <w:rPr>
          <w:rFonts w:hint="default" w:ascii="Times New Roman" w:hAnsi="Times New Roman" w:eastAsia="宋体" w:cs="Times New Roman"/>
          <w:color w:val="auto"/>
          <w:sz w:val="24"/>
          <w:szCs w:val="21"/>
          <w:highlight w:val="none"/>
          <w:u w:val="none" w:color="auto"/>
          <w:lang w:val="en-GB" w:eastAsia="zh-CN"/>
        </w:rPr>
        <w:t>臭气浓度，其中氯</w:t>
      </w:r>
      <w:r>
        <w:rPr>
          <w:rFonts w:hint="default" w:ascii="Times New Roman" w:hAnsi="Times New Roman" w:eastAsia="宋体" w:cs="Times New Roman"/>
          <w:color w:val="auto"/>
          <w:sz w:val="24"/>
          <w:szCs w:val="21"/>
          <w:highlight w:val="none"/>
          <w:u w:val="none" w:color="auto"/>
          <w:lang w:val="en-GB"/>
        </w:rPr>
        <w:t>化氢、硫酸雾</w:t>
      </w:r>
      <w:r>
        <w:rPr>
          <w:rFonts w:hint="default" w:ascii="Times New Roman" w:hAnsi="Times New Roman" w:eastAsia="宋体" w:cs="Times New Roman"/>
          <w:color w:val="auto"/>
          <w:sz w:val="24"/>
          <w:szCs w:val="21"/>
          <w:highlight w:val="none"/>
          <w:u w:val="none" w:color="auto"/>
          <w:lang w:val="en-GB" w:eastAsia="zh-CN"/>
        </w:rPr>
        <w:t>、氮氧化物</w:t>
      </w:r>
      <w:r>
        <w:rPr>
          <w:rFonts w:hint="default" w:ascii="Times New Roman" w:hAnsi="Times New Roman" w:eastAsia="宋体" w:cs="Times New Roman"/>
          <w:color w:val="auto"/>
          <w:sz w:val="24"/>
          <w:szCs w:val="21"/>
          <w:highlight w:val="none"/>
          <w:u w:val="none" w:color="auto"/>
          <w:lang w:val="en-GB"/>
        </w:rPr>
        <w:t>主要来源于各生产线预处理中的活化、</w:t>
      </w:r>
      <w:r>
        <w:rPr>
          <w:rFonts w:hint="default" w:ascii="Times New Roman" w:hAnsi="Times New Roman" w:eastAsia="宋体" w:cs="Times New Roman"/>
          <w:color w:val="auto"/>
          <w:sz w:val="24"/>
          <w:szCs w:val="21"/>
          <w:highlight w:val="none"/>
          <w:u w:val="none" w:color="auto"/>
          <w:lang w:val="en-GB" w:eastAsia="zh-CN"/>
        </w:rPr>
        <w:t>出光</w:t>
      </w:r>
      <w:r>
        <w:rPr>
          <w:rFonts w:hint="default" w:ascii="Times New Roman" w:hAnsi="Times New Roman" w:eastAsia="宋体" w:cs="Times New Roman"/>
          <w:color w:val="auto"/>
          <w:sz w:val="24"/>
          <w:szCs w:val="21"/>
          <w:highlight w:val="none"/>
          <w:u w:val="none" w:color="auto"/>
          <w:lang w:val="en-GB"/>
        </w:rPr>
        <w:t>等</w:t>
      </w:r>
      <w:r>
        <w:rPr>
          <w:rFonts w:hint="default" w:ascii="Times New Roman" w:hAnsi="Times New Roman" w:eastAsia="宋体" w:cs="Times New Roman"/>
          <w:color w:val="auto"/>
          <w:sz w:val="24"/>
          <w:szCs w:val="21"/>
          <w:highlight w:val="none"/>
          <w:u w:val="none" w:color="auto"/>
          <w:lang w:val="en-GB" w:eastAsia="zh-CN"/>
        </w:rPr>
        <w:t>工序以及退镀线退镀</w:t>
      </w:r>
      <w:r>
        <w:rPr>
          <w:rFonts w:hint="default" w:ascii="Times New Roman" w:hAnsi="Times New Roman" w:eastAsia="宋体" w:cs="Times New Roman"/>
          <w:color w:val="auto"/>
          <w:sz w:val="24"/>
          <w:szCs w:val="21"/>
          <w:highlight w:val="none"/>
          <w:u w:val="none" w:color="auto"/>
          <w:lang w:val="en-GB"/>
        </w:rPr>
        <w:t>，</w:t>
      </w:r>
      <w:r>
        <w:rPr>
          <w:rFonts w:hint="default" w:ascii="Times New Roman" w:hAnsi="Times New Roman" w:eastAsia="宋体" w:cs="Times New Roman"/>
          <w:color w:val="auto"/>
          <w:sz w:val="24"/>
          <w:szCs w:val="21"/>
          <w:highlight w:val="none"/>
          <w:u w:val="none" w:color="auto"/>
          <w:lang w:val="en-US" w:eastAsia="zh-CN"/>
        </w:rPr>
        <w:t>非甲烷总烃来源烧结超硬材料制品生产线的树脂压制及烧结工序，颗粒物来源于机加工</w:t>
      </w:r>
      <w:r>
        <w:rPr>
          <w:rFonts w:hint="eastAsia" w:ascii="Times New Roman" w:hAnsi="Times New Roman" w:eastAsia="宋体" w:cs="Times New Roman"/>
          <w:color w:val="auto"/>
          <w:sz w:val="24"/>
          <w:szCs w:val="21"/>
          <w:highlight w:val="none"/>
          <w:u w:val="none" w:color="auto"/>
          <w:lang w:val="en-US" w:eastAsia="zh-CN"/>
        </w:rPr>
        <w:t>工序</w:t>
      </w:r>
      <w:r>
        <w:rPr>
          <w:rFonts w:hint="default" w:ascii="Times New Roman" w:hAnsi="Times New Roman" w:eastAsia="宋体" w:cs="Times New Roman"/>
          <w:color w:val="auto"/>
          <w:sz w:val="24"/>
          <w:szCs w:val="21"/>
          <w:highlight w:val="none"/>
          <w:u w:val="none" w:color="auto"/>
          <w:lang w:val="en-US" w:eastAsia="zh-CN"/>
        </w:rPr>
        <w:t>，</w:t>
      </w:r>
      <w:r>
        <w:rPr>
          <w:rFonts w:hint="default" w:ascii="Times New Roman" w:hAnsi="Times New Roman" w:eastAsia="宋体" w:cs="Times New Roman"/>
          <w:color w:val="auto"/>
          <w:sz w:val="24"/>
          <w:szCs w:val="21"/>
          <w:highlight w:val="none"/>
          <w:u w:val="none" w:color="auto"/>
          <w:lang w:val="en-GB" w:eastAsia="zh-CN"/>
        </w:rPr>
        <w:t>臭气浓度</w:t>
      </w:r>
      <w:r>
        <w:rPr>
          <w:rFonts w:hint="default" w:ascii="Times New Roman" w:hAnsi="Times New Roman" w:eastAsia="宋体" w:cs="Times New Roman"/>
          <w:color w:val="auto"/>
          <w:sz w:val="24"/>
          <w:szCs w:val="21"/>
          <w:highlight w:val="none"/>
          <w:u w:val="none" w:color="auto"/>
          <w:lang w:val="en-GB"/>
        </w:rPr>
        <w:t>主要来源于</w:t>
      </w:r>
      <w:r>
        <w:rPr>
          <w:rFonts w:hint="default" w:ascii="Times New Roman" w:hAnsi="Times New Roman" w:eastAsia="宋体" w:cs="Times New Roman"/>
          <w:color w:val="auto"/>
          <w:sz w:val="24"/>
          <w:szCs w:val="21"/>
          <w:highlight w:val="none"/>
          <w:u w:val="none" w:color="auto"/>
          <w:lang w:val="en-GB" w:eastAsia="zh-CN"/>
        </w:rPr>
        <w:t>废水处理站及</w:t>
      </w:r>
      <w:r>
        <w:rPr>
          <w:rFonts w:hint="default" w:ascii="Times New Roman" w:hAnsi="Times New Roman" w:eastAsia="宋体" w:cs="Times New Roman"/>
          <w:color w:val="auto"/>
          <w:sz w:val="24"/>
          <w:szCs w:val="21"/>
          <w:highlight w:val="none"/>
          <w:u w:val="none" w:color="auto"/>
          <w:lang w:val="en-US" w:eastAsia="zh-CN"/>
        </w:rPr>
        <w:t>树脂压制及烧结工序</w:t>
      </w:r>
      <w:r>
        <w:rPr>
          <w:rFonts w:hint="default" w:ascii="Times New Roman" w:hAnsi="Times New Roman" w:eastAsia="宋体" w:cs="Times New Roman"/>
          <w:color w:val="auto"/>
          <w:sz w:val="24"/>
          <w:szCs w:val="21"/>
          <w:highlight w:val="none"/>
          <w:u w:val="none" w:color="auto"/>
          <w:lang w:val="en-GB"/>
        </w:rPr>
        <w:t>。</w:t>
      </w:r>
    </w:p>
    <w:p w14:paraId="64238E0A">
      <w:pPr>
        <w:rPr>
          <w:rFonts w:hint="default" w:ascii="Times New Roman" w:hAnsi="Times New Roman" w:eastAsia="宋体" w:cs="Times New Roman"/>
          <w:b/>
          <w:bCs/>
          <w:color w:val="auto"/>
          <w:sz w:val="24"/>
          <w:szCs w:val="21"/>
          <w:highlight w:val="none"/>
          <w:u w:val="none" w:color="auto"/>
        </w:rPr>
      </w:pPr>
      <w:r>
        <w:rPr>
          <w:rFonts w:hint="default" w:ascii="Times New Roman" w:hAnsi="Times New Roman" w:eastAsia="宋体" w:cs="Times New Roman"/>
          <w:b/>
          <w:bCs/>
          <w:color w:val="auto"/>
          <w:sz w:val="24"/>
          <w:szCs w:val="21"/>
          <w:highlight w:val="none"/>
          <w:u w:val="none" w:color="auto"/>
          <w:lang w:val="en-US" w:eastAsia="zh-CN"/>
        </w:rPr>
        <w:t>4.4.1.1</w:t>
      </w:r>
      <w:r>
        <w:rPr>
          <w:rFonts w:hint="default" w:ascii="Times New Roman" w:hAnsi="Times New Roman" w:eastAsia="宋体" w:cs="Times New Roman"/>
          <w:b/>
          <w:bCs/>
          <w:color w:val="auto"/>
          <w:sz w:val="24"/>
          <w:szCs w:val="21"/>
          <w:highlight w:val="none"/>
          <w:u w:val="none" w:color="auto"/>
        </w:rPr>
        <w:t>有组织废气</w:t>
      </w:r>
    </w:p>
    <w:p w14:paraId="0C23A3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eastAsia="zh-CN"/>
        </w:rPr>
        <w:t>（</w:t>
      </w:r>
      <w:r>
        <w:rPr>
          <w:rFonts w:hint="default" w:ascii="Times New Roman" w:hAnsi="Times New Roman" w:eastAsia="宋体" w:cs="Times New Roman"/>
          <w:color w:val="auto"/>
          <w:sz w:val="24"/>
          <w:szCs w:val="21"/>
          <w:highlight w:val="none"/>
          <w:u w:val="none" w:color="auto"/>
          <w:lang w:val="en-US" w:eastAsia="zh-CN"/>
        </w:rPr>
        <w:t>1</w:t>
      </w:r>
      <w:r>
        <w:rPr>
          <w:rFonts w:hint="default" w:ascii="Times New Roman" w:hAnsi="Times New Roman" w:eastAsia="宋体" w:cs="Times New Roman"/>
          <w:color w:val="auto"/>
          <w:sz w:val="24"/>
          <w:szCs w:val="21"/>
          <w:highlight w:val="none"/>
          <w:u w:val="none" w:color="auto"/>
          <w:lang w:val="en-GB" w:eastAsia="zh-CN"/>
        </w:rPr>
        <w:t>）电镀</w:t>
      </w:r>
      <w:r>
        <w:rPr>
          <w:rFonts w:hint="default" w:ascii="Times New Roman" w:hAnsi="Times New Roman" w:eastAsia="宋体" w:cs="Times New Roman"/>
          <w:color w:val="auto"/>
          <w:sz w:val="24"/>
          <w:szCs w:val="21"/>
          <w:highlight w:val="none"/>
          <w:u w:val="none" w:color="auto"/>
          <w:lang w:val="en-GB"/>
        </w:rPr>
        <w:t>工艺废气</w:t>
      </w:r>
    </w:p>
    <w:p w14:paraId="138EF9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single" w:color="auto"/>
          <w:lang w:val="en-GB"/>
        </w:rPr>
        <w:t>本项目</w:t>
      </w:r>
      <w:r>
        <w:rPr>
          <w:rFonts w:hint="eastAsia" w:ascii="Times New Roman" w:hAnsi="Times New Roman" w:eastAsia="宋体" w:cs="Times New Roman"/>
          <w:color w:val="auto"/>
          <w:sz w:val="24"/>
          <w:szCs w:val="21"/>
          <w:highlight w:val="none"/>
          <w:u w:val="single" w:color="auto"/>
          <w:lang w:val="en-GB" w:eastAsia="zh-CN"/>
        </w:rPr>
        <w:t>车间内各生产区域内的电镀生产线进行了封闭负压收集，同时</w:t>
      </w:r>
      <w:r>
        <w:rPr>
          <w:rFonts w:hint="default" w:ascii="Times New Roman" w:hAnsi="Times New Roman" w:eastAsia="宋体" w:cs="Times New Roman"/>
          <w:color w:val="auto"/>
          <w:sz w:val="24"/>
          <w:szCs w:val="21"/>
          <w:highlight w:val="none"/>
          <w:u w:val="single" w:color="auto"/>
          <w:lang w:val="en-GB"/>
        </w:rPr>
        <w:t>各镀槽、酸洗槽、活化槽等</w:t>
      </w:r>
      <w:r>
        <w:rPr>
          <w:rFonts w:hint="eastAsia" w:ascii="Times New Roman" w:hAnsi="Times New Roman" w:eastAsia="宋体" w:cs="Times New Roman"/>
          <w:color w:val="auto"/>
          <w:sz w:val="24"/>
          <w:szCs w:val="21"/>
          <w:highlight w:val="none"/>
          <w:u w:val="single" w:color="auto"/>
          <w:lang w:val="en-GB" w:eastAsia="zh-CN"/>
        </w:rPr>
        <w:t>产污槽</w:t>
      </w:r>
      <w:r>
        <w:rPr>
          <w:rFonts w:hint="default" w:ascii="Times New Roman" w:hAnsi="Times New Roman" w:eastAsia="宋体" w:cs="Times New Roman"/>
          <w:color w:val="auto"/>
          <w:sz w:val="24"/>
          <w:szCs w:val="21"/>
          <w:highlight w:val="none"/>
          <w:u w:val="single" w:color="auto"/>
          <w:lang w:val="en-GB"/>
        </w:rPr>
        <w:t>采取槽边</w:t>
      </w:r>
      <w:r>
        <w:rPr>
          <w:rFonts w:hint="default" w:ascii="Times New Roman" w:hAnsi="Times New Roman" w:eastAsia="宋体" w:cs="Times New Roman"/>
          <w:color w:val="auto"/>
          <w:sz w:val="24"/>
          <w:szCs w:val="21"/>
          <w:highlight w:val="none"/>
          <w:u w:val="single" w:color="auto"/>
          <w:lang w:val="en-GB" w:eastAsia="zh-CN"/>
        </w:rPr>
        <w:t>或者槽顶</w:t>
      </w:r>
      <w:r>
        <w:rPr>
          <w:rFonts w:hint="default" w:ascii="Times New Roman" w:hAnsi="Times New Roman" w:eastAsia="宋体" w:cs="Times New Roman"/>
          <w:color w:val="auto"/>
          <w:sz w:val="24"/>
          <w:szCs w:val="21"/>
          <w:highlight w:val="none"/>
          <w:u w:val="single" w:color="auto"/>
          <w:lang w:val="en-GB"/>
        </w:rPr>
        <w:t>抽风，</w:t>
      </w:r>
      <w:r>
        <w:rPr>
          <w:rFonts w:hint="default" w:ascii="Times New Roman" w:hAnsi="Times New Roman" w:eastAsia="宋体" w:cs="Times New Roman"/>
          <w:color w:val="auto"/>
          <w:sz w:val="24"/>
          <w:szCs w:val="21"/>
          <w:highlight w:val="none"/>
          <w:u w:val="none" w:color="auto"/>
          <w:lang w:val="en-GB"/>
        </w:rPr>
        <w:t>将产生的氯化氢、硫酸雾、氮氧化物抽吸至</w:t>
      </w:r>
      <w:r>
        <w:rPr>
          <w:rFonts w:hint="default" w:ascii="Times New Roman" w:hAnsi="Times New Roman" w:eastAsia="宋体" w:cs="Times New Roman"/>
          <w:color w:val="auto"/>
          <w:sz w:val="24"/>
          <w:szCs w:val="21"/>
          <w:highlight w:val="none"/>
          <w:u w:val="none" w:color="auto"/>
          <w:lang w:val="en-GB" w:eastAsia="zh-CN"/>
        </w:rPr>
        <w:t>三级</w:t>
      </w:r>
      <w:r>
        <w:rPr>
          <w:rFonts w:hint="default" w:ascii="Times New Roman" w:hAnsi="Times New Roman" w:eastAsia="宋体" w:cs="Times New Roman"/>
          <w:color w:val="auto"/>
          <w:sz w:val="24"/>
          <w:szCs w:val="21"/>
          <w:highlight w:val="none"/>
          <w:u w:val="none" w:color="auto"/>
          <w:lang w:val="en-GB"/>
        </w:rPr>
        <w:t>喷淋塔进行处理。</w:t>
      </w:r>
    </w:p>
    <w:p w14:paraId="7621D7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①氯化氢</w:t>
      </w:r>
    </w:p>
    <w:p w14:paraId="182045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本项目生产线使用盐酸的工序主要包括前处理镀线的活化工序以及退镀工序。根据建设单位提供的资料，为防止槽体中酸雾的挥发，将使用酸雾抑制剂来减少80%酸雾的形成。</w:t>
      </w:r>
      <w:r>
        <w:rPr>
          <w:rFonts w:hint="default" w:ascii="Times New Roman" w:hAnsi="Times New Roman" w:eastAsia="宋体" w:cs="Times New Roman"/>
          <w:color w:val="auto"/>
          <w:sz w:val="24"/>
          <w:szCs w:val="21"/>
          <w:highlight w:val="none"/>
          <w:u w:val="single" w:color="auto"/>
          <w:lang w:val="en-GB"/>
        </w:rPr>
        <w:t>本项目</w:t>
      </w:r>
      <w:r>
        <w:rPr>
          <w:rFonts w:hint="eastAsia" w:ascii="Times New Roman" w:hAnsi="Times New Roman" w:eastAsia="宋体" w:cs="Times New Roman"/>
          <w:color w:val="auto"/>
          <w:sz w:val="24"/>
          <w:szCs w:val="21"/>
          <w:highlight w:val="none"/>
          <w:u w:val="single" w:color="auto"/>
          <w:lang w:val="en-GB" w:eastAsia="zh-CN"/>
        </w:rPr>
        <w:t>车间内各生产区域内的电镀生产线进行了封闭负压收集，同时</w:t>
      </w:r>
      <w:r>
        <w:rPr>
          <w:rFonts w:hint="default" w:ascii="Times New Roman" w:hAnsi="Times New Roman" w:eastAsia="宋体" w:cs="Times New Roman"/>
          <w:color w:val="auto"/>
          <w:sz w:val="24"/>
          <w:szCs w:val="21"/>
          <w:highlight w:val="none"/>
          <w:u w:val="single" w:color="auto"/>
          <w:lang w:val="en-GB"/>
        </w:rPr>
        <w:t>各镀槽、酸洗槽、活化槽等</w:t>
      </w:r>
      <w:r>
        <w:rPr>
          <w:rFonts w:hint="eastAsia" w:ascii="Times New Roman" w:hAnsi="Times New Roman" w:eastAsia="宋体" w:cs="Times New Roman"/>
          <w:color w:val="auto"/>
          <w:sz w:val="24"/>
          <w:szCs w:val="21"/>
          <w:highlight w:val="none"/>
          <w:u w:val="single" w:color="auto"/>
          <w:lang w:val="en-GB" w:eastAsia="zh-CN"/>
        </w:rPr>
        <w:t>产污槽</w:t>
      </w:r>
      <w:r>
        <w:rPr>
          <w:rFonts w:hint="default" w:ascii="Times New Roman" w:hAnsi="Times New Roman" w:eastAsia="宋体" w:cs="Times New Roman"/>
          <w:color w:val="auto"/>
          <w:sz w:val="24"/>
          <w:szCs w:val="21"/>
          <w:highlight w:val="none"/>
          <w:u w:val="single" w:color="auto"/>
          <w:lang w:val="en-GB"/>
        </w:rPr>
        <w:t>采取槽边</w:t>
      </w:r>
      <w:r>
        <w:rPr>
          <w:rFonts w:hint="default" w:ascii="Times New Roman" w:hAnsi="Times New Roman" w:eastAsia="宋体" w:cs="Times New Roman"/>
          <w:color w:val="auto"/>
          <w:sz w:val="24"/>
          <w:szCs w:val="21"/>
          <w:highlight w:val="none"/>
          <w:u w:val="single" w:color="auto"/>
          <w:lang w:val="en-GB" w:eastAsia="zh-CN"/>
        </w:rPr>
        <w:t>或者槽顶</w:t>
      </w:r>
      <w:r>
        <w:rPr>
          <w:rFonts w:hint="default" w:ascii="Times New Roman" w:hAnsi="Times New Roman" w:eastAsia="宋体" w:cs="Times New Roman"/>
          <w:color w:val="auto"/>
          <w:sz w:val="24"/>
          <w:szCs w:val="21"/>
          <w:highlight w:val="none"/>
          <w:u w:val="single" w:color="auto"/>
          <w:lang w:val="en-GB"/>
        </w:rPr>
        <w:t>抽风</w:t>
      </w:r>
      <w:r>
        <w:rPr>
          <w:rFonts w:hint="default" w:ascii="Times New Roman" w:hAnsi="Times New Roman" w:eastAsia="宋体" w:cs="Times New Roman"/>
          <w:color w:val="auto"/>
          <w:sz w:val="24"/>
          <w:szCs w:val="21"/>
          <w:highlight w:val="none"/>
          <w:u w:val="none" w:color="auto"/>
          <w:lang w:val="en-GB"/>
        </w:rPr>
        <w:t>，将挥发的盐酸雾抽吸至喷淋塔进行中和处理，喷淋塔中加入低浓度氢氧化钠中和盐酸雾，去除效率可达95%以上。</w:t>
      </w:r>
    </w:p>
    <w:p w14:paraId="13D7EA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②硫酸雾</w:t>
      </w:r>
    </w:p>
    <w:p w14:paraId="273E8C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本项目活化</w:t>
      </w:r>
      <w:r>
        <w:rPr>
          <w:rFonts w:hint="default" w:ascii="Times New Roman" w:hAnsi="Times New Roman" w:eastAsia="宋体" w:cs="Times New Roman"/>
          <w:color w:val="auto"/>
          <w:sz w:val="24"/>
          <w:szCs w:val="21"/>
          <w:highlight w:val="none"/>
          <w:u w:val="none" w:color="auto"/>
          <w:lang w:val="en-GB" w:eastAsia="zh-CN"/>
        </w:rPr>
        <w:t>工序</w:t>
      </w:r>
      <w:r>
        <w:rPr>
          <w:rFonts w:hint="default" w:ascii="Times New Roman" w:hAnsi="Times New Roman" w:eastAsia="宋体" w:cs="Times New Roman"/>
          <w:color w:val="auto"/>
          <w:sz w:val="24"/>
          <w:szCs w:val="21"/>
          <w:highlight w:val="none"/>
          <w:u w:val="none" w:color="auto"/>
          <w:lang w:val="en-GB"/>
        </w:rPr>
        <w:t>会产生少量的硫酸雾，根据建设单位提供的资料，为防止槽体中酸雾的挥发，将使用酸雾抑制剂来减少80%酸雾的形成。</w:t>
      </w:r>
      <w:r>
        <w:rPr>
          <w:rFonts w:hint="default" w:ascii="Times New Roman" w:hAnsi="Times New Roman" w:eastAsia="宋体" w:cs="Times New Roman"/>
          <w:color w:val="auto"/>
          <w:sz w:val="24"/>
          <w:szCs w:val="21"/>
          <w:highlight w:val="none"/>
          <w:u w:val="single" w:color="auto"/>
          <w:lang w:val="en-GB"/>
        </w:rPr>
        <w:t>本项目</w:t>
      </w:r>
      <w:r>
        <w:rPr>
          <w:rFonts w:hint="eastAsia" w:ascii="Times New Roman" w:hAnsi="Times New Roman" w:eastAsia="宋体" w:cs="Times New Roman"/>
          <w:color w:val="auto"/>
          <w:sz w:val="24"/>
          <w:szCs w:val="21"/>
          <w:highlight w:val="none"/>
          <w:u w:val="single" w:color="auto"/>
          <w:lang w:val="en-GB" w:eastAsia="zh-CN"/>
        </w:rPr>
        <w:t>车间内各生产区域内的电镀生产线进行了封闭负压收集，同时</w:t>
      </w:r>
      <w:r>
        <w:rPr>
          <w:rFonts w:hint="default" w:ascii="Times New Roman" w:hAnsi="Times New Roman" w:eastAsia="宋体" w:cs="Times New Roman"/>
          <w:color w:val="auto"/>
          <w:sz w:val="24"/>
          <w:szCs w:val="21"/>
          <w:highlight w:val="none"/>
          <w:u w:val="single" w:color="auto"/>
          <w:lang w:val="en-GB"/>
        </w:rPr>
        <w:t>各镀槽、酸洗槽、活化槽等</w:t>
      </w:r>
      <w:r>
        <w:rPr>
          <w:rFonts w:hint="eastAsia" w:ascii="Times New Roman" w:hAnsi="Times New Roman" w:eastAsia="宋体" w:cs="Times New Roman"/>
          <w:color w:val="auto"/>
          <w:sz w:val="24"/>
          <w:szCs w:val="21"/>
          <w:highlight w:val="none"/>
          <w:u w:val="single" w:color="auto"/>
          <w:lang w:val="en-GB" w:eastAsia="zh-CN"/>
        </w:rPr>
        <w:t>产污槽</w:t>
      </w:r>
      <w:r>
        <w:rPr>
          <w:rFonts w:hint="default" w:ascii="Times New Roman" w:hAnsi="Times New Roman" w:eastAsia="宋体" w:cs="Times New Roman"/>
          <w:color w:val="auto"/>
          <w:sz w:val="24"/>
          <w:szCs w:val="21"/>
          <w:highlight w:val="none"/>
          <w:u w:val="single" w:color="auto"/>
          <w:lang w:val="en-GB"/>
        </w:rPr>
        <w:t>采取槽边</w:t>
      </w:r>
      <w:r>
        <w:rPr>
          <w:rFonts w:hint="default" w:ascii="Times New Roman" w:hAnsi="Times New Roman" w:eastAsia="宋体" w:cs="Times New Roman"/>
          <w:color w:val="auto"/>
          <w:sz w:val="24"/>
          <w:szCs w:val="21"/>
          <w:highlight w:val="none"/>
          <w:u w:val="single" w:color="auto"/>
          <w:lang w:val="en-GB" w:eastAsia="zh-CN"/>
        </w:rPr>
        <w:t>或者槽顶</w:t>
      </w:r>
      <w:r>
        <w:rPr>
          <w:rFonts w:hint="default" w:ascii="Times New Roman" w:hAnsi="Times New Roman" w:eastAsia="宋体" w:cs="Times New Roman"/>
          <w:color w:val="auto"/>
          <w:sz w:val="24"/>
          <w:szCs w:val="21"/>
          <w:highlight w:val="none"/>
          <w:u w:val="single" w:color="auto"/>
          <w:lang w:val="en-GB"/>
        </w:rPr>
        <w:t>抽风</w:t>
      </w:r>
      <w:r>
        <w:rPr>
          <w:rFonts w:hint="default" w:ascii="Times New Roman" w:hAnsi="Times New Roman" w:eastAsia="宋体" w:cs="Times New Roman"/>
          <w:color w:val="auto"/>
          <w:sz w:val="24"/>
          <w:szCs w:val="21"/>
          <w:highlight w:val="none"/>
          <w:u w:val="none" w:color="auto"/>
          <w:lang w:val="en-GB"/>
        </w:rPr>
        <w:t>，将硫酸雾抽吸至喷淋塔，喷淋塔中加入10%碳酸钠和氢氧化钠溶液中和硫酸雾，去除效率可达90%以上。</w:t>
      </w:r>
    </w:p>
    <w:p w14:paraId="098128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③氮氧化物（硝酸雾）</w:t>
      </w:r>
    </w:p>
    <w:p w14:paraId="36E522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w:t>
      </w:r>
      <w:r>
        <w:rPr>
          <w:rFonts w:hint="default" w:ascii="Times New Roman" w:hAnsi="Times New Roman" w:eastAsia="宋体" w:cs="Times New Roman"/>
          <w:color w:val="auto"/>
          <w:sz w:val="24"/>
          <w:szCs w:val="21"/>
          <w:highlight w:val="none"/>
          <w:u w:val="none" w:color="auto"/>
          <w:lang w:val="en-GB" w:eastAsia="zh-CN"/>
        </w:rPr>
        <w:t>出光工序、退镀工序</w:t>
      </w:r>
      <w:r>
        <w:rPr>
          <w:rFonts w:hint="default" w:ascii="Times New Roman" w:hAnsi="Times New Roman" w:eastAsia="宋体" w:cs="Times New Roman"/>
          <w:color w:val="auto"/>
          <w:sz w:val="24"/>
          <w:szCs w:val="21"/>
          <w:highlight w:val="none"/>
          <w:u w:val="none" w:color="auto"/>
          <w:lang w:val="en-GB"/>
        </w:rPr>
        <w:t>会产生氮氧化物，根据建设单位提供的资料，为防止槽体中酸雾的挥发，将使用酸雾抑制剂来减少80%酸雾的形成。</w:t>
      </w:r>
      <w:r>
        <w:rPr>
          <w:rFonts w:hint="default" w:ascii="Times New Roman" w:hAnsi="Times New Roman" w:eastAsia="宋体" w:cs="Times New Roman"/>
          <w:color w:val="auto"/>
          <w:sz w:val="24"/>
          <w:szCs w:val="21"/>
          <w:highlight w:val="none"/>
          <w:u w:val="single" w:color="auto"/>
          <w:lang w:val="en-GB"/>
        </w:rPr>
        <w:t>本项目</w:t>
      </w:r>
      <w:r>
        <w:rPr>
          <w:rFonts w:hint="eastAsia" w:ascii="Times New Roman" w:hAnsi="Times New Roman" w:eastAsia="宋体" w:cs="Times New Roman"/>
          <w:color w:val="auto"/>
          <w:sz w:val="24"/>
          <w:szCs w:val="21"/>
          <w:highlight w:val="none"/>
          <w:u w:val="single" w:color="auto"/>
          <w:lang w:val="en-GB" w:eastAsia="zh-CN"/>
        </w:rPr>
        <w:t>车间内各生产区域内的电镀生产线进行了封闭负压收集，同时</w:t>
      </w:r>
      <w:r>
        <w:rPr>
          <w:rFonts w:hint="default" w:ascii="Times New Roman" w:hAnsi="Times New Roman" w:eastAsia="宋体" w:cs="Times New Roman"/>
          <w:color w:val="auto"/>
          <w:sz w:val="24"/>
          <w:szCs w:val="21"/>
          <w:highlight w:val="none"/>
          <w:u w:val="single" w:color="auto"/>
          <w:lang w:val="en-GB"/>
        </w:rPr>
        <w:t>各镀槽、酸洗槽、活化槽等</w:t>
      </w:r>
      <w:r>
        <w:rPr>
          <w:rFonts w:hint="eastAsia" w:ascii="Times New Roman" w:hAnsi="Times New Roman" w:eastAsia="宋体" w:cs="Times New Roman"/>
          <w:color w:val="auto"/>
          <w:sz w:val="24"/>
          <w:szCs w:val="21"/>
          <w:highlight w:val="none"/>
          <w:u w:val="single" w:color="auto"/>
          <w:lang w:val="en-GB" w:eastAsia="zh-CN"/>
        </w:rPr>
        <w:t>产污槽</w:t>
      </w:r>
      <w:r>
        <w:rPr>
          <w:rFonts w:hint="default" w:ascii="Times New Roman" w:hAnsi="Times New Roman" w:eastAsia="宋体" w:cs="Times New Roman"/>
          <w:color w:val="auto"/>
          <w:sz w:val="24"/>
          <w:szCs w:val="21"/>
          <w:highlight w:val="none"/>
          <w:u w:val="single" w:color="auto"/>
          <w:lang w:val="en-GB"/>
        </w:rPr>
        <w:t>采取槽边</w:t>
      </w:r>
      <w:r>
        <w:rPr>
          <w:rFonts w:hint="default" w:ascii="Times New Roman" w:hAnsi="Times New Roman" w:eastAsia="宋体" w:cs="Times New Roman"/>
          <w:color w:val="auto"/>
          <w:sz w:val="24"/>
          <w:szCs w:val="21"/>
          <w:highlight w:val="none"/>
          <w:u w:val="single" w:color="auto"/>
          <w:lang w:val="en-GB" w:eastAsia="zh-CN"/>
        </w:rPr>
        <w:t>或者槽顶</w:t>
      </w:r>
      <w:r>
        <w:rPr>
          <w:rFonts w:hint="default" w:ascii="Times New Roman" w:hAnsi="Times New Roman" w:eastAsia="宋体" w:cs="Times New Roman"/>
          <w:color w:val="auto"/>
          <w:sz w:val="24"/>
          <w:szCs w:val="21"/>
          <w:highlight w:val="none"/>
          <w:u w:val="single" w:color="auto"/>
          <w:lang w:val="en-GB"/>
        </w:rPr>
        <w:t>抽风，</w:t>
      </w:r>
      <w:r>
        <w:rPr>
          <w:rFonts w:hint="default" w:ascii="Times New Roman" w:hAnsi="Times New Roman" w:eastAsia="宋体" w:cs="Times New Roman"/>
          <w:color w:val="auto"/>
          <w:sz w:val="24"/>
          <w:szCs w:val="21"/>
          <w:highlight w:val="none"/>
          <w:u w:val="none" w:color="auto"/>
          <w:lang w:val="en-GB"/>
        </w:rPr>
        <w:t>将氮氧化物抽吸至喷淋塔进行中和处理，喷淋塔中加入10%碳酸钠和氢氧化钠溶液中和氮氧化物，去除效率可达</w:t>
      </w:r>
      <w:r>
        <w:rPr>
          <w:rFonts w:hint="default" w:ascii="Times New Roman" w:hAnsi="Times New Roman" w:eastAsia="宋体" w:cs="Times New Roman"/>
          <w:color w:val="auto"/>
          <w:sz w:val="24"/>
          <w:szCs w:val="21"/>
          <w:highlight w:val="none"/>
          <w:u w:val="none" w:color="auto"/>
          <w:lang w:val="en-US" w:eastAsia="zh-CN"/>
        </w:rPr>
        <w:t>85</w:t>
      </w:r>
      <w:r>
        <w:rPr>
          <w:rFonts w:hint="default" w:ascii="Times New Roman" w:hAnsi="Times New Roman" w:eastAsia="宋体" w:cs="Times New Roman"/>
          <w:color w:val="auto"/>
          <w:sz w:val="24"/>
          <w:szCs w:val="21"/>
          <w:highlight w:val="none"/>
          <w:u w:val="none" w:color="auto"/>
          <w:lang w:val="en-GB"/>
        </w:rPr>
        <w:t>%以上。</w:t>
      </w:r>
    </w:p>
    <w:p w14:paraId="1C8D24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i w:val="0"/>
          <w:iCs w:val="0"/>
          <w:color w:val="auto"/>
          <w:sz w:val="24"/>
          <w:szCs w:val="21"/>
          <w:highlight w:val="none"/>
          <w:u w:val="none" w:color="auto"/>
          <w:lang w:val="en-GB"/>
        </w:rPr>
        <w:t>④</w:t>
      </w:r>
      <w:r>
        <w:rPr>
          <w:rFonts w:hint="default" w:ascii="Times New Roman" w:hAnsi="Times New Roman" w:eastAsia="宋体" w:cs="Times New Roman"/>
          <w:color w:val="auto"/>
          <w:sz w:val="24"/>
          <w:szCs w:val="21"/>
          <w:highlight w:val="none"/>
          <w:u w:val="none" w:color="auto"/>
          <w:lang w:val="en-GB"/>
        </w:rPr>
        <w:t>电镀工艺废气（酸雾）污染源源强</w:t>
      </w:r>
    </w:p>
    <w:p w14:paraId="2508B6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根据《污染源源强核算技术指南电镀》（HJ984-2018），本项目各工艺废气源强计算方法如下：</w:t>
      </w:r>
    </w:p>
    <w:p w14:paraId="2EF422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本项目工艺废气源强采用产污系数法计算。</w:t>
      </w:r>
    </w:p>
    <w:p w14:paraId="6EEACE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根据同类污染源调查获取的反映行业污染物排放规律的产污系数估算污染物产生量的方法，可按下面公式计算：</w:t>
      </w:r>
    </w:p>
    <w:p w14:paraId="2FCE6B7C">
      <w:pPr>
        <w:spacing w:line="240" w:lineRule="auto"/>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sz w:val="24"/>
          <w:szCs w:val="24"/>
          <w:highlight w:val="none"/>
          <w:u w:val="none" w:color="auto"/>
        </w:rPr>
        <w:drawing>
          <wp:inline distT="0" distB="0" distL="0" distR="0">
            <wp:extent cx="2091055" cy="461010"/>
            <wp:effectExtent l="0" t="0" r="4445" b="15240"/>
            <wp:docPr id="5" name="图片 31" descr="1558797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1558797351(1)"/>
                    <pic:cNvPicPr>
                      <a:picLocks noChangeAspect="1" noChangeArrowheads="1"/>
                    </pic:cNvPicPr>
                  </pic:nvPicPr>
                  <pic:blipFill>
                    <a:blip r:embed="rId37" cstate="print"/>
                    <a:srcRect/>
                    <a:stretch>
                      <a:fillRect/>
                    </a:stretch>
                  </pic:blipFill>
                  <pic:spPr>
                    <a:xfrm>
                      <a:off x="0" y="0"/>
                      <a:ext cx="2091055" cy="461010"/>
                    </a:xfrm>
                    <a:prstGeom prst="rect">
                      <a:avLst/>
                    </a:prstGeom>
                    <a:noFill/>
                    <a:ln w="9525">
                      <a:noFill/>
                      <a:miter lim="800000"/>
                      <a:headEnd/>
                      <a:tailEnd/>
                    </a:ln>
                  </pic:spPr>
                </pic:pic>
              </a:graphicData>
            </a:graphic>
          </wp:inline>
        </w:drawing>
      </w:r>
    </w:p>
    <w:p w14:paraId="1E4A9C83">
      <w:pPr>
        <w:ind w:firstLine="480" w:firstLineChars="2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式中：D-核算时段内污染物产生量，t;</w:t>
      </w:r>
    </w:p>
    <w:p w14:paraId="2DAA236B">
      <w:pPr>
        <w:ind w:firstLine="1200" w:firstLineChars="5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Gs-单位渡槽液面面积单位时间废气污染物产生量，g/(m</w:t>
      </w:r>
      <w:r>
        <w:rPr>
          <w:rFonts w:hint="default" w:ascii="Times New Roman" w:hAnsi="Times New Roman" w:eastAsia="宋体" w:cs="Times New Roman"/>
          <w:color w:val="auto"/>
          <w:sz w:val="24"/>
          <w:szCs w:val="21"/>
          <w:highlight w:val="none"/>
          <w:u w:val="none" w:color="auto"/>
          <w:vertAlign w:val="superscript"/>
        </w:rPr>
        <w:t>2</w:t>
      </w:r>
      <w:r>
        <w:rPr>
          <w:rFonts w:hint="default" w:ascii="Times New Roman" w:hAnsi="Times New Roman" w:eastAsia="宋体" w:cs="Times New Roman"/>
          <w:color w:val="auto"/>
          <w:sz w:val="24"/>
          <w:szCs w:val="21"/>
          <w:highlight w:val="none"/>
          <w:u w:val="none" w:color="auto"/>
        </w:rPr>
        <w:t>/h);</w:t>
      </w:r>
    </w:p>
    <w:p w14:paraId="7142661F">
      <w:pPr>
        <w:ind w:firstLine="1200" w:firstLineChars="5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A-渡槽液面面积，m</w:t>
      </w:r>
      <w:r>
        <w:rPr>
          <w:rFonts w:hint="default" w:ascii="Times New Roman" w:hAnsi="Times New Roman" w:eastAsia="宋体" w:cs="Times New Roman"/>
          <w:color w:val="auto"/>
          <w:sz w:val="24"/>
          <w:szCs w:val="21"/>
          <w:highlight w:val="none"/>
          <w:u w:val="none" w:color="auto"/>
          <w:vertAlign w:val="superscript"/>
        </w:rPr>
        <w:t>2</w:t>
      </w:r>
      <w:r>
        <w:rPr>
          <w:rFonts w:hint="default" w:ascii="Times New Roman" w:hAnsi="Times New Roman" w:eastAsia="宋体" w:cs="Times New Roman"/>
          <w:color w:val="auto"/>
          <w:sz w:val="24"/>
          <w:szCs w:val="21"/>
          <w:highlight w:val="none"/>
          <w:u w:val="none" w:color="auto"/>
        </w:rPr>
        <w:t>;</w:t>
      </w:r>
    </w:p>
    <w:p w14:paraId="5E133AD3">
      <w:pPr>
        <w:ind w:firstLine="1200" w:firstLineChars="5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t-核算时段内污染物产生时间，h。</w:t>
      </w:r>
    </w:p>
    <w:p w14:paraId="120C531D">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4</w:t>
      </w:r>
      <w:r>
        <w:rPr>
          <w:rFonts w:hint="default" w:ascii="Times New Roman" w:hAnsi="Times New Roman" w:eastAsia="宋体" w:cs="Times New Roman"/>
          <w:b/>
          <w:color w:val="auto"/>
          <w:sz w:val="21"/>
          <w:szCs w:val="18"/>
          <w:highlight w:val="none"/>
          <w:u w:val="none" w:color="auto"/>
        </w:rPr>
        <w:t>.4-1 单位镀槽液面面积单位时间废气污染物产污系数（摘录）</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1277"/>
        <w:gridCol w:w="1506"/>
        <w:gridCol w:w="5068"/>
      </w:tblGrid>
      <w:tr w14:paraId="2EE42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vAlign w:val="center"/>
          </w:tcPr>
          <w:p w14:paraId="0ACFA79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749" w:type="pct"/>
            <w:vAlign w:val="center"/>
          </w:tcPr>
          <w:p w14:paraId="657A1B7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污染物名称</w:t>
            </w:r>
          </w:p>
        </w:tc>
        <w:tc>
          <w:tcPr>
            <w:tcW w:w="883" w:type="pct"/>
            <w:vAlign w:val="center"/>
          </w:tcPr>
          <w:p w14:paraId="48CD3CA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产生量</w:t>
            </w:r>
          </w:p>
          <w:p w14:paraId="6887933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·h）</w:t>
            </w:r>
          </w:p>
        </w:tc>
        <w:tc>
          <w:tcPr>
            <w:tcW w:w="2973" w:type="pct"/>
            <w:vAlign w:val="center"/>
          </w:tcPr>
          <w:p w14:paraId="4F2B382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适用范围</w:t>
            </w:r>
          </w:p>
        </w:tc>
      </w:tr>
      <w:tr w14:paraId="2FB91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vMerge w:val="restart"/>
            <w:vAlign w:val="center"/>
          </w:tcPr>
          <w:p w14:paraId="3295D24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749" w:type="pct"/>
            <w:vMerge w:val="restart"/>
            <w:vAlign w:val="center"/>
          </w:tcPr>
          <w:p w14:paraId="63DD6FF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氯化氢</w:t>
            </w:r>
          </w:p>
        </w:tc>
        <w:tc>
          <w:tcPr>
            <w:tcW w:w="883" w:type="pct"/>
            <w:vAlign w:val="center"/>
          </w:tcPr>
          <w:p w14:paraId="26FBBEB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TimesNewRomanPSMT" w:cs="Times New Roman"/>
                <w:color w:val="auto"/>
                <w:kern w:val="0"/>
                <w:sz w:val="21"/>
                <w:szCs w:val="21"/>
                <w:highlight w:val="none"/>
                <w:u w:val="none" w:color="auto"/>
              </w:rPr>
              <w:t>107.3-643.6</w:t>
            </w:r>
          </w:p>
        </w:tc>
        <w:tc>
          <w:tcPr>
            <w:tcW w:w="2973" w:type="pct"/>
            <w:vAlign w:val="center"/>
          </w:tcPr>
          <w:p w14:paraId="4238029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 在中等或浓盐酸中，不添加酸雾抑制剂、不加热：</w:t>
            </w:r>
          </w:p>
          <w:p w14:paraId="35A93AE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氯化氢质量百分浓度10%-15%，取107.3；16%-20%，</w:t>
            </w:r>
          </w:p>
          <w:p w14:paraId="7BB4B84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取220.0；氯化氢质量百分浓度21%-25%，取370.7；</w:t>
            </w:r>
          </w:p>
          <w:p w14:paraId="65F88CC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氯化氢质量百分浓度26%-31%，取643.6</w:t>
            </w:r>
          </w:p>
          <w:p w14:paraId="44AAE65A">
            <w:pPr>
              <w:spacing w:line="240" w:lineRule="auto"/>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2.在稀释中等盐酸溶液中（加热）酸洗，不添加酸</w:t>
            </w:r>
          </w:p>
          <w:p w14:paraId="501B9EAD">
            <w:pPr>
              <w:spacing w:line="240" w:lineRule="auto"/>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雾抑制剂：氯化氢质量百分浓度5%-10%，取107.3；</w:t>
            </w:r>
          </w:p>
          <w:p w14:paraId="2B2892E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氯化氢质量百分浓度11%-15%，取370.7；氯化氢质</w:t>
            </w:r>
          </w:p>
          <w:p w14:paraId="1FB0093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量百分浓度16%-20%，取643.6</w:t>
            </w:r>
          </w:p>
        </w:tc>
      </w:tr>
      <w:tr w14:paraId="146BA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vMerge w:val="continue"/>
            <w:vAlign w:val="center"/>
          </w:tcPr>
          <w:p w14:paraId="7179549B">
            <w:pPr>
              <w:spacing w:line="240" w:lineRule="auto"/>
              <w:jc w:val="center"/>
              <w:rPr>
                <w:rFonts w:hint="default" w:ascii="Times New Roman" w:hAnsi="Times New Roman" w:eastAsia="宋体" w:cs="Times New Roman"/>
                <w:color w:val="auto"/>
                <w:sz w:val="21"/>
                <w:szCs w:val="21"/>
                <w:highlight w:val="none"/>
                <w:u w:val="none" w:color="auto"/>
              </w:rPr>
            </w:pPr>
          </w:p>
        </w:tc>
        <w:tc>
          <w:tcPr>
            <w:tcW w:w="749" w:type="pct"/>
            <w:vMerge w:val="continue"/>
            <w:vAlign w:val="center"/>
          </w:tcPr>
          <w:p w14:paraId="1904B9D5">
            <w:pPr>
              <w:spacing w:line="240" w:lineRule="auto"/>
              <w:jc w:val="center"/>
              <w:rPr>
                <w:rFonts w:hint="default" w:ascii="Times New Roman" w:hAnsi="Times New Roman" w:eastAsia="宋体" w:cs="Times New Roman"/>
                <w:color w:val="auto"/>
                <w:sz w:val="21"/>
                <w:szCs w:val="21"/>
                <w:highlight w:val="none"/>
                <w:u w:val="none" w:color="auto"/>
              </w:rPr>
            </w:pPr>
          </w:p>
        </w:tc>
        <w:tc>
          <w:tcPr>
            <w:tcW w:w="883" w:type="pct"/>
            <w:vAlign w:val="center"/>
          </w:tcPr>
          <w:p w14:paraId="43647D2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0.4~15.8</w:t>
            </w:r>
          </w:p>
        </w:tc>
        <w:tc>
          <w:tcPr>
            <w:tcW w:w="2973" w:type="pct"/>
            <w:vAlign w:val="center"/>
          </w:tcPr>
          <w:p w14:paraId="201C7E6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弱酸洗（不加热，质量百分浓度 5%~8%），室温高、含量高时取上限，不添加酸雾抑制剂。</w:t>
            </w:r>
          </w:p>
        </w:tc>
      </w:tr>
      <w:tr w14:paraId="5EC24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vMerge w:val="restart"/>
            <w:vAlign w:val="center"/>
          </w:tcPr>
          <w:p w14:paraId="1CFBC15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749" w:type="pct"/>
            <w:vMerge w:val="restart"/>
            <w:vAlign w:val="center"/>
          </w:tcPr>
          <w:p w14:paraId="28163AA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w:t>
            </w:r>
          </w:p>
        </w:tc>
        <w:tc>
          <w:tcPr>
            <w:tcW w:w="883" w:type="pct"/>
            <w:vAlign w:val="center"/>
          </w:tcPr>
          <w:p w14:paraId="0B37D79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25.2</w:t>
            </w:r>
          </w:p>
        </w:tc>
        <w:tc>
          <w:tcPr>
            <w:tcW w:w="2973" w:type="pct"/>
            <w:vAlign w:val="center"/>
          </w:tcPr>
          <w:p w14:paraId="47D25C2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在质量浓度大于100g/L 的硫酸中浸蚀、抛光</w:t>
            </w:r>
            <w:r>
              <w:rPr>
                <w:rFonts w:hint="default" w:ascii="Times New Roman" w:hAnsi="Times New Roman" w:eastAsia="宋体" w:cs="Times New Roman"/>
                <w:color w:val="auto"/>
                <w:sz w:val="21"/>
                <w:szCs w:val="21"/>
                <w:highlight w:val="none"/>
                <w:u w:val="none" w:color="auto"/>
              </w:rPr>
              <w:t>，硫酸</w:t>
            </w:r>
          </w:p>
          <w:p w14:paraId="7AD56CA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阳极氧化，在稀而热的硫酸中浸蚀、抛光，在浓硫酸</w:t>
            </w:r>
          </w:p>
          <w:p w14:paraId="49CFCA7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中退镍、退铜、退银等</w:t>
            </w:r>
          </w:p>
        </w:tc>
      </w:tr>
      <w:tr w14:paraId="019EB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vMerge w:val="continue"/>
            <w:vAlign w:val="center"/>
          </w:tcPr>
          <w:p w14:paraId="1E54B801">
            <w:pPr>
              <w:spacing w:line="240" w:lineRule="auto"/>
              <w:jc w:val="center"/>
              <w:rPr>
                <w:rFonts w:hint="default" w:ascii="Times New Roman" w:hAnsi="Times New Roman" w:eastAsia="宋体" w:cs="Times New Roman"/>
                <w:color w:val="auto"/>
                <w:sz w:val="21"/>
                <w:szCs w:val="21"/>
                <w:highlight w:val="none"/>
                <w:u w:val="none" w:color="auto"/>
              </w:rPr>
            </w:pPr>
          </w:p>
        </w:tc>
        <w:tc>
          <w:tcPr>
            <w:tcW w:w="749" w:type="pct"/>
            <w:vMerge w:val="continue"/>
            <w:vAlign w:val="center"/>
          </w:tcPr>
          <w:p w14:paraId="38A0F45E">
            <w:pPr>
              <w:spacing w:line="240" w:lineRule="auto"/>
              <w:jc w:val="center"/>
              <w:rPr>
                <w:rFonts w:hint="default" w:ascii="Times New Roman" w:hAnsi="Times New Roman" w:eastAsia="宋体" w:cs="Times New Roman"/>
                <w:color w:val="auto"/>
                <w:sz w:val="21"/>
                <w:szCs w:val="21"/>
                <w:highlight w:val="none"/>
                <w:u w:val="none" w:color="auto"/>
              </w:rPr>
            </w:pPr>
          </w:p>
        </w:tc>
        <w:tc>
          <w:tcPr>
            <w:tcW w:w="883" w:type="pct"/>
            <w:vAlign w:val="center"/>
          </w:tcPr>
          <w:p w14:paraId="5EC4724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可忽略</w:t>
            </w:r>
          </w:p>
        </w:tc>
        <w:tc>
          <w:tcPr>
            <w:tcW w:w="2973" w:type="pct"/>
            <w:vAlign w:val="center"/>
          </w:tcPr>
          <w:p w14:paraId="18119C7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室温下含硫酸的溶液中镀铜、镀锡、镀锌、镀镉，弱</w:t>
            </w:r>
          </w:p>
          <w:p w14:paraId="1B2A6FC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硫酸酸洗</w:t>
            </w:r>
          </w:p>
        </w:tc>
      </w:tr>
      <w:tr w14:paraId="5BEE38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vMerge w:val="restart"/>
            <w:vAlign w:val="center"/>
          </w:tcPr>
          <w:p w14:paraId="62913B1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3</w:t>
            </w:r>
          </w:p>
        </w:tc>
        <w:tc>
          <w:tcPr>
            <w:tcW w:w="749" w:type="pct"/>
            <w:vMerge w:val="restart"/>
            <w:vAlign w:val="center"/>
          </w:tcPr>
          <w:p w14:paraId="5AE307B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氮氧化物</w:t>
            </w:r>
          </w:p>
        </w:tc>
        <w:tc>
          <w:tcPr>
            <w:tcW w:w="883" w:type="pct"/>
            <w:vAlign w:val="center"/>
          </w:tcPr>
          <w:p w14:paraId="6CED032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TimesNewRomanPSMT" w:cs="Times New Roman"/>
                <w:color w:val="auto"/>
                <w:kern w:val="0"/>
                <w:sz w:val="21"/>
                <w:szCs w:val="21"/>
                <w:highlight w:val="none"/>
                <w:u w:val="none" w:color="auto"/>
              </w:rPr>
              <w:t>800-3000</w:t>
            </w:r>
          </w:p>
        </w:tc>
        <w:tc>
          <w:tcPr>
            <w:tcW w:w="2973" w:type="pct"/>
            <w:vAlign w:val="center"/>
          </w:tcPr>
          <w:p w14:paraId="208D382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铜及合金酸洗、光亮酸洗，铝及铝合金碱腐蚀后酸洗</w:t>
            </w:r>
          </w:p>
          <w:p w14:paraId="4A76D62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出光、化学抛光，随温度高低（常温、≤45℃、≤60℃）</w:t>
            </w:r>
          </w:p>
          <w:p w14:paraId="55265BE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及硝酸含量高低（硝酸质量百分浓度141-211g/L、</w:t>
            </w:r>
          </w:p>
          <w:p w14:paraId="177CBF7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423-564g/L、＞700g/L）分取上、中、下限</w:t>
            </w:r>
          </w:p>
        </w:tc>
      </w:tr>
      <w:tr w14:paraId="1850CE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vMerge w:val="continue"/>
            <w:vAlign w:val="center"/>
          </w:tcPr>
          <w:p w14:paraId="50EBBF37">
            <w:pPr>
              <w:spacing w:line="240" w:lineRule="auto"/>
              <w:jc w:val="center"/>
              <w:rPr>
                <w:rFonts w:hint="default" w:ascii="Times New Roman" w:hAnsi="Times New Roman" w:eastAsia="宋体" w:cs="Times New Roman"/>
                <w:color w:val="auto"/>
                <w:sz w:val="21"/>
                <w:szCs w:val="21"/>
                <w:highlight w:val="none"/>
                <w:u w:val="none" w:color="auto"/>
              </w:rPr>
            </w:pPr>
          </w:p>
        </w:tc>
        <w:tc>
          <w:tcPr>
            <w:tcW w:w="749" w:type="pct"/>
            <w:vMerge w:val="continue"/>
            <w:vAlign w:val="center"/>
          </w:tcPr>
          <w:p w14:paraId="69977ACB">
            <w:pPr>
              <w:spacing w:line="240" w:lineRule="auto"/>
              <w:jc w:val="center"/>
              <w:rPr>
                <w:rFonts w:hint="default" w:ascii="Times New Roman" w:hAnsi="Times New Roman" w:eastAsia="宋体" w:cs="Times New Roman"/>
                <w:color w:val="auto"/>
                <w:sz w:val="21"/>
                <w:szCs w:val="21"/>
                <w:highlight w:val="none"/>
                <w:u w:val="none" w:color="auto"/>
              </w:rPr>
            </w:pPr>
          </w:p>
        </w:tc>
        <w:tc>
          <w:tcPr>
            <w:tcW w:w="883" w:type="pct"/>
            <w:vAlign w:val="center"/>
          </w:tcPr>
          <w:p w14:paraId="157ED98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7500</w:t>
            </w:r>
          </w:p>
        </w:tc>
        <w:tc>
          <w:tcPr>
            <w:tcW w:w="2973" w:type="pct"/>
            <w:vAlign w:val="center"/>
          </w:tcPr>
          <w:p w14:paraId="0F50ECD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适用于97%浓硝酸，在无水条件下退镍、退铜和退</w:t>
            </w:r>
          </w:p>
          <w:p w14:paraId="540059C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挂具</w:t>
            </w:r>
          </w:p>
        </w:tc>
      </w:tr>
      <w:tr w14:paraId="094B5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vMerge w:val="continue"/>
            <w:vAlign w:val="center"/>
          </w:tcPr>
          <w:p w14:paraId="091945B4">
            <w:pPr>
              <w:spacing w:line="240" w:lineRule="auto"/>
              <w:jc w:val="center"/>
              <w:rPr>
                <w:rFonts w:hint="default" w:ascii="Times New Roman" w:hAnsi="Times New Roman" w:eastAsia="宋体" w:cs="Times New Roman"/>
                <w:color w:val="auto"/>
                <w:sz w:val="21"/>
                <w:szCs w:val="21"/>
                <w:highlight w:val="none"/>
                <w:u w:val="none" w:color="auto"/>
              </w:rPr>
            </w:pPr>
          </w:p>
        </w:tc>
        <w:tc>
          <w:tcPr>
            <w:tcW w:w="749" w:type="pct"/>
            <w:vMerge w:val="continue"/>
            <w:vAlign w:val="center"/>
          </w:tcPr>
          <w:p w14:paraId="2CDB5ACB">
            <w:pPr>
              <w:spacing w:line="240" w:lineRule="auto"/>
              <w:jc w:val="center"/>
              <w:rPr>
                <w:rFonts w:hint="default" w:ascii="Times New Roman" w:hAnsi="Times New Roman" w:eastAsia="宋体" w:cs="Times New Roman"/>
                <w:color w:val="auto"/>
                <w:sz w:val="21"/>
                <w:szCs w:val="21"/>
                <w:highlight w:val="none"/>
                <w:u w:val="none" w:color="auto"/>
              </w:rPr>
            </w:pPr>
          </w:p>
        </w:tc>
        <w:tc>
          <w:tcPr>
            <w:tcW w:w="883" w:type="pct"/>
            <w:vAlign w:val="center"/>
          </w:tcPr>
          <w:p w14:paraId="3634406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10.8</w:t>
            </w:r>
          </w:p>
        </w:tc>
        <w:tc>
          <w:tcPr>
            <w:tcW w:w="2973" w:type="pct"/>
            <w:vAlign w:val="center"/>
          </w:tcPr>
          <w:p w14:paraId="32E2C7C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在质量百分浓度10%-15%硝酸溶液中清洗铝、酸洗</w:t>
            </w:r>
          </w:p>
          <w:p w14:paraId="60D70AA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铜及合金等</w:t>
            </w:r>
          </w:p>
        </w:tc>
      </w:tr>
      <w:tr w14:paraId="44EBBD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3" w:type="pct"/>
            <w:vMerge w:val="continue"/>
            <w:vAlign w:val="center"/>
          </w:tcPr>
          <w:p w14:paraId="08A7F927">
            <w:pPr>
              <w:spacing w:line="240" w:lineRule="auto"/>
              <w:jc w:val="center"/>
              <w:rPr>
                <w:rFonts w:hint="default" w:ascii="Times New Roman" w:hAnsi="Times New Roman" w:eastAsia="宋体" w:cs="Times New Roman"/>
                <w:color w:val="auto"/>
                <w:sz w:val="21"/>
                <w:szCs w:val="21"/>
                <w:highlight w:val="none"/>
                <w:u w:val="none" w:color="auto"/>
              </w:rPr>
            </w:pPr>
          </w:p>
        </w:tc>
        <w:tc>
          <w:tcPr>
            <w:tcW w:w="749" w:type="pct"/>
            <w:vMerge w:val="continue"/>
            <w:vAlign w:val="center"/>
          </w:tcPr>
          <w:p w14:paraId="04C34C7C">
            <w:pPr>
              <w:spacing w:line="240" w:lineRule="auto"/>
              <w:jc w:val="center"/>
              <w:rPr>
                <w:rFonts w:hint="default" w:ascii="Times New Roman" w:hAnsi="Times New Roman" w:eastAsia="宋体" w:cs="Times New Roman"/>
                <w:color w:val="auto"/>
                <w:sz w:val="21"/>
                <w:szCs w:val="21"/>
                <w:highlight w:val="none"/>
                <w:u w:val="none" w:color="auto"/>
              </w:rPr>
            </w:pPr>
          </w:p>
        </w:tc>
        <w:tc>
          <w:tcPr>
            <w:tcW w:w="883" w:type="pct"/>
            <w:vAlign w:val="center"/>
          </w:tcPr>
          <w:p w14:paraId="3AA83AC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可忽略</w:t>
            </w:r>
          </w:p>
        </w:tc>
        <w:tc>
          <w:tcPr>
            <w:tcW w:w="2973" w:type="pct"/>
            <w:vAlign w:val="center"/>
          </w:tcPr>
          <w:p w14:paraId="78600049">
            <w:pPr>
              <w:spacing w:line="240" w:lineRule="auto"/>
              <w:jc w:val="center"/>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在质量百分浓度≤3%稀硝酸溶液中清洗铝、不锈钢钝</w:t>
            </w:r>
          </w:p>
          <w:p w14:paraId="5D85866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化、锌镀层出光等</w:t>
            </w:r>
          </w:p>
        </w:tc>
      </w:tr>
      <w:tr w14:paraId="2CE71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4"/>
            <w:vAlign w:val="center"/>
          </w:tcPr>
          <w:p w14:paraId="33A230C6">
            <w:pPr>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注1：污染物产生量单位是指单位镀槽表面积每小时产生的污染物的量</w:t>
            </w:r>
          </w:p>
        </w:tc>
      </w:tr>
    </w:tbl>
    <w:p w14:paraId="3A3020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lang w:val="en-GB"/>
        </w:rPr>
      </w:pPr>
      <w:r>
        <w:rPr>
          <w:rFonts w:hint="default" w:ascii="Times New Roman" w:hAnsi="Times New Roman" w:eastAsia="宋体" w:cs="Times New Roman"/>
          <w:color w:val="auto"/>
          <w:sz w:val="24"/>
          <w:szCs w:val="21"/>
          <w:highlight w:val="none"/>
          <w:u w:val="single" w:color="auto"/>
          <w:lang w:val="en-GB"/>
        </w:rPr>
        <w:t>本项目各生产线工艺废气（酸雾）产生情况详见下表：</w:t>
      </w:r>
    </w:p>
    <w:p w14:paraId="49A24EF7">
      <w:pPr>
        <w:jc w:val="center"/>
        <w:rPr>
          <w:rFonts w:hint="default" w:ascii="Times New Roman" w:hAnsi="Times New Roman" w:eastAsia="宋体" w:cs="Times New Roman"/>
          <w:b/>
          <w:color w:val="auto"/>
          <w:sz w:val="21"/>
          <w:szCs w:val="18"/>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4</w:t>
      </w:r>
      <w:r>
        <w:rPr>
          <w:rFonts w:hint="default" w:ascii="Times New Roman" w:hAnsi="Times New Roman" w:eastAsia="宋体" w:cs="Times New Roman"/>
          <w:b/>
          <w:color w:val="auto"/>
          <w:sz w:val="21"/>
          <w:szCs w:val="18"/>
          <w:highlight w:val="none"/>
          <w:u w:val="single" w:color="auto"/>
        </w:rPr>
        <w:t>.4-2项目各生产线工艺废气（酸雾）产生情况一览表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36"/>
        <w:gridCol w:w="752"/>
        <w:gridCol w:w="950"/>
        <w:gridCol w:w="1059"/>
        <w:gridCol w:w="873"/>
        <w:gridCol w:w="893"/>
        <w:gridCol w:w="907"/>
        <w:gridCol w:w="900"/>
        <w:gridCol w:w="952"/>
      </w:tblGrid>
      <w:tr w14:paraId="29B92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Merge w:val="restart"/>
            <w:vAlign w:val="center"/>
          </w:tcPr>
          <w:p w14:paraId="2BABEC9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生产线</w:t>
            </w:r>
            <w:r>
              <w:rPr>
                <w:rFonts w:hint="default" w:ascii="Times New Roman" w:hAnsi="Times New Roman" w:eastAsia="宋体" w:cs="Times New Roman"/>
                <w:color w:val="auto"/>
                <w:sz w:val="21"/>
                <w:szCs w:val="21"/>
                <w:highlight w:val="none"/>
                <w:u w:val="single" w:color="auto"/>
                <w:lang w:val="en-US" w:eastAsia="zh-CN"/>
              </w:rPr>
              <w:t>/</w:t>
            </w:r>
            <w:r>
              <w:rPr>
                <w:rFonts w:hint="eastAsia" w:ascii="Times New Roman" w:hAnsi="Times New Roman" w:eastAsia="宋体" w:cs="Times New Roman"/>
                <w:color w:val="auto"/>
                <w:sz w:val="21"/>
                <w:szCs w:val="21"/>
                <w:highlight w:val="none"/>
                <w:u w:val="single" w:color="auto"/>
                <w:lang w:eastAsia="zh-CN"/>
              </w:rPr>
              <w:t>工序</w:t>
            </w:r>
          </w:p>
        </w:tc>
        <w:tc>
          <w:tcPr>
            <w:tcW w:w="450" w:type="pct"/>
            <w:vMerge w:val="restart"/>
            <w:vAlign w:val="center"/>
          </w:tcPr>
          <w:p w14:paraId="1B31A3D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排放源</w:t>
            </w:r>
          </w:p>
        </w:tc>
        <w:tc>
          <w:tcPr>
            <w:tcW w:w="566" w:type="pct"/>
            <w:vMerge w:val="restart"/>
            <w:vAlign w:val="center"/>
          </w:tcPr>
          <w:p w14:paraId="23940F1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w:t>
            </w:r>
          </w:p>
          <w:p w14:paraId="4B4E9E1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因子</w:t>
            </w:r>
          </w:p>
        </w:tc>
        <w:tc>
          <w:tcPr>
            <w:tcW w:w="630" w:type="pct"/>
            <w:vMerge w:val="restart"/>
            <w:vAlign w:val="center"/>
          </w:tcPr>
          <w:p w14:paraId="323753E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Gs值</w:t>
            </w:r>
          </w:p>
          <w:p w14:paraId="03CFEB7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g/（m</w:t>
            </w:r>
            <w:r>
              <w:rPr>
                <w:rFonts w:hint="default" w:ascii="Times New Roman" w:hAnsi="Times New Roman" w:eastAsia="宋体" w:cs="Times New Roman"/>
                <w:color w:val="auto"/>
                <w:sz w:val="21"/>
                <w:szCs w:val="21"/>
                <w:highlight w:val="none"/>
                <w:u w:val="single" w:color="auto"/>
                <w:vertAlign w:val="superscript"/>
              </w:rPr>
              <w:t>2</w:t>
            </w:r>
            <w:r>
              <w:rPr>
                <w:rFonts w:hint="default" w:ascii="Times New Roman" w:hAnsi="Times New Roman" w:eastAsia="宋体" w:cs="Times New Roman"/>
                <w:color w:val="auto"/>
                <w:sz w:val="21"/>
                <w:szCs w:val="21"/>
                <w:highlight w:val="none"/>
                <w:u w:val="single" w:color="auto"/>
              </w:rPr>
              <w:t>·h）</w:t>
            </w:r>
          </w:p>
        </w:tc>
        <w:tc>
          <w:tcPr>
            <w:tcW w:w="521" w:type="pct"/>
            <w:vMerge w:val="restart"/>
            <w:vAlign w:val="center"/>
          </w:tcPr>
          <w:p w14:paraId="3A47DE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A值</w:t>
            </w:r>
          </w:p>
          <w:p w14:paraId="028F2E5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2</w:t>
            </w:r>
            <w:r>
              <w:rPr>
                <w:rFonts w:hint="default" w:ascii="Times New Roman" w:hAnsi="Times New Roman" w:eastAsia="宋体" w:cs="Times New Roman"/>
                <w:color w:val="auto"/>
                <w:sz w:val="21"/>
                <w:szCs w:val="21"/>
                <w:highlight w:val="none"/>
                <w:u w:val="single" w:color="auto"/>
              </w:rPr>
              <w:t>）</w:t>
            </w:r>
          </w:p>
        </w:tc>
        <w:tc>
          <w:tcPr>
            <w:tcW w:w="503" w:type="pct"/>
            <w:vMerge w:val="restart"/>
            <w:vAlign w:val="center"/>
          </w:tcPr>
          <w:p w14:paraId="250E7BC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t值</w:t>
            </w:r>
          </w:p>
          <w:p w14:paraId="514A80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（h/a）</w:t>
            </w:r>
          </w:p>
        </w:tc>
        <w:tc>
          <w:tcPr>
            <w:tcW w:w="541" w:type="pct"/>
            <w:vMerge w:val="restart"/>
            <w:vAlign w:val="center"/>
          </w:tcPr>
          <w:p w14:paraId="586B600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D值</w:t>
            </w:r>
          </w:p>
          <w:p w14:paraId="142A60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1053" w:type="pct"/>
            <w:gridSpan w:val="2"/>
            <w:vAlign w:val="center"/>
          </w:tcPr>
          <w:p w14:paraId="22506B8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产生量（t/a）</w:t>
            </w:r>
          </w:p>
        </w:tc>
      </w:tr>
      <w:tr w14:paraId="0538A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Merge w:val="continue"/>
            <w:vAlign w:val="center"/>
          </w:tcPr>
          <w:p w14:paraId="4970F4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p>
        </w:tc>
        <w:tc>
          <w:tcPr>
            <w:tcW w:w="450" w:type="pct"/>
            <w:vMerge w:val="continue"/>
            <w:vAlign w:val="center"/>
          </w:tcPr>
          <w:p w14:paraId="3E5D4E7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p>
        </w:tc>
        <w:tc>
          <w:tcPr>
            <w:tcW w:w="566" w:type="pct"/>
            <w:vMerge w:val="continue"/>
            <w:vAlign w:val="center"/>
          </w:tcPr>
          <w:p w14:paraId="7D7724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p>
        </w:tc>
        <w:tc>
          <w:tcPr>
            <w:tcW w:w="630" w:type="pct"/>
            <w:vMerge w:val="continue"/>
            <w:vAlign w:val="center"/>
          </w:tcPr>
          <w:p w14:paraId="3B42C3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p>
        </w:tc>
        <w:tc>
          <w:tcPr>
            <w:tcW w:w="521" w:type="pct"/>
            <w:vMerge w:val="continue"/>
            <w:vAlign w:val="center"/>
          </w:tcPr>
          <w:p w14:paraId="5811993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p>
        </w:tc>
        <w:tc>
          <w:tcPr>
            <w:tcW w:w="503" w:type="pct"/>
            <w:vMerge w:val="continue"/>
            <w:vAlign w:val="center"/>
          </w:tcPr>
          <w:p w14:paraId="30CE5476">
            <w:pPr>
              <w:keepNext w:val="0"/>
              <w:keepLines w:val="0"/>
              <w:pageBreakBefore w:val="0"/>
              <w:tabs>
                <w:tab w:val="left" w:pos="869"/>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p>
        </w:tc>
        <w:tc>
          <w:tcPr>
            <w:tcW w:w="541" w:type="pct"/>
            <w:vMerge w:val="continue"/>
            <w:vAlign w:val="center"/>
          </w:tcPr>
          <w:p w14:paraId="57126813">
            <w:pPr>
              <w:keepNext w:val="0"/>
              <w:keepLines w:val="0"/>
              <w:pageBreakBefore w:val="0"/>
              <w:tabs>
                <w:tab w:val="left" w:pos="869"/>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p>
        </w:tc>
        <w:tc>
          <w:tcPr>
            <w:tcW w:w="488" w:type="pct"/>
            <w:vAlign w:val="center"/>
          </w:tcPr>
          <w:p w14:paraId="59582F00">
            <w:pPr>
              <w:keepNext w:val="0"/>
              <w:keepLines w:val="0"/>
              <w:pageBreakBefore w:val="0"/>
              <w:tabs>
                <w:tab w:val="left" w:pos="869"/>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有组织</w:t>
            </w:r>
          </w:p>
        </w:tc>
        <w:tc>
          <w:tcPr>
            <w:tcW w:w="565" w:type="pct"/>
            <w:vAlign w:val="center"/>
          </w:tcPr>
          <w:p w14:paraId="6EE1F218">
            <w:pPr>
              <w:keepNext w:val="0"/>
              <w:keepLines w:val="0"/>
              <w:pageBreakBefore w:val="0"/>
              <w:tabs>
                <w:tab w:val="left" w:pos="869"/>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无组织</w:t>
            </w:r>
          </w:p>
        </w:tc>
      </w:tr>
      <w:tr w14:paraId="6EBCBD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Align w:val="center"/>
          </w:tcPr>
          <w:p w14:paraId="16C205D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金刚石划片刀生产线</w:t>
            </w:r>
          </w:p>
        </w:tc>
        <w:tc>
          <w:tcPr>
            <w:tcW w:w="450" w:type="pct"/>
            <w:vAlign w:val="center"/>
          </w:tcPr>
          <w:p w14:paraId="02C4237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出光</w:t>
            </w:r>
            <w:r>
              <w:rPr>
                <w:rFonts w:hint="default" w:ascii="Times New Roman" w:hAnsi="Times New Roman" w:eastAsia="宋体" w:cs="Times New Roman"/>
                <w:color w:val="auto"/>
                <w:sz w:val="21"/>
                <w:szCs w:val="21"/>
                <w:highlight w:val="none"/>
                <w:u w:val="single" w:color="auto"/>
              </w:rPr>
              <w:t>槽</w:t>
            </w:r>
          </w:p>
        </w:tc>
        <w:tc>
          <w:tcPr>
            <w:tcW w:w="566" w:type="pct"/>
            <w:vAlign w:val="center"/>
          </w:tcPr>
          <w:p w14:paraId="1689399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630" w:type="pct"/>
            <w:vAlign w:val="center"/>
          </w:tcPr>
          <w:p w14:paraId="27BBD94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10.8</w:t>
            </w:r>
          </w:p>
        </w:tc>
        <w:tc>
          <w:tcPr>
            <w:tcW w:w="521" w:type="pct"/>
            <w:vAlign w:val="center"/>
          </w:tcPr>
          <w:p w14:paraId="61E3AA0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2.7</w:t>
            </w:r>
          </w:p>
        </w:tc>
        <w:tc>
          <w:tcPr>
            <w:tcW w:w="503" w:type="pct"/>
            <w:vAlign w:val="center"/>
          </w:tcPr>
          <w:p w14:paraId="1C112657">
            <w:pPr>
              <w:keepNext w:val="0"/>
              <w:keepLines w:val="0"/>
              <w:pageBreakBefore w:val="0"/>
              <w:tabs>
                <w:tab w:val="left" w:pos="869"/>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7200</w:t>
            </w:r>
          </w:p>
        </w:tc>
        <w:tc>
          <w:tcPr>
            <w:tcW w:w="922" w:type="dxa"/>
            <w:vAlign w:val="center"/>
          </w:tcPr>
          <w:p w14:paraId="469A117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0.210</w:t>
            </w:r>
          </w:p>
        </w:tc>
        <w:tc>
          <w:tcPr>
            <w:tcW w:w="832" w:type="dxa"/>
            <w:vAlign w:val="center"/>
          </w:tcPr>
          <w:p w14:paraId="0D101CA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0.199</w:t>
            </w:r>
          </w:p>
        </w:tc>
        <w:tc>
          <w:tcPr>
            <w:tcW w:w="966" w:type="dxa"/>
            <w:vAlign w:val="center"/>
          </w:tcPr>
          <w:p w14:paraId="32247C8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0.011</w:t>
            </w:r>
          </w:p>
        </w:tc>
      </w:tr>
      <w:tr w14:paraId="6A6CC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Merge w:val="restart"/>
            <w:vAlign w:val="center"/>
          </w:tcPr>
          <w:p w14:paraId="597A02A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超硬材料砂轮</w:t>
            </w:r>
          </w:p>
        </w:tc>
        <w:tc>
          <w:tcPr>
            <w:tcW w:w="450" w:type="pct"/>
            <w:vMerge w:val="restart"/>
            <w:vAlign w:val="center"/>
          </w:tcPr>
          <w:p w14:paraId="36DE247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566" w:type="pct"/>
            <w:vAlign w:val="center"/>
          </w:tcPr>
          <w:p w14:paraId="00EEECE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氯化氢</w:t>
            </w:r>
          </w:p>
        </w:tc>
        <w:tc>
          <w:tcPr>
            <w:tcW w:w="630" w:type="pct"/>
            <w:vAlign w:val="center"/>
          </w:tcPr>
          <w:p w14:paraId="494CD4F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w:t>
            </w:r>
          </w:p>
        </w:tc>
        <w:tc>
          <w:tcPr>
            <w:tcW w:w="521" w:type="pct"/>
            <w:vAlign w:val="center"/>
          </w:tcPr>
          <w:p w14:paraId="467B16D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2.88</w:t>
            </w:r>
          </w:p>
        </w:tc>
        <w:tc>
          <w:tcPr>
            <w:tcW w:w="503" w:type="pct"/>
            <w:vAlign w:val="center"/>
          </w:tcPr>
          <w:p w14:paraId="3AFB713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7200</w:t>
            </w:r>
          </w:p>
        </w:tc>
        <w:tc>
          <w:tcPr>
            <w:tcW w:w="541" w:type="pct"/>
            <w:vAlign w:val="center"/>
          </w:tcPr>
          <w:p w14:paraId="04936D1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0.0083</w:t>
            </w:r>
          </w:p>
        </w:tc>
        <w:tc>
          <w:tcPr>
            <w:tcW w:w="488" w:type="pct"/>
            <w:vAlign w:val="center"/>
          </w:tcPr>
          <w:p w14:paraId="32E4F2B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0.0079</w:t>
            </w:r>
          </w:p>
        </w:tc>
        <w:tc>
          <w:tcPr>
            <w:tcW w:w="565" w:type="pct"/>
            <w:vAlign w:val="center"/>
          </w:tcPr>
          <w:p w14:paraId="25BF34A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0.0004</w:t>
            </w:r>
          </w:p>
        </w:tc>
      </w:tr>
      <w:tr w14:paraId="5AC5F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pct"/>
            <w:vMerge w:val="continue"/>
            <w:vAlign w:val="center"/>
          </w:tcPr>
          <w:p w14:paraId="3110637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p>
        </w:tc>
        <w:tc>
          <w:tcPr>
            <w:tcW w:w="450" w:type="pct"/>
            <w:vMerge w:val="continue"/>
            <w:vAlign w:val="center"/>
          </w:tcPr>
          <w:p w14:paraId="37BB15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566" w:type="pct"/>
            <w:vAlign w:val="center"/>
          </w:tcPr>
          <w:p w14:paraId="0618E95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硫酸雾</w:t>
            </w:r>
          </w:p>
        </w:tc>
        <w:tc>
          <w:tcPr>
            <w:tcW w:w="630" w:type="pct"/>
            <w:vAlign w:val="center"/>
          </w:tcPr>
          <w:p w14:paraId="1C7C901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25.2</w:t>
            </w:r>
          </w:p>
        </w:tc>
        <w:tc>
          <w:tcPr>
            <w:tcW w:w="521" w:type="pct"/>
            <w:vAlign w:val="center"/>
          </w:tcPr>
          <w:p w14:paraId="4F0CCA6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2.88</w:t>
            </w:r>
          </w:p>
        </w:tc>
        <w:tc>
          <w:tcPr>
            <w:tcW w:w="503" w:type="pct"/>
            <w:vAlign w:val="center"/>
          </w:tcPr>
          <w:p w14:paraId="3B2B840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7200</w:t>
            </w:r>
          </w:p>
        </w:tc>
        <w:tc>
          <w:tcPr>
            <w:tcW w:w="541" w:type="pct"/>
            <w:vAlign w:val="center"/>
          </w:tcPr>
          <w:p w14:paraId="5E5EE6F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0.523</w:t>
            </w:r>
          </w:p>
        </w:tc>
        <w:tc>
          <w:tcPr>
            <w:tcW w:w="488" w:type="pct"/>
            <w:vAlign w:val="center"/>
          </w:tcPr>
          <w:p w14:paraId="325035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0.496</w:t>
            </w:r>
          </w:p>
        </w:tc>
        <w:tc>
          <w:tcPr>
            <w:tcW w:w="565" w:type="pct"/>
            <w:vAlign w:val="center"/>
          </w:tcPr>
          <w:p w14:paraId="2386131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0.027</w:t>
            </w:r>
          </w:p>
        </w:tc>
      </w:tr>
      <w:tr w14:paraId="020C28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34" w:type="pct"/>
            <w:vMerge w:val="restart"/>
            <w:vAlign w:val="center"/>
          </w:tcPr>
          <w:p w14:paraId="4B3B61A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超硬材料磨头</w:t>
            </w:r>
          </w:p>
        </w:tc>
        <w:tc>
          <w:tcPr>
            <w:tcW w:w="450" w:type="pct"/>
            <w:vMerge w:val="restart"/>
            <w:vAlign w:val="center"/>
          </w:tcPr>
          <w:p w14:paraId="2C10AA7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活化槽</w:t>
            </w:r>
          </w:p>
        </w:tc>
        <w:tc>
          <w:tcPr>
            <w:tcW w:w="566" w:type="pct"/>
            <w:vAlign w:val="center"/>
          </w:tcPr>
          <w:p w14:paraId="424AF4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氯化氢</w:t>
            </w:r>
          </w:p>
        </w:tc>
        <w:tc>
          <w:tcPr>
            <w:tcW w:w="630" w:type="pct"/>
            <w:vAlign w:val="center"/>
          </w:tcPr>
          <w:p w14:paraId="7156406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0.4</w:t>
            </w:r>
          </w:p>
        </w:tc>
        <w:tc>
          <w:tcPr>
            <w:tcW w:w="521" w:type="pct"/>
            <w:vAlign w:val="center"/>
          </w:tcPr>
          <w:p w14:paraId="30DEC4C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2.4</w:t>
            </w:r>
          </w:p>
        </w:tc>
        <w:tc>
          <w:tcPr>
            <w:tcW w:w="503" w:type="pct"/>
            <w:vAlign w:val="center"/>
          </w:tcPr>
          <w:p w14:paraId="55D49A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7200</w:t>
            </w:r>
          </w:p>
        </w:tc>
        <w:tc>
          <w:tcPr>
            <w:tcW w:w="541" w:type="pct"/>
            <w:vAlign w:val="center"/>
          </w:tcPr>
          <w:p w14:paraId="7EDC165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0.0069</w:t>
            </w:r>
          </w:p>
        </w:tc>
        <w:tc>
          <w:tcPr>
            <w:tcW w:w="488" w:type="pct"/>
            <w:vAlign w:val="center"/>
          </w:tcPr>
          <w:p w14:paraId="5E500A6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0.0066</w:t>
            </w:r>
          </w:p>
        </w:tc>
        <w:tc>
          <w:tcPr>
            <w:tcW w:w="565" w:type="pct"/>
            <w:vAlign w:val="center"/>
          </w:tcPr>
          <w:p w14:paraId="6347946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r>
      <w:tr w14:paraId="365E7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34" w:type="pct"/>
            <w:vMerge w:val="continue"/>
            <w:vAlign w:val="center"/>
          </w:tcPr>
          <w:p w14:paraId="0D9217A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p>
        </w:tc>
        <w:tc>
          <w:tcPr>
            <w:tcW w:w="450" w:type="pct"/>
            <w:vMerge w:val="continue"/>
            <w:vAlign w:val="center"/>
          </w:tcPr>
          <w:p w14:paraId="12E61B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566" w:type="pct"/>
            <w:vAlign w:val="center"/>
          </w:tcPr>
          <w:p w14:paraId="4A9279D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硫酸雾</w:t>
            </w:r>
          </w:p>
        </w:tc>
        <w:tc>
          <w:tcPr>
            <w:tcW w:w="630" w:type="pct"/>
            <w:vAlign w:val="center"/>
          </w:tcPr>
          <w:p w14:paraId="1B1D48C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25.2</w:t>
            </w:r>
          </w:p>
        </w:tc>
        <w:tc>
          <w:tcPr>
            <w:tcW w:w="521" w:type="pct"/>
            <w:vAlign w:val="center"/>
          </w:tcPr>
          <w:p w14:paraId="68961CB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2.4</w:t>
            </w:r>
          </w:p>
        </w:tc>
        <w:tc>
          <w:tcPr>
            <w:tcW w:w="503" w:type="pct"/>
            <w:vAlign w:val="center"/>
          </w:tcPr>
          <w:p w14:paraId="0C70CB7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7200</w:t>
            </w:r>
          </w:p>
        </w:tc>
        <w:tc>
          <w:tcPr>
            <w:tcW w:w="541" w:type="pct"/>
            <w:vAlign w:val="center"/>
          </w:tcPr>
          <w:p w14:paraId="1BB2EE4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0.435</w:t>
            </w:r>
          </w:p>
        </w:tc>
        <w:tc>
          <w:tcPr>
            <w:tcW w:w="488" w:type="pct"/>
            <w:vAlign w:val="center"/>
          </w:tcPr>
          <w:p w14:paraId="629BB0B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0.414</w:t>
            </w:r>
          </w:p>
        </w:tc>
        <w:tc>
          <w:tcPr>
            <w:tcW w:w="565" w:type="pct"/>
            <w:vAlign w:val="center"/>
          </w:tcPr>
          <w:p w14:paraId="0649A23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0.021</w:t>
            </w:r>
          </w:p>
        </w:tc>
      </w:tr>
      <w:tr w14:paraId="2B057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734" w:type="pct"/>
            <w:vMerge w:val="restart"/>
            <w:vAlign w:val="center"/>
          </w:tcPr>
          <w:p w14:paraId="3BB2766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超硬材料套瓦刀及套孔钻</w:t>
            </w:r>
          </w:p>
        </w:tc>
        <w:tc>
          <w:tcPr>
            <w:tcW w:w="450" w:type="pct"/>
            <w:vMerge w:val="restart"/>
            <w:vAlign w:val="center"/>
          </w:tcPr>
          <w:p w14:paraId="3CC546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活化槽</w:t>
            </w:r>
          </w:p>
        </w:tc>
        <w:tc>
          <w:tcPr>
            <w:tcW w:w="566" w:type="pct"/>
            <w:vAlign w:val="center"/>
          </w:tcPr>
          <w:p w14:paraId="022824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氯化氢</w:t>
            </w:r>
          </w:p>
        </w:tc>
        <w:tc>
          <w:tcPr>
            <w:tcW w:w="630" w:type="pct"/>
            <w:vAlign w:val="center"/>
          </w:tcPr>
          <w:p w14:paraId="7183159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0.4</w:t>
            </w:r>
          </w:p>
        </w:tc>
        <w:tc>
          <w:tcPr>
            <w:tcW w:w="521" w:type="pct"/>
            <w:vAlign w:val="center"/>
          </w:tcPr>
          <w:p w14:paraId="729DCC0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1.6</w:t>
            </w:r>
          </w:p>
        </w:tc>
        <w:tc>
          <w:tcPr>
            <w:tcW w:w="503" w:type="pct"/>
            <w:vAlign w:val="center"/>
          </w:tcPr>
          <w:p w14:paraId="0F7E623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7200</w:t>
            </w:r>
          </w:p>
        </w:tc>
        <w:tc>
          <w:tcPr>
            <w:tcW w:w="541" w:type="pct"/>
            <w:vAlign w:val="center"/>
          </w:tcPr>
          <w:p w14:paraId="7084DF5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0.0046</w:t>
            </w:r>
          </w:p>
        </w:tc>
        <w:tc>
          <w:tcPr>
            <w:tcW w:w="488" w:type="pct"/>
            <w:vAlign w:val="center"/>
          </w:tcPr>
          <w:p w14:paraId="768A78C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0.0044</w:t>
            </w:r>
          </w:p>
        </w:tc>
        <w:tc>
          <w:tcPr>
            <w:tcW w:w="565" w:type="pct"/>
            <w:vAlign w:val="center"/>
          </w:tcPr>
          <w:p w14:paraId="6A670F6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0.0002</w:t>
            </w:r>
          </w:p>
        </w:tc>
      </w:tr>
      <w:tr w14:paraId="7EC99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34" w:type="pct"/>
            <w:vMerge w:val="continue"/>
            <w:vAlign w:val="center"/>
          </w:tcPr>
          <w:p w14:paraId="438093E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p>
        </w:tc>
        <w:tc>
          <w:tcPr>
            <w:tcW w:w="450" w:type="pct"/>
            <w:vMerge w:val="continue"/>
            <w:vAlign w:val="center"/>
          </w:tcPr>
          <w:p w14:paraId="2E83719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566" w:type="pct"/>
            <w:vAlign w:val="center"/>
          </w:tcPr>
          <w:p w14:paraId="022F2D1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硫酸雾</w:t>
            </w:r>
          </w:p>
        </w:tc>
        <w:tc>
          <w:tcPr>
            <w:tcW w:w="630" w:type="pct"/>
            <w:vAlign w:val="center"/>
          </w:tcPr>
          <w:p w14:paraId="2123BB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25.2</w:t>
            </w:r>
          </w:p>
        </w:tc>
        <w:tc>
          <w:tcPr>
            <w:tcW w:w="521" w:type="pct"/>
            <w:vAlign w:val="center"/>
          </w:tcPr>
          <w:p w14:paraId="227591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1.6</w:t>
            </w:r>
          </w:p>
        </w:tc>
        <w:tc>
          <w:tcPr>
            <w:tcW w:w="503" w:type="pct"/>
            <w:vAlign w:val="center"/>
          </w:tcPr>
          <w:p w14:paraId="32FEFF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7200</w:t>
            </w:r>
          </w:p>
        </w:tc>
        <w:tc>
          <w:tcPr>
            <w:tcW w:w="541" w:type="pct"/>
            <w:vAlign w:val="center"/>
          </w:tcPr>
          <w:p w14:paraId="15B7DAF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0.290</w:t>
            </w:r>
          </w:p>
        </w:tc>
        <w:tc>
          <w:tcPr>
            <w:tcW w:w="488" w:type="pct"/>
            <w:vAlign w:val="center"/>
          </w:tcPr>
          <w:p w14:paraId="25CE92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0.276</w:t>
            </w:r>
          </w:p>
        </w:tc>
        <w:tc>
          <w:tcPr>
            <w:tcW w:w="565" w:type="pct"/>
            <w:vAlign w:val="center"/>
          </w:tcPr>
          <w:p w14:paraId="17DD6C9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0.015</w:t>
            </w:r>
          </w:p>
        </w:tc>
      </w:tr>
      <w:tr w14:paraId="2C9AC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34" w:type="pct"/>
            <w:vMerge w:val="restart"/>
            <w:vAlign w:val="center"/>
          </w:tcPr>
          <w:p w14:paraId="483E3EC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超硬材料砂轮、超硬材料磨头、超硬材料套瓦刀及套孔钻装饰镀</w:t>
            </w:r>
            <w:r>
              <w:rPr>
                <w:rFonts w:hint="eastAsia" w:ascii="Times New Roman" w:hAnsi="Times New Roman" w:eastAsia="宋体" w:cs="Times New Roman"/>
                <w:color w:val="auto"/>
                <w:sz w:val="21"/>
                <w:szCs w:val="21"/>
                <w:highlight w:val="none"/>
                <w:u w:val="single" w:color="auto"/>
                <w:lang w:val="en-US" w:eastAsia="zh-CN"/>
              </w:rPr>
              <w:t>工序</w:t>
            </w:r>
          </w:p>
        </w:tc>
        <w:tc>
          <w:tcPr>
            <w:tcW w:w="450" w:type="pct"/>
            <w:vMerge w:val="restart"/>
            <w:vAlign w:val="center"/>
          </w:tcPr>
          <w:p w14:paraId="76F2CE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酸洗槽</w:t>
            </w:r>
          </w:p>
        </w:tc>
        <w:tc>
          <w:tcPr>
            <w:tcW w:w="566" w:type="pct"/>
            <w:vAlign w:val="center"/>
          </w:tcPr>
          <w:p w14:paraId="103F03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氯化氢</w:t>
            </w:r>
          </w:p>
        </w:tc>
        <w:tc>
          <w:tcPr>
            <w:tcW w:w="630" w:type="pct"/>
            <w:vAlign w:val="center"/>
          </w:tcPr>
          <w:p w14:paraId="7DB0C6B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w:t>
            </w:r>
          </w:p>
        </w:tc>
        <w:tc>
          <w:tcPr>
            <w:tcW w:w="521" w:type="pct"/>
            <w:vAlign w:val="center"/>
          </w:tcPr>
          <w:p w14:paraId="606E8F7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0.54</w:t>
            </w:r>
          </w:p>
        </w:tc>
        <w:tc>
          <w:tcPr>
            <w:tcW w:w="503" w:type="pct"/>
            <w:vAlign w:val="center"/>
          </w:tcPr>
          <w:p w14:paraId="7899C49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7200</w:t>
            </w:r>
          </w:p>
        </w:tc>
        <w:tc>
          <w:tcPr>
            <w:tcW w:w="541" w:type="pct"/>
            <w:vAlign w:val="center"/>
          </w:tcPr>
          <w:p w14:paraId="7A62DB9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0.0016</w:t>
            </w:r>
          </w:p>
        </w:tc>
        <w:tc>
          <w:tcPr>
            <w:tcW w:w="488" w:type="pct"/>
            <w:vAlign w:val="center"/>
          </w:tcPr>
          <w:p w14:paraId="239E5B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0.0015</w:t>
            </w:r>
          </w:p>
        </w:tc>
        <w:tc>
          <w:tcPr>
            <w:tcW w:w="565" w:type="pct"/>
            <w:vAlign w:val="center"/>
          </w:tcPr>
          <w:p w14:paraId="497F2BD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0.0001</w:t>
            </w:r>
          </w:p>
        </w:tc>
      </w:tr>
      <w:tr w14:paraId="7C044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734" w:type="pct"/>
            <w:vMerge w:val="continue"/>
            <w:vAlign w:val="center"/>
          </w:tcPr>
          <w:p w14:paraId="70E8320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p>
        </w:tc>
        <w:tc>
          <w:tcPr>
            <w:tcW w:w="450" w:type="pct"/>
            <w:vMerge w:val="continue"/>
            <w:vAlign w:val="center"/>
          </w:tcPr>
          <w:p w14:paraId="2C2BE89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566" w:type="pct"/>
            <w:vAlign w:val="center"/>
          </w:tcPr>
          <w:p w14:paraId="1E7BAC6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630" w:type="pct"/>
            <w:vAlign w:val="center"/>
          </w:tcPr>
          <w:p w14:paraId="09522C9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25.2</w:t>
            </w:r>
          </w:p>
        </w:tc>
        <w:tc>
          <w:tcPr>
            <w:tcW w:w="521" w:type="pct"/>
            <w:vAlign w:val="center"/>
          </w:tcPr>
          <w:p w14:paraId="178949B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0.54</w:t>
            </w:r>
          </w:p>
        </w:tc>
        <w:tc>
          <w:tcPr>
            <w:tcW w:w="503" w:type="pct"/>
            <w:vAlign w:val="center"/>
          </w:tcPr>
          <w:p w14:paraId="2C99B2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7200</w:t>
            </w:r>
          </w:p>
        </w:tc>
        <w:tc>
          <w:tcPr>
            <w:tcW w:w="541" w:type="pct"/>
            <w:vAlign w:val="center"/>
          </w:tcPr>
          <w:p w14:paraId="5CC7A5E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0.098</w:t>
            </w:r>
          </w:p>
        </w:tc>
        <w:tc>
          <w:tcPr>
            <w:tcW w:w="488" w:type="pct"/>
            <w:vAlign w:val="center"/>
          </w:tcPr>
          <w:p w14:paraId="3B72233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0.093</w:t>
            </w:r>
          </w:p>
        </w:tc>
        <w:tc>
          <w:tcPr>
            <w:tcW w:w="565" w:type="pct"/>
            <w:vAlign w:val="center"/>
          </w:tcPr>
          <w:p w14:paraId="765D87F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14:paraId="0F6AD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734" w:type="pct"/>
            <w:vMerge w:val="restart"/>
            <w:vAlign w:val="center"/>
          </w:tcPr>
          <w:p w14:paraId="414EC24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实验室</w:t>
            </w:r>
          </w:p>
        </w:tc>
        <w:tc>
          <w:tcPr>
            <w:tcW w:w="450" w:type="pct"/>
            <w:vMerge w:val="restart"/>
            <w:vAlign w:val="center"/>
          </w:tcPr>
          <w:p w14:paraId="3FA573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活化槽</w:t>
            </w:r>
          </w:p>
        </w:tc>
        <w:tc>
          <w:tcPr>
            <w:tcW w:w="566" w:type="pct"/>
            <w:vAlign w:val="center"/>
          </w:tcPr>
          <w:p w14:paraId="2FA127B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氯化氢</w:t>
            </w:r>
          </w:p>
        </w:tc>
        <w:tc>
          <w:tcPr>
            <w:tcW w:w="630" w:type="pct"/>
            <w:vAlign w:val="center"/>
          </w:tcPr>
          <w:p w14:paraId="76C34F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0.4</w:t>
            </w:r>
          </w:p>
        </w:tc>
        <w:tc>
          <w:tcPr>
            <w:tcW w:w="521" w:type="pct"/>
            <w:vAlign w:val="center"/>
          </w:tcPr>
          <w:p w14:paraId="2B9857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0.81</w:t>
            </w:r>
          </w:p>
        </w:tc>
        <w:tc>
          <w:tcPr>
            <w:tcW w:w="503" w:type="pct"/>
            <w:vAlign w:val="center"/>
          </w:tcPr>
          <w:p w14:paraId="2DFD1C2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2400</w:t>
            </w:r>
          </w:p>
        </w:tc>
        <w:tc>
          <w:tcPr>
            <w:tcW w:w="922" w:type="dxa"/>
            <w:vAlign w:val="center"/>
          </w:tcPr>
          <w:p w14:paraId="225EBE6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0.00078</w:t>
            </w:r>
          </w:p>
        </w:tc>
        <w:tc>
          <w:tcPr>
            <w:tcW w:w="832" w:type="dxa"/>
            <w:vAlign w:val="center"/>
          </w:tcPr>
          <w:p w14:paraId="6F9494E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0.00074</w:t>
            </w:r>
          </w:p>
        </w:tc>
        <w:tc>
          <w:tcPr>
            <w:tcW w:w="966" w:type="dxa"/>
            <w:vAlign w:val="center"/>
          </w:tcPr>
          <w:p w14:paraId="2C7769D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0.00004</w:t>
            </w:r>
          </w:p>
        </w:tc>
      </w:tr>
      <w:tr w14:paraId="7656F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734" w:type="pct"/>
            <w:vMerge w:val="continue"/>
            <w:vAlign w:val="center"/>
          </w:tcPr>
          <w:p w14:paraId="456F70D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450" w:type="pct"/>
            <w:vMerge w:val="continue"/>
            <w:vAlign w:val="center"/>
          </w:tcPr>
          <w:p w14:paraId="24FBD5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566" w:type="pct"/>
            <w:vAlign w:val="center"/>
          </w:tcPr>
          <w:p w14:paraId="6981F7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硫酸雾</w:t>
            </w:r>
          </w:p>
        </w:tc>
        <w:tc>
          <w:tcPr>
            <w:tcW w:w="630" w:type="pct"/>
            <w:vAlign w:val="center"/>
          </w:tcPr>
          <w:p w14:paraId="753452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25.2</w:t>
            </w:r>
          </w:p>
        </w:tc>
        <w:tc>
          <w:tcPr>
            <w:tcW w:w="521" w:type="pct"/>
            <w:vAlign w:val="center"/>
          </w:tcPr>
          <w:p w14:paraId="498D377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1"/>
                <w:szCs w:val="21"/>
                <w:highlight w:val="none"/>
                <w:u w:val="single" w:color="auto"/>
                <w:lang w:val="en-US" w:eastAsia="zh-CN"/>
              </w:rPr>
              <w:t>0.81</w:t>
            </w:r>
          </w:p>
        </w:tc>
        <w:tc>
          <w:tcPr>
            <w:tcW w:w="503" w:type="pct"/>
            <w:vAlign w:val="center"/>
          </w:tcPr>
          <w:p w14:paraId="566630D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2400</w:t>
            </w:r>
          </w:p>
        </w:tc>
        <w:tc>
          <w:tcPr>
            <w:tcW w:w="922" w:type="dxa"/>
            <w:vAlign w:val="center"/>
          </w:tcPr>
          <w:p w14:paraId="581D978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0.049</w:t>
            </w:r>
          </w:p>
        </w:tc>
        <w:tc>
          <w:tcPr>
            <w:tcW w:w="832" w:type="dxa"/>
            <w:vAlign w:val="center"/>
          </w:tcPr>
          <w:p w14:paraId="7C9E08D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0.047</w:t>
            </w:r>
          </w:p>
        </w:tc>
        <w:tc>
          <w:tcPr>
            <w:tcW w:w="966" w:type="dxa"/>
            <w:vAlign w:val="center"/>
          </w:tcPr>
          <w:p w14:paraId="6DADAA5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0.002</w:t>
            </w:r>
          </w:p>
        </w:tc>
      </w:tr>
      <w:tr w14:paraId="4DE67D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734" w:type="pct"/>
            <w:vMerge w:val="restart"/>
            <w:vAlign w:val="center"/>
          </w:tcPr>
          <w:p w14:paraId="3C40866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退镀线</w:t>
            </w:r>
            <w:r>
              <w:rPr>
                <w:rFonts w:hint="default" w:ascii="Times New Roman" w:hAnsi="Times New Roman" w:eastAsia="宋体" w:cs="Times New Roman"/>
                <w:color w:val="auto"/>
                <w:sz w:val="21"/>
                <w:szCs w:val="21"/>
                <w:highlight w:val="none"/>
                <w:u w:val="single" w:color="auto"/>
                <w:lang w:val="en-US" w:eastAsia="zh-CN"/>
              </w:rPr>
              <w:t>1</w:t>
            </w:r>
          </w:p>
        </w:tc>
        <w:tc>
          <w:tcPr>
            <w:tcW w:w="450" w:type="pct"/>
            <w:vMerge w:val="restart"/>
            <w:vAlign w:val="center"/>
          </w:tcPr>
          <w:p w14:paraId="6EA7AF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退镀槽</w:t>
            </w:r>
          </w:p>
        </w:tc>
        <w:tc>
          <w:tcPr>
            <w:tcW w:w="566" w:type="pct"/>
            <w:vAlign w:val="center"/>
          </w:tcPr>
          <w:p w14:paraId="64EBEB5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630" w:type="pct"/>
            <w:vAlign w:val="center"/>
          </w:tcPr>
          <w:p w14:paraId="42C67B3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w:t>
            </w:r>
          </w:p>
        </w:tc>
        <w:tc>
          <w:tcPr>
            <w:tcW w:w="521" w:type="pct"/>
            <w:vAlign w:val="center"/>
          </w:tcPr>
          <w:p w14:paraId="4BF4913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4.05</w:t>
            </w:r>
          </w:p>
        </w:tc>
        <w:tc>
          <w:tcPr>
            <w:tcW w:w="503" w:type="pct"/>
            <w:vAlign w:val="center"/>
          </w:tcPr>
          <w:p w14:paraId="1AA51E1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2400</w:t>
            </w:r>
          </w:p>
        </w:tc>
        <w:tc>
          <w:tcPr>
            <w:tcW w:w="922" w:type="dxa"/>
            <w:vAlign w:val="center"/>
          </w:tcPr>
          <w:p w14:paraId="1116355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0.097</w:t>
            </w:r>
          </w:p>
        </w:tc>
        <w:tc>
          <w:tcPr>
            <w:tcW w:w="832" w:type="dxa"/>
            <w:vAlign w:val="center"/>
          </w:tcPr>
          <w:p w14:paraId="265A842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0.092</w:t>
            </w:r>
          </w:p>
        </w:tc>
        <w:tc>
          <w:tcPr>
            <w:tcW w:w="966" w:type="dxa"/>
            <w:vAlign w:val="center"/>
          </w:tcPr>
          <w:p w14:paraId="15ABB98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14:paraId="7261C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734" w:type="pct"/>
            <w:vMerge w:val="continue"/>
            <w:vAlign w:val="center"/>
          </w:tcPr>
          <w:p w14:paraId="1666D22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450" w:type="pct"/>
            <w:vMerge w:val="continue"/>
            <w:vAlign w:val="center"/>
          </w:tcPr>
          <w:p w14:paraId="5675CF7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566" w:type="pct"/>
            <w:vAlign w:val="center"/>
          </w:tcPr>
          <w:p w14:paraId="2A623C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630" w:type="pct"/>
            <w:vAlign w:val="center"/>
          </w:tcPr>
          <w:p w14:paraId="4EBC1E6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10.8</w:t>
            </w:r>
          </w:p>
        </w:tc>
        <w:tc>
          <w:tcPr>
            <w:tcW w:w="521" w:type="pct"/>
            <w:vAlign w:val="center"/>
          </w:tcPr>
          <w:p w14:paraId="4A4D0AC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4.05</w:t>
            </w:r>
          </w:p>
        </w:tc>
        <w:tc>
          <w:tcPr>
            <w:tcW w:w="503" w:type="pct"/>
            <w:vAlign w:val="center"/>
          </w:tcPr>
          <w:p w14:paraId="3C37C07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2400</w:t>
            </w:r>
          </w:p>
        </w:tc>
        <w:tc>
          <w:tcPr>
            <w:tcW w:w="922" w:type="dxa"/>
            <w:vAlign w:val="center"/>
          </w:tcPr>
          <w:p w14:paraId="1E875C5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0.105</w:t>
            </w:r>
          </w:p>
        </w:tc>
        <w:tc>
          <w:tcPr>
            <w:tcW w:w="832" w:type="dxa"/>
            <w:vAlign w:val="center"/>
          </w:tcPr>
          <w:p w14:paraId="239FF85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0.100</w:t>
            </w:r>
          </w:p>
        </w:tc>
        <w:tc>
          <w:tcPr>
            <w:tcW w:w="966" w:type="dxa"/>
            <w:vAlign w:val="center"/>
          </w:tcPr>
          <w:p w14:paraId="42F9A8C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14:paraId="08D245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 w:hRule="atLeast"/>
          <w:jc w:val="center"/>
        </w:trPr>
        <w:tc>
          <w:tcPr>
            <w:tcW w:w="734" w:type="pct"/>
            <w:vMerge w:val="restart"/>
            <w:vAlign w:val="center"/>
          </w:tcPr>
          <w:p w14:paraId="014F38F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退镀</w:t>
            </w:r>
            <w:r>
              <w:rPr>
                <w:rFonts w:hint="default" w:ascii="Times New Roman" w:hAnsi="Times New Roman" w:eastAsia="宋体" w:cs="Times New Roman"/>
                <w:color w:val="auto"/>
                <w:sz w:val="21"/>
                <w:szCs w:val="21"/>
                <w:highlight w:val="none"/>
                <w:u w:val="single" w:color="auto"/>
              </w:rPr>
              <w:t>线</w:t>
            </w:r>
            <w:r>
              <w:rPr>
                <w:rFonts w:hint="default" w:ascii="Times New Roman" w:hAnsi="Times New Roman" w:eastAsia="宋体" w:cs="Times New Roman"/>
                <w:color w:val="auto"/>
                <w:sz w:val="21"/>
                <w:szCs w:val="21"/>
                <w:highlight w:val="none"/>
                <w:u w:val="single" w:color="auto"/>
                <w:lang w:val="en-US" w:eastAsia="zh-CN"/>
              </w:rPr>
              <w:t>2</w:t>
            </w:r>
          </w:p>
        </w:tc>
        <w:tc>
          <w:tcPr>
            <w:tcW w:w="450" w:type="pct"/>
            <w:vMerge w:val="restart"/>
            <w:vAlign w:val="center"/>
          </w:tcPr>
          <w:p w14:paraId="312B357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退镀槽</w:t>
            </w:r>
          </w:p>
        </w:tc>
        <w:tc>
          <w:tcPr>
            <w:tcW w:w="566" w:type="pct"/>
            <w:vAlign w:val="center"/>
          </w:tcPr>
          <w:p w14:paraId="0332471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630" w:type="pct"/>
            <w:vAlign w:val="center"/>
          </w:tcPr>
          <w:p w14:paraId="24E9C28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w:t>
            </w:r>
          </w:p>
        </w:tc>
        <w:tc>
          <w:tcPr>
            <w:tcW w:w="521" w:type="pct"/>
            <w:vAlign w:val="center"/>
          </w:tcPr>
          <w:p w14:paraId="1C77001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4.05</w:t>
            </w:r>
          </w:p>
        </w:tc>
        <w:tc>
          <w:tcPr>
            <w:tcW w:w="503" w:type="pct"/>
            <w:vAlign w:val="center"/>
          </w:tcPr>
          <w:p w14:paraId="141FB5A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1"/>
                <w:szCs w:val="21"/>
                <w:highlight w:val="none"/>
                <w:u w:val="single" w:color="auto"/>
                <w:lang w:val="en-US" w:eastAsia="zh-CN"/>
              </w:rPr>
              <w:t>2400</w:t>
            </w:r>
          </w:p>
        </w:tc>
        <w:tc>
          <w:tcPr>
            <w:tcW w:w="922" w:type="dxa"/>
            <w:vAlign w:val="center"/>
          </w:tcPr>
          <w:p w14:paraId="4D338DE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0.097</w:t>
            </w:r>
          </w:p>
        </w:tc>
        <w:tc>
          <w:tcPr>
            <w:tcW w:w="832" w:type="dxa"/>
            <w:vAlign w:val="center"/>
          </w:tcPr>
          <w:p w14:paraId="3E82CDA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0.092</w:t>
            </w:r>
          </w:p>
        </w:tc>
        <w:tc>
          <w:tcPr>
            <w:tcW w:w="966" w:type="dxa"/>
            <w:vAlign w:val="center"/>
          </w:tcPr>
          <w:p w14:paraId="0CE5477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14:paraId="393CA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 w:hRule="atLeast"/>
          <w:jc w:val="center"/>
        </w:trPr>
        <w:tc>
          <w:tcPr>
            <w:tcW w:w="734" w:type="pct"/>
            <w:vMerge w:val="continue"/>
            <w:vAlign w:val="center"/>
          </w:tcPr>
          <w:p w14:paraId="4146989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p>
        </w:tc>
        <w:tc>
          <w:tcPr>
            <w:tcW w:w="450" w:type="pct"/>
            <w:vMerge w:val="continue"/>
            <w:vAlign w:val="center"/>
          </w:tcPr>
          <w:p w14:paraId="49C5EF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p>
        </w:tc>
        <w:tc>
          <w:tcPr>
            <w:tcW w:w="566" w:type="pct"/>
            <w:vAlign w:val="center"/>
          </w:tcPr>
          <w:p w14:paraId="27AE5BE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630" w:type="pct"/>
            <w:vAlign w:val="center"/>
          </w:tcPr>
          <w:p w14:paraId="0B9822C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10.8</w:t>
            </w:r>
          </w:p>
        </w:tc>
        <w:tc>
          <w:tcPr>
            <w:tcW w:w="521" w:type="pct"/>
            <w:vAlign w:val="center"/>
          </w:tcPr>
          <w:p w14:paraId="4821F60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4.05</w:t>
            </w:r>
          </w:p>
        </w:tc>
        <w:tc>
          <w:tcPr>
            <w:tcW w:w="503" w:type="pct"/>
            <w:vAlign w:val="center"/>
          </w:tcPr>
          <w:p w14:paraId="4F72EA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2400</w:t>
            </w:r>
          </w:p>
        </w:tc>
        <w:tc>
          <w:tcPr>
            <w:tcW w:w="922" w:type="dxa"/>
            <w:vAlign w:val="center"/>
          </w:tcPr>
          <w:p w14:paraId="3C966FA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0.105</w:t>
            </w:r>
          </w:p>
        </w:tc>
        <w:tc>
          <w:tcPr>
            <w:tcW w:w="832" w:type="dxa"/>
            <w:vAlign w:val="center"/>
          </w:tcPr>
          <w:p w14:paraId="2261E1A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0.100</w:t>
            </w:r>
          </w:p>
        </w:tc>
        <w:tc>
          <w:tcPr>
            <w:tcW w:w="966" w:type="dxa"/>
            <w:vAlign w:val="center"/>
          </w:tcPr>
          <w:p w14:paraId="5F1FC00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14:paraId="4BD15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9"/>
            <w:vAlign w:val="center"/>
          </w:tcPr>
          <w:p w14:paraId="108854E4">
            <w:pPr>
              <w:keepNext w:val="0"/>
              <w:keepLines w:val="0"/>
              <w:pageBreakBefore w:val="0"/>
              <w:tabs>
                <w:tab w:val="left" w:pos="869"/>
              </w:tabs>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color w:val="auto"/>
                <w:sz w:val="21"/>
                <w:szCs w:val="21"/>
                <w:highlight w:val="none"/>
                <w:u w:val="single" w:color="auto"/>
              </w:rPr>
            </w:pPr>
            <w:r>
              <w:rPr>
                <w:rFonts w:hint="default" w:ascii="Times New Roman" w:hAnsi="Times New Roman" w:eastAsia="宋体" w:cs="Times New Roman"/>
                <w:b/>
                <w:color w:val="auto"/>
                <w:sz w:val="21"/>
                <w:szCs w:val="21"/>
                <w:highlight w:val="none"/>
                <w:u w:val="single" w:color="auto"/>
              </w:rPr>
              <w:t>备注：各生产线除设置槽侧、槽顶抽风外，还考虑了整体封闭负压收集，</w:t>
            </w:r>
            <w:r>
              <w:rPr>
                <w:rFonts w:hint="default" w:ascii="Times New Roman" w:hAnsi="Times New Roman" w:eastAsia="宋体" w:cs="Times New Roman"/>
                <w:b/>
                <w:color w:val="auto"/>
                <w:sz w:val="21"/>
                <w:szCs w:val="21"/>
                <w:highlight w:val="none"/>
                <w:u w:val="single" w:color="auto"/>
                <w:lang w:eastAsia="zh-CN"/>
              </w:rPr>
              <w:t>参考同类型项目，</w:t>
            </w:r>
            <w:r>
              <w:rPr>
                <w:rFonts w:hint="default" w:ascii="Times New Roman" w:hAnsi="Times New Roman" w:eastAsia="宋体" w:cs="Times New Roman"/>
                <w:b/>
                <w:color w:val="auto"/>
                <w:sz w:val="21"/>
                <w:szCs w:val="21"/>
                <w:highlight w:val="none"/>
                <w:u w:val="single" w:color="auto"/>
              </w:rPr>
              <w:t>无组织排放量按</w:t>
            </w:r>
            <w:r>
              <w:rPr>
                <w:rFonts w:hint="default" w:ascii="Times New Roman" w:hAnsi="Times New Roman" w:eastAsia="宋体" w:cs="Times New Roman"/>
                <w:b/>
                <w:color w:val="auto"/>
                <w:sz w:val="21"/>
                <w:szCs w:val="21"/>
                <w:highlight w:val="none"/>
                <w:u w:val="single" w:color="auto"/>
                <w:lang w:eastAsia="zh-CN"/>
              </w:rPr>
              <w:t>废气总排放量的</w:t>
            </w:r>
            <w:r>
              <w:rPr>
                <w:rFonts w:hint="default" w:ascii="Times New Roman" w:hAnsi="Times New Roman" w:eastAsia="宋体" w:cs="Times New Roman"/>
                <w:b/>
                <w:color w:val="auto"/>
                <w:sz w:val="21"/>
                <w:szCs w:val="21"/>
                <w:highlight w:val="none"/>
                <w:u w:val="single" w:color="auto"/>
                <w:lang w:val="en-US" w:eastAsia="zh-CN"/>
              </w:rPr>
              <w:t>5</w:t>
            </w:r>
            <w:r>
              <w:rPr>
                <w:rFonts w:hint="default" w:ascii="Times New Roman" w:hAnsi="Times New Roman" w:eastAsia="宋体" w:cs="Times New Roman"/>
                <w:b/>
                <w:color w:val="auto"/>
                <w:sz w:val="21"/>
                <w:szCs w:val="21"/>
                <w:highlight w:val="none"/>
                <w:u w:val="single" w:color="auto"/>
              </w:rPr>
              <w:t>%考虑</w:t>
            </w:r>
          </w:p>
        </w:tc>
      </w:tr>
    </w:tbl>
    <w:p w14:paraId="55152A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根据《污染源源强核算技术指南电镀》（HJ984-2018）附录F，本项目各酸雾治理技术及效果详见下表：</w:t>
      </w:r>
    </w:p>
    <w:p w14:paraId="79EF754F">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4</w:t>
      </w:r>
      <w:r>
        <w:rPr>
          <w:rFonts w:hint="default" w:ascii="Times New Roman" w:hAnsi="Times New Roman" w:eastAsia="宋体" w:cs="Times New Roman"/>
          <w:b/>
          <w:color w:val="auto"/>
          <w:sz w:val="21"/>
          <w:szCs w:val="18"/>
          <w:highlight w:val="none"/>
          <w:u w:val="none" w:color="auto"/>
        </w:rPr>
        <w:t>.4-3本项目酸雾治理技术及效果</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1415"/>
        <w:gridCol w:w="1132"/>
        <w:gridCol w:w="2124"/>
        <w:gridCol w:w="3176"/>
      </w:tblGrid>
      <w:tr w14:paraId="66DB4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6" w:type="pct"/>
            <w:vAlign w:val="center"/>
          </w:tcPr>
          <w:p w14:paraId="19922BC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830" w:type="pct"/>
            <w:vAlign w:val="center"/>
          </w:tcPr>
          <w:p w14:paraId="54B647E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废气种类</w:t>
            </w:r>
          </w:p>
        </w:tc>
        <w:tc>
          <w:tcPr>
            <w:tcW w:w="664" w:type="pct"/>
            <w:vAlign w:val="center"/>
          </w:tcPr>
          <w:p w14:paraId="7BE11E4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污染因子</w:t>
            </w:r>
          </w:p>
        </w:tc>
        <w:tc>
          <w:tcPr>
            <w:tcW w:w="1246" w:type="pct"/>
            <w:vAlign w:val="center"/>
          </w:tcPr>
          <w:p w14:paraId="56E104D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治理技术</w:t>
            </w:r>
          </w:p>
        </w:tc>
        <w:tc>
          <w:tcPr>
            <w:tcW w:w="1863" w:type="pct"/>
            <w:vAlign w:val="center"/>
          </w:tcPr>
          <w:p w14:paraId="2FF2055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去除效率参考值</w:t>
            </w:r>
          </w:p>
        </w:tc>
      </w:tr>
      <w:tr w14:paraId="0E453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6" w:type="pct"/>
            <w:vMerge w:val="restart"/>
            <w:vAlign w:val="center"/>
          </w:tcPr>
          <w:p w14:paraId="21761C0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830" w:type="pct"/>
            <w:vMerge w:val="restart"/>
            <w:vAlign w:val="center"/>
          </w:tcPr>
          <w:p w14:paraId="4B65E42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酸碱废气</w:t>
            </w:r>
          </w:p>
        </w:tc>
        <w:tc>
          <w:tcPr>
            <w:tcW w:w="664" w:type="pct"/>
            <w:vAlign w:val="center"/>
          </w:tcPr>
          <w:p w14:paraId="02F3A77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w:t>
            </w:r>
          </w:p>
        </w:tc>
        <w:tc>
          <w:tcPr>
            <w:tcW w:w="1246" w:type="pct"/>
            <w:vMerge w:val="restart"/>
            <w:vAlign w:val="center"/>
          </w:tcPr>
          <w:p w14:paraId="3E82436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喷淋塔中和法</w:t>
            </w:r>
          </w:p>
        </w:tc>
        <w:tc>
          <w:tcPr>
            <w:tcW w:w="1863" w:type="pct"/>
            <w:vAlign w:val="center"/>
          </w:tcPr>
          <w:p w14:paraId="6313DAA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10%碳酸钠和氢氧化钠溶液中和硫酸废气，去除率≥90%</w:t>
            </w:r>
          </w:p>
        </w:tc>
      </w:tr>
      <w:tr w14:paraId="370DF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6" w:type="pct"/>
            <w:vMerge w:val="continue"/>
            <w:vAlign w:val="center"/>
          </w:tcPr>
          <w:p w14:paraId="2D850DC2">
            <w:pPr>
              <w:spacing w:line="240" w:lineRule="auto"/>
              <w:jc w:val="center"/>
              <w:rPr>
                <w:rFonts w:hint="default" w:ascii="Times New Roman" w:hAnsi="Times New Roman" w:eastAsia="宋体" w:cs="Times New Roman"/>
                <w:color w:val="auto"/>
                <w:sz w:val="21"/>
                <w:szCs w:val="21"/>
                <w:highlight w:val="none"/>
                <w:u w:val="none" w:color="auto"/>
              </w:rPr>
            </w:pPr>
          </w:p>
        </w:tc>
        <w:tc>
          <w:tcPr>
            <w:tcW w:w="830" w:type="pct"/>
            <w:vMerge w:val="continue"/>
            <w:vAlign w:val="center"/>
          </w:tcPr>
          <w:p w14:paraId="1828183A">
            <w:pPr>
              <w:spacing w:line="240" w:lineRule="auto"/>
              <w:jc w:val="center"/>
              <w:rPr>
                <w:rFonts w:hint="default" w:ascii="Times New Roman" w:hAnsi="Times New Roman" w:eastAsia="宋体" w:cs="Times New Roman"/>
                <w:color w:val="auto"/>
                <w:sz w:val="21"/>
                <w:szCs w:val="21"/>
                <w:highlight w:val="none"/>
                <w:u w:val="none" w:color="auto"/>
              </w:rPr>
            </w:pPr>
          </w:p>
        </w:tc>
        <w:tc>
          <w:tcPr>
            <w:tcW w:w="664" w:type="pct"/>
            <w:vAlign w:val="center"/>
          </w:tcPr>
          <w:p w14:paraId="7C0EC4D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氯化氢</w:t>
            </w:r>
          </w:p>
        </w:tc>
        <w:tc>
          <w:tcPr>
            <w:tcW w:w="1246" w:type="pct"/>
            <w:vMerge w:val="continue"/>
            <w:vAlign w:val="center"/>
          </w:tcPr>
          <w:p w14:paraId="27B09E90">
            <w:pPr>
              <w:spacing w:line="240" w:lineRule="auto"/>
              <w:jc w:val="center"/>
              <w:rPr>
                <w:rFonts w:hint="default" w:ascii="Times New Roman" w:hAnsi="Times New Roman" w:eastAsia="宋体" w:cs="Times New Roman"/>
                <w:color w:val="auto"/>
                <w:sz w:val="21"/>
                <w:szCs w:val="21"/>
                <w:highlight w:val="none"/>
                <w:u w:val="none" w:color="auto"/>
              </w:rPr>
            </w:pPr>
          </w:p>
        </w:tc>
        <w:tc>
          <w:tcPr>
            <w:tcW w:w="1863" w:type="pct"/>
            <w:vAlign w:val="center"/>
          </w:tcPr>
          <w:p w14:paraId="770A91C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低浓度氢氧化钠或氨水中和盐酸废气，去除率≥95%</w:t>
            </w:r>
          </w:p>
        </w:tc>
      </w:tr>
      <w:tr w14:paraId="2CFED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6" w:type="pct"/>
            <w:vMerge w:val="continue"/>
            <w:vAlign w:val="center"/>
          </w:tcPr>
          <w:p w14:paraId="29A1E543">
            <w:pPr>
              <w:spacing w:line="240" w:lineRule="auto"/>
              <w:jc w:val="center"/>
              <w:rPr>
                <w:rFonts w:hint="default" w:ascii="Times New Roman" w:hAnsi="Times New Roman" w:eastAsia="宋体" w:cs="Times New Roman"/>
                <w:color w:val="auto"/>
                <w:sz w:val="21"/>
                <w:szCs w:val="21"/>
                <w:highlight w:val="none"/>
                <w:u w:val="none" w:color="auto"/>
              </w:rPr>
            </w:pPr>
          </w:p>
        </w:tc>
        <w:tc>
          <w:tcPr>
            <w:tcW w:w="830" w:type="pct"/>
            <w:vMerge w:val="continue"/>
            <w:vAlign w:val="center"/>
          </w:tcPr>
          <w:p w14:paraId="0C2CCBA2">
            <w:pPr>
              <w:spacing w:line="240" w:lineRule="auto"/>
              <w:jc w:val="center"/>
              <w:rPr>
                <w:rFonts w:hint="default" w:ascii="Times New Roman" w:hAnsi="Times New Roman" w:eastAsia="宋体" w:cs="Times New Roman"/>
                <w:color w:val="auto"/>
                <w:sz w:val="21"/>
                <w:szCs w:val="21"/>
                <w:highlight w:val="none"/>
                <w:u w:val="none" w:color="auto"/>
              </w:rPr>
            </w:pPr>
          </w:p>
        </w:tc>
        <w:tc>
          <w:tcPr>
            <w:tcW w:w="664" w:type="pct"/>
            <w:vAlign w:val="center"/>
          </w:tcPr>
          <w:p w14:paraId="039A716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氮氧化物</w:t>
            </w:r>
          </w:p>
        </w:tc>
        <w:tc>
          <w:tcPr>
            <w:tcW w:w="1246" w:type="pct"/>
            <w:vMerge w:val="continue"/>
            <w:vAlign w:val="center"/>
          </w:tcPr>
          <w:p w14:paraId="2F193566">
            <w:pPr>
              <w:spacing w:line="240" w:lineRule="auto"/>
              <w:jc w:val="center"/>
              <w:rPr>
                <w:rFonts w:hint="default" w:ascii="Times New Roman" w:hAnsi="Times New Roman" w:eastAsia="宋体" w:cs="Times New Roman"/>
                <w:color w:val="auto"/>
                <w:sz w:val="21"/>
                <w:szCs w:val="21"/>
                <w:highlight w:val="none"/>
                <w:u w:val="none" w:color="auto"/>
              </w:rPr>
            </w:pPr>
          </w:p>
        </w:tc>
        <w:tc>
          <w:tcPr>
            <w:tcW w:w="1863" w:type="pct"/>
            <w:vAlign w:val="center"/>
          </w:tcPr>
          <w:p w14:paraId="4B1E06C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10%碳酸钠和氢氧化钠溶液中和</w:t>
            </w:r>
            <w:r>
              <w:rPr>
                <w:rFonts w:hint="default" w:ascii="Times New Roman" w:hAnsi="Times New Roman" w:eastAsia="宋体" w:cs="Times New Roman"/>
                <w:color w:val="auto"/>
                <w:sz w:val="21"/>
                <w:szCs w:val="21"/>
                <w:highlight w:val="none"/>
                <w:u w:val="none" w:color="auto"/>
                <w:lang w:eastAsia="zh-CN"/>
              </w:rPr>
              <w:t>硝酸雾</w:t>
            </w:r>
            <w:r>
              <w:rPr>
                <w:rFonts w:hint="default" w:ascii="Times New Roman" w:hAnsi="Times New Roman" w:eastAsia="宋体" w:cs="Times New Roman"/>
                <w:color w:val="auto"/>
                <w:sz w:val="21"/>
                <w:szCs w:val="21"/>
                <w:highlight w:val="none"/>
                <w:u w:val="none" w:color="auto"/>
              </w:rPr>
              <w:t>废气，去除率≥</w:t>
            </w:r>
            <w:r>
              <w:rPr>
                <w:rFonts w:hint="default" w:ascii="Times New Roman" w:hAnsi="Times New Roman" w:eastAsia="宋体" w:cs="Times New Roman"/>
                <w:color w:val="auto"/>
                <w:sz w:val="21"/>
                <w:szCs w:val="21"/>
                <w:highlight w:val="none"/>
                <w:u w:val="none" w:color="auto"/>
                <w:lang w:val="en-US" w:eastAsia="zh-CN"/>
              </w:rPr>
              <w:t>85</w:t>
            </w:r>
            <w:r>
              <w:rPr>
                <w:rFonts w:hint="default" w:ascii="Times New Roman" w:hAnsi="Times New Roman" w:eastAsia="宋体" w:cs="Times New Roman"/>
                <w:color w:val="auto"/>
                <w:sz w:val="21"/>
                <w:szCs w:val="21"/>
                <w:highlight w:val="none"/>
                <w:u w:val="none" w:color="auto"/>
              </w:rPr>
              <w:t>%</w:t>
            </w:r>
          </w:p>
        </w:tc>
      </w:tr>
    </w:tbl>
    <w:p w14:paraId="0128C95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eastAsia="zh-CN"/>
        </w:rPr>
        <w:t>）烧结超硬材料制品</w:t>
      </w:r>
      <w:r>
        <w:rPr>
          <w:rFonts w:hint="default" w:ascii="Times New Roman" w:hAnsi="Times New Roman" w:eastAsia="宋体" w:cs="Times New Roman"/>
          <w:color w:val="auto"/>
          <w:sz w:val="24"/>
          <w:szCs w:val="24"/>
          <w:highlight w:val="none"/>
          <w:u w:val="none" w:color="auto"/>
        </w:rPr>
        <w:t>有机废气</w:t>
      </w:r>
    </w:p>
    <w:p w14:paraId="11ADB1F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w:t>
      </w:r>
      <w:r>
        <w:rPr>
          <w:rFonts w:hint="default" w:ascii="Times New Roman" w:hAnsi="Times New Roman" w:eastAsia="宋体" w:cs="Times New Roman"/>
          <w:color w:val="auto"/>
          <w:sz w:val="24"/>
          <w:szCs w:val="24"/>
          <w:highlight w:val="none"/>
          <w:u w:val="none" w:color="auto"/>
          <w:lang w:eastAsia="zh-CN"/>
        </w:rPr>
        <w:t>烧结超硬材料制品</w:t>
      </w:r>
      <w:r>
        <w:rPr>
          <w:rFonts w:hint="default" w:ascii="Times New Roman" w:hAnsi="Times New Roman" w:eastAsia="宋体" w:cs="Times New Roman"/>
          <w:color w:val="auto"/>
          <w:sz w:val="24"/>
          <w:szCs w:val="24"/>
          <w:highlight w:val="none"/>
          <w:u w:val="none" w:color="auto"/>
        </w:rPr>
        <w:t>线</w:t>
      </w:r>
      <w:r>
        <w:rPr>
          <w:rFonts w:hint="default" w:ascii="Times New Roman" w:hAnsi="Times New Roman" w:eastAsia="宋体" w:cs="Times New Roman"/>
          <w:color w:val="auto"/>
          <w:sz w:val="24"/>
          <w:szCs w:val="24"/>
          <w:highlight w:val="none"/>
          <w:u w:val="none" w:color="auto"/>
          <w:lang w:eastAsia="zh-CN"/>
        </w:rPr>
        <w:t>使用树脂粉进行压制与烧结，压制与烧结过程</w:t>
      </w:r>
      <w:r>
        <w:rPr>
          <w:rFonts w:hint="default" w:ascii="Times New Roman" w:hAnsi="Times New Roman" w:eastAsia="宋体" w:cs="Times New Roman"/>
          <w:color w:val="auto"/>
          <w:sz w:val="24"/>
          <w:szCs w:val="24"/>
          <w:highlight w:val="none"/>
          <w:u w:val="none" w:color="auto"/>
        </w:rPr>
        <w:t>会产生少量的</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4"/>
          <w:highlight w:val="none"/>
          <w:u w:val="none" w:color="auto"/>
        </w:rPr>
        <w:t>根据设计，采用</w:t>
      </w:r>
      <w:r>
        <w:rPr>
          <w:rFonts w:hint="eastAsia" w:ascii="Times New Roman" w:hAnsi="Times New Roman" w:eastAsia="宋体" w:cs="Times New Roman"/>
          <w:color w:val="auto"/>
          <w:sz w:val="24"/>
          <w:szCs w:val="24"/>
          <w:highlight w:val="none"/>
          <w:u w:val="none" w:color="auto"/>
          <w:lang w:eastAsia="zh-CN"/>
        </w:rPr>
        <w:t>冷却塔</w:t>
      </w:r>
      <w:r>
        <w:rPr>
          <w:rFonts w:hint="eastAsia" w:ascii="Times New Roman" w:hAnsi="Times New Roman" w:eastAsia="宋体" w:cs="Times New Roman"/>
          <w:color w:val="auto"/>
          <w:sz w:val="24"/>
          <w:szCs w:val="24"/>
          <w:highlight w:val="none"/>
          <w:u w:val="none" w:color="auto"/>
          <w:lang w:val="en-US" w:eastAsia="zh-CN"/>
        </w:rPr>
        <w:t>+干湿过滤器+</w:t>
      </w:r>
      <w:r>
        <w:rPr>
          <w:rFonts w:hint="default" w:ascii="Times New Roman" w:hAnsi="Times New Roman" w:eastAsia="宋体" w:cs="Times New Roman"/>
          <w:color w:val="auto"/>
          <w:sz w:val="24"/>
          <w:szCs w:val="24"/>
          <w:highlight w:val="none"/>
          <w:u w:val="none" w:color="auto"/>
          <w:lang w:eastAsia="zh-CN"/>
        </w:rPr>
        <w:t>一级活性炭</w:t>
      </w:r>
      <w:r>
        <w:rPr>
          <w:rFonts w:hint="default" w:ascii="Times New Roman" w:hAnsi="Times New Roman" w:eastAsia="宋体" w:cs="Times New Roman"/>
          <w:color w:val="auto"/>
          <w:sz w:val="24"/>
          <w:szCs w:val="24"/>
          <w:highlight w:val="none"/>
          <w:u w:val="none" w:color="auto"/>
        </w:rPr>
        <w:t>进行处理。</w:t>
      </w:r>
    </w:p>
    <w:p w14:paraId="7ECE4E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vertAlign w:val="baseline"/>
          <w:lang w:val="en-US" w:eastAsia="zh-CN"/>
        </w:rPr>
      </w:pPr>
      <w:r>
        <w:rPr>
          <w:rFonts w:hint="default" w:ascii="Times New Roman" w:hAnsi="Times New Roman" w:eastAsia="宋体" w:cs="Times New Roman"/>
          <w:color w:val="auto"/>
          <w:sz w:val="24"/>
          <w:szCs w:val="24"/>
          <w:highlight w:val="none"/>
          <w:u w:val="none" w:color="auto"/>
          <w:lang w:eastAsia="zh-CN"/>
        </w:rPr>
        <w:t>项目烧结工序使用的塑胶原料为酚醛树脂，工作温度为</w:t>
      </w:r>
      <w:r>
        <w:rPr>
          <w:rFonts w:hint="default" w:ascii="Times New Roman" w:hAnsi="Times New Roman" w:eastAsia="宋体" w:cs="Times New Roman"/>
          <w:color w:val="auto"/>
          <w:sz w:val="24"/>
          <w:szCs w:val="24"/>
          <w:highlight w:val="none"/>
          <w:u w:val="none" w:color="auto"/>
          <w:lang w:val="en-US" w:eastAsia="zh-CN"/>
        </w:rPr>
        <w:t>150~200</w:t>
      </w:r>
      <w:r>
        <w:rPr>
          <w:rFonts w:hint="default" w:ascii="Times New Roman" w:hAnsi="Times New Roman" w:eastAsia="宋体" w:cs="Times New Roman"/>
          <w:color w:val="auto"/>
          <w:sz w:val="24"/>
          <w:szCs w:val="24"/>
          <w:highlight w:val="none"/>
          <w:u w:val="none" w:color="auto"/>
          <w:lang w:eastAsia="zh-CN"/>
        </w:rPr>
        <w:t>℃，低于树脂原料的分解温度。</w:t>
      </w:r>
      <w:r>
        <w:rPr>
          <w:rFonts w:hint="default" w:ascii="Times New Roman" w:hAnsi="Times New Roman" w:eastAsia="宋体" w:cs="Times New Roman"/>
          <w:color w:val="auto"/>
          <w:sz w:val="24"/>
          <w:szCs w:val="24"/>
          <w:highlight w:val="none"/>
          <w:u w:val="none" w:color="auto"/>
        </w:rPr>
        <w:t>根据《合成树脂工业污染物排放标准》(GB31572-2015)，合成树脂加工或生产设备的大气污染物根据其涉及到的合成树脂种类确定，有机废气以非甲烷总烃计。参考《排放源统计调查产排污核算方法和系数手册（公告2021年第24号）》292塑料制品行业系数手册中的塑料零件及其他塑料制品制造行业系数表中“配料-混合-挤出/注塑”废气排放系数，项目在</w:t>
      </w:r>
      <w:r>
        <w:rPr>
          <w:rFonts w:hint="default" w:ascii="Times New Roman" w:hAnsi="Times New Roman" w:eastAsia="宋体" w:cs="Times New Roman"/>
          <w:color w:val="auto"/>
          <w:sz w:val="24"/>
          <w:szCs w:val="24"/>
          <w:highlight w:val="none"/>
          <w:u w:val="none" w:color="auto"/>
          <w:lang w:eastAsia="zh-CN"/>
        </w:rPr>
        <w:t>压制、烧结</w:t>
      </w:r>
      <w:r>
        <w:rPr>
          <w:rFonts w:hint="default" w:ascii="Times New Roman" w:hAnsi="Times New Roman" w:eastAsia="宋体" w:cs="Times New Roman"/>
          <w:color w:val="auto"/>
          <w:sz w:val="24"/>
          <w:szCs w:val="24"/>
          <w:highlight w:val="none"/>
          <w:u w:val="none" w:color="auto"/>
        </w:rPr>
        <w:t>过程中的产污系数为2.7千克/吨-产品。项目产品年产量为</w:t>
      </w:r>
      <w:r>
        <w:rPr>
          <w:rFonts w:hint="default" w:ascii="Times New Roman" w:hAnsi="Times New Roman" w:eastAsia="宋体" w:cs="Times New Roman"/>
          <w:color w:val="auto"/>
          <w:sz w:val="24"/>
          <w:szCs w:val="24"/>
          <w:highlight w:val="none"/>
          <w:u w:val="none" w:color="auto"/>
          <w:lang w:val="en-US" w:eastAsia="zh-CN"/>
        </w:rPr>
        <w:t>20t</w:t>
      </w:r>
      <w:r>
        <w:rPr>
          <w:rFonts w:hint="default" w:ascii="Times New Roman" w:hAnsi="Times New Roman" w:eastAsia="宋体" w:cs="Times New Roman"/>
          <w:color w:val="auto"/>
          <w:sz w:val="24"/>
          <w:szCs w:val="24"/>
          <w:highlight w:val="none"/>
          <w:u w:val="none" w:color="auto"/>
        </w:rPr>
        <w:t>，则</w:t>
      </w:r>
      <w:r>
        <w:rPr>
          <w:rFonts w:hint="default" w:ascii="Times New Roman" w:hAnsi="Times New Roman" w:eastAsia="宋体" w:cs="Times New Roman"/>
          <w:color w:val="auto"/>
          <w:sz w:val="24"/>
          <w:szCs w:val="24"/>
          <w:highlight w:val="none"/>
          <w:u w:val="none" w:color="auto"/>
          <w:lang w:eastAsia="zh-CN"/>
        </w:rPr>
        <w:t>压制和烧结两道工序</w:t>
      </w:r>
      <w:r>
        <w:rPr>
          <w:rFonts w:hint="default" w:ascii="Times New Roman" w:hAnsi="Times New Roman" w:eastAsia="宋体" w:cs="Times New Roman"/>
          <w:color w:val="auto"/>
          <w:sz w:val="24"/>
          <w:szCs w:val="24"/>
          <w:highlight w:val="none"/>
          <w:u w:val="none" w:color="auto"/>
        </w:rPr>
        <w:t>非甲烷总烃产生量为</w:t>
      </w:r>
      <w:r>
        <w:rPr>
          <w:rFonts w:hint="default" w:ascii="Times New Roman" w:hAnsi="Times New Roman" w:eastAsia="宋体" w:cs="Times New Roman"/>
          <w:color w:val="auto"/>
          <w:sz w:val="24"/>
          <w:szCs w:val="24"/>
          <w:highlight w:val="none"/>
          <w:u w:val="none" w:color="auto"/>
          <w:lang w:val="en-US" w:eastAsia="zh-CN"/>
        </w:rPr>
        <w:t>0.108</w:t>
      </w:r>
      <w:r>
        <w:rPr>
          <w:rFonts w:hint="default" w:ascii="Times New Roman" w:hAnsi="Times New Roman" w:eastAsia="宋体" w:cs="Times New Roman"/>
          <w:color w:val="auto"/>
          <w:sz w:val="24"/>
          <w:szCs w:val="24"/>
          <w:highlight w:val="none"/>
          <w:u w:val="none" w:color="auto"/>
        </w:rPr>
        <w:t>t/a。</w:t>
      </w:r>
      <w:r>
        <w:rPr>
          <w:rFonts w:hint="default" w:ascii="Times New Roman" w:hAnsi="Times New Roman" w:eastAsia="宋体" w:cs="Times New Roman"/>
          <w:color w:val="auto"/>
          <w:sz w:val="24"/>
          <w:szCs w:val="24"/>
          <w:highlight w:val="none"/>
          <w:u w:val="none" w:color="auto"/>
          <w:lang w:eastAsia="zh-CN"/>
        </w:rPr>
        <w:t>项目</w:t>
      </w:r>
      <w:r>
        <w:rPr>
          <w:rFonts w:hint="default" w:ascii="Times New Roman" w:hAnsi="Times New Roman" w:eastAsia="宋体" w:cs="Times New Roman"/>
          <w:color w:val="auto"/>
          <w:sz w:val="24"/>
          <w:szCs w:val="24"/>
          <w:highlight w:val="none"/>
          <w:u w:val="none" w:color="auto"/>
        </w:rPr>
        <w:t>在</w:t>
      </w:r>
      <w:r>
        <w:rPr>
          <w:rFonts w:hint="default" w:ascii="Times New Roman" w:hAnsi="Times New Roman" w:eastAsia="宋体" w:cs="Times New Roman"/>
          <w:color w:val="auto"/>
          <w:sz w:val="24"/>
          <w:szCs w:val="24"/>
          <w:highlight w:val="none"/>
          <w:u w:val="none" w:color="auto"/>
          <w:lang w:eastAsia="zh-CN"/>
        </w:rPr>
        <w:t>压制烧结设施</w:t>
      </w:r>
      <w:r>
        <w:rPr>
          <w:rFonts w:hint="default" w:ascii="Times New Roman" w:hAnsi="Times New Roman" w:eastAsia="宋体" w:cs="Times New Roman"/>
          <w:color w:val="auto"/>
          <w:sz w:val="24"/>
          <w:szCs w:val="24"/>
          <w:highlight w:val="none"/>
          <w:u w:val="none" w:color="auto"/>
        </w:rPr>
        <w:t>的上方设置集气罩的方式对</w:t>
      </w:r>
      <w:r>
        <w:rPr>
          <w:rFonts w:hint="default" w:ascii="Times New Roman" w:hAnsi="Times New Roman" w:eastAsia="宋体" w:cs="Times New Roman"/>
          <w:color w:val="auto"/>
          <w:sz w:val="24"/>
          <w:szCs w:val="24"/>
          <w:highlight w:val="none"/>
          <w:u w:val="none" w:color="auto"/>
          <w:lang w:eastAsia="zh-CN"/>
        </w:rPr>
        <w:t>压制、烧结</w:t>
      </w:r>
      <w:r>
        <w:rPr>
          <w:rFonts w:hint="default" w:ascii="Times New Roman" w:hAnsi="Times New Roman" w:eastAsia="宋体" w:cs="Times New Roman"/>
          <w:color w:val="auto"/>
          <w:sz w:val="24"/>
          <w:szCs w:val="24"/>
          <w:highlight w:val="none"/>
          <w:u w:val="none" w:color="auto"/>
        </w:rPr>
        <w:t>工序产生的废气进行收集后</w:t>
      </w:r>
      <w:r>
        <w:rPr>
          <w:rFonts w:hint="eastAsia" w:ascii="Times New Roman" w:hAnsi="Times New Roman" w:eastAsia="宋体" w:cs="Times New Roman"/>
          <w:color w:val="auto"/>
          <w:sz w:val="24"/>
          <w:szCs w:val="24"/>
          <w:highlight w:val="none"/>
          <w:u w:val="none" w:color="auto"/>
          <w:lang w:eastAsia="zh-CN"/>
        </w:rPr>
        <w:t>冷却塔</w:t>
      </w:r>
      <w:r>
        <w:rPr>
          <w:rFonts w:hint="eastAsia" w:ascii="Times New Roman" w:hAnsi="Times New Roman" w:eastAsia="宋体" w:cs="Times New Roman"/>
          <w:color w:val="auto"/>
          <w:sz w:val="24"/>
          <w:szCs w:val="24"/>
          <w:highlight w:val="none"/>
          <w:u w:val="none" w:color="auto"/>
          <w:lang w:val="en-US" w:eastAsia="zh-CN"/>
        </w:rPr>
        <w:t>+干湿过滤器+</w:t>
      </w:r>
      <w:r>
        <w:rPr>
          <w:rFonts w:hint="default" w:ascii="Times New Roman" w:hAnsi="Times New Roman" w:eastAsia="宋体" w:cs="Times New Roman"/>
          <w:color w:val="auto"/>
          <w:sz w:val="24"/>
          <w:szCs w:val="24"/>
          <w:highlight w:val="none"/>
          <w:u w:val="none" w:color="auto"/>
          <w:lang w:eastAsia="zh-CN"/>
        </w:rPr>
        <w:t>一级活性炭</w:t>
      </w:r>
      <w:r>
        <w:rPr>
          <w:rFonts w:hint="default" w:ascii="Times New Roman" w:hAnsi="Times New Roman" w:eastAsia="宋体" w:cs="Times New Roman"/>
          <w:color w:val="auto"/>
          <w:sz w:val="24"/>
          <w:szCs w:val="24"/>
          <w:highlight w:val="none"/>
          <w:u w:val="none" w:color="auto"/>
        </w:rPr>
        <w:t>吸附装置处理后</w:t>
      </w:r>
      <w:r>
        <w:rPr>
          <w:rFonts w:hint="default" w:ascii="Times New Roman" w:hAnsi="Times New Roman" w:eastAsia="宋体" w:cs="Times New Roman"/>
          <w:color w:val="auto"/>
          <w:sz w:val="24"/>
          <w:szCs w:val="24"/>
          <w:highlight w:val="none"/>
          <w:u w:val="none" w:color="auto"/>
          <w:lang w:val="en-US" w:eastAsia="zh-CN"/>
        </w:rPr>
        <w:t>15m</w:t>
      </w:r>
      <w:r>
        <w:rPr>
          <w:rFonts w:hint="default" w:ascii="Times New Roman" w:hAnsi="Times New Roman" w:eastAsia="宋体" w:cs="Times New Roman"/>
          <w:color w:val="auto"/>
          <w:sz w:val="24"/>
          <w:szCs w:val="24"/>
          <w:highlight w:val="none"/>
          <w:u w:val="none" w:color="auto"/>
        </w:rPr>
        <w:t>高空排放</w:t>
      </w:r>
      <w:r>
        <w:rPr>
          <w:rFonts w:hint="default" w:ascii="Times New Roman" w:hAnsi="Times New Roman" w:eastAsia="宋体" w:cs="Times New Roman"/>
          <w:color w:val="auto"/>
          <w:sz w:val="24"/>
          <w:szCs w:val="24"/>
          <w:highlight w:val="none"/>
          <w:u w:val="none" w:color="auto"/>
          <w:lang w:eastAsia="zh-CN"/>
        </w:rPr>
        <w:t>。根据建设单位提供资料，风机风量为</w:t>
      </w:r>
      <w:r>
        <w:rPr>
          <w:rFonts w:hint="default" w:ascii="Times New Roman" w:hAnsi="Times New Roman" w:eastAsia="宋体" w:cs="Times New Roman"/>
          <w:color w:val="auto"/>
          <w:sz w:val="24"/>
          <w:szCs w:val="24"/>
          <w:highlight w:val="none"/>
          <w:u w:val="none" w:color="auto"/>
          <w:lang w:val="en-US" w:eastAsia="zh-CN"/>
        </w:rPr>
        <w:t>5000m</w:t>
      </w:r>
      <w:r>
        <w:rPr>
          <w:rFonts w:hint="default" w:ascii="Times New Roman" w:hAnsi="Times New Roman" w:eastAsia="宋体" w:cs="Times New Roman"/>
          <w:color w:val="auto"/>
          <w:sz w:val="24"/>
          <w:szCs w:val="24"/>
          <w:highlight w:val="none"/>
          <w:u w:val="none" w:color="auto"/>
          <w:vertAlign w:val="superscript"/>
          <w:lang w:val="en-US" w:eastAsia="zh-CN"/>
        </w:rPr>
        <w:t>3</w:t>
      </w:r>
      <w:r>
        <w:rPr>
          <w:rFonts w:hint="default" w:ascii="Times New Roman" w:hAnsi="Times New Roman" w:eastAsia="宋体" w:cs="Times New Roman"/>
          <w:color w:val="auto"/>
          <w:sz w:val="24"/>
          <w:szCs w:val="24"/>
          <w:highlight w:val="none"/>
          <w:u w:val="none" w:color="auto"/>
          <w:lang w:val="en-US" w:eastAsia="zh-CN"/>
        </w:rPr>
        <w:t>/h。废气收集率约90%，处理效率约60%。项目压制、烧结工序年工作2400h，则有组织非甲烷总烃产生量为0.097t/a，产生速率为0.04kg/h，产生浓度为8</w:t>
      </w:r>
      <w:r>
        <w:rPr>
          <w:rFonts w:hint="default" w:ascii="Times New Roman" w:hAnsi="Times New Roman" w:eastAsia="宋体" w:cs="Times New Roman"/>
          <w:color w:val="auto"/>
          <w:kern w:val="2"/>
          <w:sz w:val="24"/>
          <w:szCs w:val="24"/>
          <w:highlight w:val="none"/>
          <w:u w:val="none" w:color="auto"/>
          <w:lang w:val="en-US" w:eastAsia="zh-CN" w:bidi="ar-SA"/>
        </w:rPr>
        <w:t>mg/m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vertAlign w:val="baseline"/>
          <w:lang w:val="en-US" w:eastAsia="zh-CN" w:bidi="ar-SA"/>
        </w:rPr>
        <w:t>，排放量为0.04</w:t>
      </w:r>
      <w:r>
        <w:rPr>
          <w:rFonts w:hint="default" w:ascii="Times New Roman" w:hAnsi="Times New Roman" w:eastAsia="宋体" w:cs="Times New Roman"/>
          <w:color w:val="auto"/>
          <w:sz w:val="24"/>
          <w:szCs w:val="24"/>
          <w:highlight w:val="none"/>
          <w:u w:val="none" w:color="auto"/>
          <w:lang w:val="en-US" w:eastAsia="zh-CN"/>
        </w:rPr>
        <w:t>t/a，排放速率为0.017kg/h，排放浓度为3.4</w:t>
      </w:r>
      <w:r>
        <w:rPr>
          <w:rFonts w:hint="default" w:ascii="Times New Roman" w:hAnsi="Times New Roman" w:eastAsia="宋体" w:cs="Times New Roman"/>
          <w:color w:val="auto"/>
          <w:kern w:val="2"/>
          <w:sz w:val="24"/>
          <w:szCs w:val="24"/>
          <w:highlight w:val="none"/>
          <w:u w:val="none" w:color="auto"/>
          <w:lang w:val="en-US" w:eastAsia="zh-CN" w:bidi="ar-SA"/>
        </w:rPr>
        <w:t>mg/m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vertAlign w:val="baseline"/>
          <w:lang w:val="en-US" w:eastAsia="zh-CN" w:bidi="ar-SA"/>
        </w:rPr>
        <w:t>；无组织非甲烷总烃排放量为0.011</w:t>
      </w:r>
      <w:r>
        <w:rPr>
          <w:rFonts w:hint="default" w:ascii="Times New Roman" w:hAnsi="Times New Roman" w:eastAsia="宋体" w:cs="Times New Roman"/>
          <w:color w:val="auto"/>
          <w:sz w:val="24"/>
          <w:szCs w:val="24"/>
          <w:highlight w:val="none"/>
          <w:u w:val="none" w:color="auto"/>
          <w:lang w:val="en-US" w:eastAsia="zh-CN"/>
        </w:rPr>
        <w:t>t/a，排放速率为0.005kg/h</w:t>
      </w:r>
      <w:r>
        <w:rPr>
          <w:rFonts w:hint="default" w:ascii="Times New Roman" w:hAnsi="Times New Roman" w:eastAsia="宋体" w:cs="Times New Roman"/>
          <w:color w:val="auto"/>
          <w:kern w:val="2"/>
          <w:sz w:val="24"/>
          <w:szCs w:val="24"/>
          <w:highlight w:val="none"/>
          <w:u w:val="none" w:color="auto"/>
          <w:vertAlign w:val="baseline"/>
          <w:lang w:val="en-US" w:eastAsia="zh-CN" w:bidi="ar-SA"/>
        </w:rPr>
        <w:t>。排放浓度</w:t>
      </w:r>
      <w:r>
        <w:rPr>
          <w:rFonts w:hint="default" w:ascii="Times New Roman" w:hAnsi="Times New Roman" w:eastAsia="宋体" w:cs="Times New Roman"/>
          <w:color w:val="auto"/>
          <w:kern w:val="2"/>
          <w:sz w:val="24"/>
          <w:szCs w:val="24"/>
          <w:highlight w:val="none"/>
          <w:u w:val="none" w:color="auto"/>
          <w:lang w:val="en-US" w:eastAsia="zh-CN" w:bidi="ar-SA"/>
        </w:rPr>
        <w:t>可满足《合成树脂工业污染物排放标准》（GB31572-2015）中表4浓度限值要求：非甲烷总烃≤100mg/m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3</w:t>
      </w:r>
      <w:r>
        <w:rPr>
          <w:rFonts w:hint="default" w:ascii="Times New Roman" w:hAnsi="Times New Roman" w:eastAsia="宋体" w:cs="Times New Roman"/>
          <w:color w:val="auto"/>
          <w:kern w:val="2"/>
          <w:sz w:val="24"/>
          <w:szCs w:val="24"/>
          <w:highlight w:val="none"/>
          <w:u w:val="none" w:color="auto"/>
          <w:lang w:val="en-US" w:eastAsia="zh-CN" w:bidi="ar-SA"/>
        </w:rPr>
        <w:t>。</w:t>
      </w:r>
    </w:p>
    <w:p w14:paraId="10E0FD9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在注塑成型工序中除了有机废气外，相应的会伴有一定异味，以臭气浓度计，该类异味覆盖范围仅限于生产设备至生产车间边界，对外环境影响较小。异味通过废气收集系统和活性炭吸附装置治理后与有机废气一同排放，少部分未能被收集的异味以无组织形式在车间排放，通过加强车间机械通风措施，该类异味对周边环境的影响不大。</w:t>
      </w:r>
    </w:p>
    <w:p w14:paraId="064DE99A">
      <w:pPr>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4.4.1.2无组织废气</w:t>
      </w:r>
    </w:p>
    <w:p w14:paraId="3C646D7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sz w:val="24"/>
          <w:szCs w:val="24"/>
          <w:highlight w:val="none"/>
          <w:u w:val="none" w:color="auto"/>
          <w:lang w:eastAsia="zh-CN"/>
        </w:rPr>
      </w:pPr>
      <w:r>
        <w:rPr>
          <w:rFonts w:hint="default" w:ascii="Times New Roman" w:hAnsi="Times New Roman" w:eastAsia="宋体" w:cs="Times New Roman"/>
          <w:bCs/>
          <w:color w:val="auto"/>
          <w:sz w:val="24"/>
          <w:szCs w:val="24"/>
          <w:highlight w:val="none"/>
          <w:u w:val="none" w:color="auto"/>
        </w:rPr>
        <w:t>①</w:t>
      </w:r>
      <w:r>
        <w:rPr>
          <w:rFonts w:hint="default" w:ascii="Times New Roman" w:hAnsi="Times New Roman" w:eastAsia="宋体" w:cs="Times New Roman"/>
          <w:bCs/>
          <w:color w:val="auto"/>
          <w:sz w:val="24"/>
          <w:szCs w:val="24"/>
          <w:highlight w:val="none"/>
          <w:u w:val="none" w:color="auto"/>
          <w:lang w:eastAsia="zh-CN"/>
        </w:rPr>
        <w:t>电镀工序无组织废气</w:t>
      </w:r>
    </w:p>
    <w:p w14:paraId="4E5097F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1"/>
          <w:highlight w:val="none"/>
          <w:u w:val="single" w:color="auto"/>
          <w:lang w:val="en-GB"/>
        </w:rPr>
        <w:t>本项目</w:t>
      </w:r>
      <w:r>
        <w:rPr>
          <w:rFonts w:hint="eastAsia" w:ascii="Times New Roman" w:hAnsi="Times New Roman" w:eastAsia="宋体" w:cs="Times New Roman"/>
          <w:color w:val="auto"/>
          <w:sz w:val="24"/>
          <w:szCs w:val="21"/>
          <w:highlight w:val="none"/>
          <w:u w:val="single" w:color="auto"/>
          <w:lang w:val="en-GB" w:eastAsia="zh-CN"/>
        </w:rPr>
        <w:t>车间内各生产区域内的生产线进行了封闭负压收集，同时</w:t>
      </w:r>
      <w:r>
        <w:rPr>
          <w:rFonts w:hint="default" w:ascii="Times New Roman" w:hAnsi="Times New Roman" w:eastAsia="宋体" w:cs="Times New Roman"/>
          <w:color w:val="auto"/>
          <w:sz w:val="24"/>
          <w:szCs w:val="21"/>
          <w:highlight w:val="none"/>
          <w:u w:val="single" w:color="auto"/>
          <w:lang w:val="en-GB"/>
        </w:rPr>
        <w:t>各镀槽、酸洗槽、活化槽等</w:t>
      </w:r>
      <w:r>
        <w:rPr>
          <w:rFonts w:hint="eastAsia" w:ascii="Times New Roman" w:hAnsi="Times New Roman" w:eastAsia="宋体" w:cs="Times New Roman"/>
          <w:color w:val="auto"/>
          <w:sz w:val="24"/>
          <w:szCs w:val="21"/>
          <w:highlight w:val="none"/>
          <w:u w:val="single" w:color="auto"/>
          <w:lang w:val="en-GB" w:eastAsia="zh-CN"/>
        </w:rPr>
        <w:t>产污槽</w:t>
      </w:r>
      <w:r>
        <w:rPr>
          <w:rFonts w:hint="default" w:ascii="Times New Roman" w:hAnsi="Times New Roman" w:eastAsia="宋体" w:cs="Times New Roman"/>
          <w:color w:val="auto"/>
          <w:sz w:val="24"/>
          <w:szCs w:val="21"/>
          <w:highlight w:val="none"/>
          <w:u w:val="single" w:color="auto"/>
          <w:lang w:val="en-GB"/>
        </w:rPr>
        <w:t>采取槽边</w:t>
      </w:r>
      <w:r>
        <w:rPr>
          <w:rFonts w:hint="default" w:ascii="Times New Roman" w:hAnsi="Times New Roman" w:eastAsia="宋体" w:cs="Times New Roman"/>
          <w:color w:val="auto"/>
          <w:sz w:val="24"/>
          <w:szCs w:val="21"/>
          <w:highlight w:val="none"/>
          <w:u w:val="single" w:color="auto"/>
          <w:lang w:val="en-GB" w:eastAsia="zh-CN"/>
        </w:rPr>
        <w:t>或者槽顶</w:t>
      </w:r>
      <w:r>
        <w:rPr>
          <w:rFonts w:hint="default" w:ascii="Times New Roman" w:hAnsi="Times New Roman" w:eastAsia="宋体" w:cs="Times New Roman"/>
          <w:color w:val="auto"/>
          <w:sz w:val="24"/>
          <w:szCs w:val="21"/>
          <w:highlight w:val="none"/>
          <w:u w:val="single" w:color="auto"/>
          <w:lang w:val="en-GB"/>
        </w:rPr>
        <w:t>抽风</w:t>
      </w:r>
      <w:r>
        <w:rPr>
          <w:rFonts w:hint="default" w:ascii="Times New Roman" w:hAnsi="Times New Roman" w:eastAsia="宋体" w:cs="Times New Roman"/>
          <w:bCs/>
          <w:color w:val="auto"/>
          <w:sz w:val="24"/>
          <w:szCs w:val="24"/>
          <w:highlight w:val="none"/>
          <w:u w:val="single" w:color="auto"/>
        </w:rPr>
        <w:t>，类比同类工程，各镀槽、</w:t>
      </w:r>
      <w:r>
        <w:rPr>
          <w:rFonts w:hint="default" w:ascii="Times New Roman" w:hAnsi="Times New Roman" w:eastAsia="宋体" w:cs="Times New Roman"/>
          <w:bCs/>
          <w:color w:val="auto"/>
          <w:sz w:val="24"/>
          <w:szCs w:val="24"/>
          <w:highlight w:val="none"/>
          <w:u w:val="single" w:color="auto"/>
          <w:lang w:eastAsia="zh-CN"/>
        </w:rPr>
        <w:t>出光</w:t>
      </w:r>
      <w:r>
        <w:rPr>
          <w:rFonts w:hint="default" w:ascii="Times New Roman" w:hAnsi="Times New Roman" w:eastAsia="宋体" w:cs="Times New Roman"/>
          <w:bCs/>
          <w:color w:val="auto"/>
          <w:sz w:val="24"/>
          <w:szCs w:val="24"/>
          <w:highlight w:val="none"/>
          <w:u w:val="single" w:color="auto"/>
        </w:rPr>
        <w:t>槽、活化槽、退镀槽无组织废气排放量按废气</w:t>
      </w:r>
      <w:r>
        <w:rPr>
          <w:rFonts w:hint="default" w:ascii="Times New Roman" w:hAnsi="Times New Roman" w:eastAsia="宋体" w:cs="Times New Roman"/>
          <w:bCs/>
          <w:color w:val="auto"/>
          <w:sz w:val="24"/>
          <w:szCs w:val="24"/>
          <w:highlight w:val="none"/>
          <w:u w:val="single" w:color="auto"/>
          <w:lang w:eastAsia="zh-CN"/>
        </w:rPr>
        <w:t>总</w:t>
      </w:r>
      <w:r>
        <w:rPr>
          <w:rFonts w:hint="default" w:ascii="Times New Roman" w:hAnsi="Times New Roman" w:eastAsia="宋体" w:cs="Times New Roman"/>
          <w:bCs/>
          <w:color w:val="auto"/>
          <w:sz w:val="24"/>
          <w:szCs w:val="24"/>
          <w:highlight w:val="none"/>
          <w:u w:val="single" w:color="auto"/>
        </w:rPr>
        <w:t>产生量</w:t>
      </w:r>
      <w:r>
        <w:rPr>
          <w:rFonts w:hint="default" w:ascii="Times New Roman" w:hAnsi="Times New Roman" w:eastAsia="宋体" w:cs="Times New Roman"/>
          <w:bCs/>
          <w:color w:val="auto"/>
          <w:sz w:val="24"/>
          <w:szCs w:val="24"/>
          <w:highlight w:val="none"/>
          <w:u w:val="single" w:color="auto"/>
          <w:lang w:eastAsia="zh-CN"/>
        </w:rPr>
        <w:t>的</w:t>
      </w:r>
      <w:r>
        <w:rPr>
          <w:rFonts w:hint="default" w:ascii="Times New Roman" w:hAnsi="Times New Roman" w:eastAsia="宋体" w:cs="Times New Roman"/>
          <w:bCs/>
          <w:color w:val="auto"/>
          <w:sz w:val="24"/>
          <w:szCs w:val="24"/>
          <w:highlight w:val="none"/>
          <w:u w:val="single" w:color="auto"/>
        </w:rPr>
        <w:t>5%计算。</w:t>
      </w:r>
    </w:p>
    <w:p w14:paraId="18D96BD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②</w:t>
      </w:r>
      <w:r>
        <w:rPr>
          <w:rFonts w:hint="default" w:ascii="Times New Roman" w:hAnsi="Times New Roman" w:eastAsia="宋体" w:cs="Times New Roman"/>
          <w:color w:val="auto"/>
          <w:sz w:val="24"/>
          <w:szCs w:val="24"/>
          <w:highlight w:val="none"/>
          <w:u w:val="none" w:color="auto"/>
        </w:rPr>
        <w:t>污水处理站臭气浓度</w:t>
      </w:r>
    </w:p>
    <w:p w14:paraId="7B683FB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本项目污水处理站以离子交换、物化处理为主，废水中的络合剂、阴离子表面活性剂等污染因子在处理过程中会产生一定的臭味，本项目污水处理站臭气浓度在厂区呈无组织排放</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类比同类工程，</w:t>
      </w:r>
      <w:r>
        <w:rPr>
          <w:rFonts w:hint="default" w:ascii="Times New Roman" w:hAnsi="Times New Roman" w:eastAsia="宋体" w:cs="Times New Roman"/>
          <w:color w:val="auto"/>
          <w:sz w:val="24"/>
          <w:szCs w:val="24"/>
          <w:highlight w:val="none"/>
          <w:u w:val="none" w:color="auto"/>
          <w:lang w:eastAsia="zh-CN"/>
        </w:rPr>
        <w:t>厂界臭气浓度可满足</w:t>
      </w:r>
      <w:r>
        <w:rPr>
          <w:rFonts w:hint="default" w:ascii="Times New Roman" w:hAnsi="Times New Roman" w:eastAsia="宋体" w:cs="Times New Roman"/>
          <w:color w:val="auto"/>
          <w:kern w:val="2"/>
          <w:sz w:val="24"/>
          <w:szCs w:val="24"/>
          <w:highlight w:val="none"/>
          <w:u w:val="none" w:color="auto"/>
          <w:lang w:val="en-US" w:eastAsia="zh-CN" w:bidi="ar-SA"/>
        </w:rPr>
        <w:t>臭气浓度</w:t>
      </w:r>
      <w:r>
        <w:rPr>
          <w:rFonts w:hint="default" w:ascii="Times New Roman" w:hAnsi="Times New Roman" w:eastAsia="宋体" w:cs="Times New Roman"/>
          <w:strike w:val="0"/>
          <w:dstrike w:val="0"/>
          <w:color w:val="auto"/>
          <w:sz w:val="24"/>
          <w:szCs w:val="24"/>
          <w:highlight w:val="none"/>
          <w:u w:val="none" w:color="auto"/>
        </w:rPr>
        <w:t>执行《恶臭污染物排放标准》（GB14554-93）</w:t>
      </w:r>
      <w:r>
        <w:rPr>
          <w:rFonts w:hint="default" w:ascii="Times New Roman" w:hAnsi="Times New Roman" w:eastAsia="宋体" w:cs="Times New Roman"/>
          <w:strike w:val="0"/>
          <w:dstrike w:val="0"/>
          <w:color w:val="auto"/>
          <w:sz w:val="24"/>
          <w:szCs w:val="24"/>
          <w:highlight w:val="none"/>
          <w:u w:val="none" w:color="auto"/>
          <w:lang w:eastAsia="zh-CN"/>
        </w:rPr>
        <w:t>要求</w:t>
      </w:r>
      <w:r>
        <w:rPr>
          <w:rFonts w:hint="default" w:ascii="Times New Roman" w:hAnsi="Times New Roman" w:eastAsia="宋体" w:cs="Times New Roman"/>
          <w:color w:val="auto"/>
          <w:sz w:val="24"/>
          <w:szCs w:val="24"/>
          <w:highlight w:val="none"/>
          <w:u w:val="none" w:color="auto"/>
        </w:rPr>
        <w:t>。</w:t>
      </w:r>
    </w:p>
    <w:p w14:paraId="38EA67E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③机加工粉尘</w:t>
      </w:r>
    </w:p>
    <w:p w14:paraId="5F1B22C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eastAsia="zh-CN"/>
        </w:rPr>
        <w:t>项目机加工过程会产生少量的粉尘，由于金属粉尘易于车间内沉降，根据建设单位提供资料金属粉尘产生量约为原料的</w:t>
      </w:r>
      <w:r>
        <w:rPr>
          <w:rFonts w:hint="default" w:ascii="Times New Roman" w:hAnsi="Times New Roman" w:eastAsia="宋体" w:cs="Times New Roman"/>
          <w:color w:val="auto"/>
          <w:sz w:val="24"/>
          <w:szCs w:val="24"/>
          <w:highlight w:val="none"/>
          <w:u w:val="none" w:color="auto"/>
          <w:lang w:val="en-US" w:eastAsia="zh-CN"/>
        </w:rPr>
        <w:t>0.5‰，项目原料使用量为3300t，则金属粉尘产生量1.65t/a，产生速率为0.229kg/h，金属粉尘经车间内沉降后无组织排放。</w:t>
      </w:r>
    </w:p>
    <w:p w14:paraId="529EAA69">
      <w:pPr>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4.4.1.3食堂油烟</w:t>
      </w:r>
    </w:p>
    <w:p w14:paraId="40920C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sz w:val="24"/>
          <w:szCs w:val="24"/>
          <w:highlight w:val="none"/>
          <w:u w:val="none" w:color="auto"/>
        </w:rPr>
        <w:t>本项目厂内用餐人数为</w:t>
      </w:r>
      <w:r>
        <w:rPr>
          <w:rFonts w:hint="eastAsia" w:ascii="Times New Roman" w:hAnsi="Times New Roman" w:eastAsia="宋体" w:cs="Times New Roman"/>
          <w:sz w:val="24"/>
          <w:szCs w:val="24"/>
          <w:highlight w:val="none"/>
          <w:u w:val="none" w:color="auto"/>
          <w:lang w:val="en-US" w:eastAsia="zh-CN"/>
        </w:rPr>
        <w:t>150</w:t>
      </w:r>
      <w:r>
        <w:rPr>
          <w:rFonts w:hint="default" w:ascii="Times New Roman" w:hAnsi="Times New Roman" w:eastAsia="宋体" w:cs="Times New Roman"/>
          <w:sz w:val="24"/>
          <w:szCs w:val="24"/>
          <w:highlight w:val="none"/>
          <w:u w:val="none" w:color="auto"/>
        </w:rPr>
        <w:t>人次，人均食用油消耗量0.03kg/人·d 计，则本项目食用油消耗量为</w:t>
      </w:r>
      <w:r>
        <w:rPr>
          <w:rFonts w:hint="eastAsia" w:ascii="Times New Roman" w:hAnsi="Times New Roman" w:eastAsia="宋体" w:cs="Times New Roman"/>
          <w:sz w:val="24"/>
          <w:szCs w:val="24"/>
          <w:highlight w:val="none"/>
          <w:u w:val="none" w:color="auto"/>
          <w:lang w:val="en-US" w:eastAsia="zh-CN"/>
        </w:rPr>
        <w:t>1.35t</w:t>
      </w:r>
      <w:r>
        <w:rPr>
          <w:rFonts w:hint="default" w:ascii="Times New Roman" w:hAnsi="Times New Roman" w:eastAsia="宋体" w:cs="Times New Roman"/>
          <w:sz w:val="24"/>
          <w:szCs w:val="24"/>
          <w:highlight w:val="none"/>
          <w:u w:val="none" w:color="auto"/>
        </w:rPr>
        <w:t>/a，油烟废气产生量一般为用油量的1%~3%（本项目油烟废气产生率按</w:t>
      </w:r>
      <w:r>
        <w:rPr>
          <w:rFonts w:hint="eastAsia" w:ascii="Times New Roman" w:hAnsi="Times New Roman" w:eastAsia="宋体" w:cs="Times New Roman"/>
          <w:sz w:val="24"/>
          <w:szCs w:val="24"/>
          <w:highlight w:val="none"/>
          <w:u w:val="none" w:color="auto"/>
          <w:lang w:val="en-US" w:eastAsia="zh-CN"/>
        </w:rPr>
        <w:t>2</w:t>
      </w:r>
      <w:r>
        <w:rPr>
          <w:rFonts w:hint="default" w:ascii="Times New Roman" w:hAnsi="Times New Roman" w:eastAsia="宋体" w:cs="Times New Roman"/>
          <w:sz w:val="24"/>
          <w:szCs w:val="24"/>
          <w:highlight w:val="none"/>
          <w:u w:val="none" w:color="auto"/>
        </w:rPr>
        <w:t>%），则油烟废气的产生量为</w:t>
      </w:r>
      <w:r>
        <w:rPr>
          <w:rFonts w:hint="eastAsia" w:ascii="Times New Roman" w:hAnsi="Times New Roman" w:eastAsia="宋体" w:cs="Times New Roman"/>
          <w:sz w:val="24"/>
          <w:szCs w:val="24"/>
          <w:highlight w:val="none"/>
          <w:u w:val="none" w:color="auto"/>
          <w:lang w:val="en-US" w:eastAsia="zh-CN"/>
        </w:rPr>
        <w:t>0.027t</w:t>
      </w:r>
      <w:r>
        <w:rPr>
          <w:rFonts w:hint="default" w:ascii="Times New Roman" w:hAnsi="Times New Roman" w:eastAsia="宋体" w:cs="Times New Roman"/>
          <w:sz w:val="24"/>
          <w:szCs w:val="24"/>
          <w:highlight w:val="none"/>
          <w:u w:val="none" w:color="auto"/>
        </w:rPr>
        <w:t>/a，按日均作业6小时计，油烟产生速率约</w:t>
      </w:r>
      <w:r>
        <w:rPr>
          <w:rFonts w:hint="eastAsia" w:ascii="Times New Roman" w:hAnsi="Times New Roman" w:eastAsia="宋体" w:cs="Times New Roman"/>
          <w:sz w:val="24"/>
          <w:szCs w:val="24"/>
          <w:highlight w:val="none"/>
          <w:u w:val="none" w:color="auto"/>
          <w:lang w:val="en-US" w:eastAsia="zh-CN"/>
        </w:rPr>
        <w:t>0.015</w:t>
      </w:r>
      <w:r>
        <w:rPr>
          <w:rFonts w:hint="default" w:ascii="Times New Roman" w:hAnsi="Times New Roman" w:eastAsia="宋体" w:cs="Times New Roman"/>
          <w:sz w:val="24"/>
          <w:szCs w:val="24"/>
          <w:highlight w:val="none"/>
          <w:u w:val="none" w:color="auto"/>
        </w:rPr>
        <w:t>kg/h，</w:t>
      </w:r>
      <w:r>
        <w:rPr>
          <w:rFonts w:hint="eastAsia" w:ascii="Times New Roman" w:hAnsi="Times New Roman" w:eastAsia="宋体" w:cs="Times New Roman"/>
          <w:sz w:val="24"/>
          <w:szCs w:val="24"/>
          <w:highlight w:val="none"/>
          <w:u w:val="none" w:color="auto"/>
          <w:lang w:val="en-US" w:eastAsia="zh-CN"/>
        </w:rPr>
        <w:t>设置两个灶头，单个灶头风量不小于3000</w:t>
      </w:r>
      <w:r>
        <w:rPr>
          <w:rFonts w:hint="default" w:ascii="Times New Roman" w:hAnsi="Times New Roman" w:eastAsia="宋体" w:cs="Times New Roman"/>
          <w:sz w:val="24"/>
          <w:szCs w:val="24"/>
          <w:highlight w:val="none"/>
          <w:u w:val="none" w:color="auto"/>
        </w:rPr>
        <w:t>m</w:t>
      </w:r>
      <w:r>
        <w:rPr>
          <w:rFonts w:hint="default" w:ascii="Times New Roman" w:hAnsi="Times New Roman" w:eastAsia="宋体" w:cs="Times New Roman"/>
          <w:sz w:val="24"/>
          <w:szCs w:val="24"/>
          <w:highlight w:val="none"/>
          <w:u w:val="none" w:color="auto"/>
          <w:vertAlign w:val="superscript"/>
        </w:rPr>
        <w:t>3</w:t>
      </w:r>
      <w:r>
        <w:rPr>
          <w:rFonts w:hint="default" w:ascii="Times New Roman" w:hAnsi="Times New Roman" w:eastAsia="宋体" w:cs="Times New Roman"/>
          <w:sz w:val="24"/>
          <w:szCs w:val="24"/>
          <w:highlight w:val="none"/>
          <w:u w:val="none" w:color="auto"/>
        </w:rPr>
        <w:t>/h</w:t>
      </w:r>
      <w:r>
        <w:rPr>
          <w:rFonts w:hint="eastAsia" w:ascii="Times New Roman" w:hAnsi="Times New Roman" w:eastAsia="宋体" w:cs="Times New Roman"/>
          <w:sz w:val="24"/>
          <w:szCs w:val="24"/>
          <w:highlight w:val="none"/>
          <w:u w:val="none" w:color="auto"/>
          <w:lang w:eastAsia="zh-CN"/>
        </w:rPr>
        <w:t>，</w:t>
      </w:r>
      <w:r>
        <w:rPr>
          <w:rFonts w:hint="default" w:ascii="Times New Roman" w:hAnsi="Times New Roman" w:eastAsia="宋体" w:cs="Times New Roman"/>
          <w:sz w:val="24"/>
          <w:szCs w:val="24"/>
          <w:highlight w:val="none"/>
          <w:u w:val="none" w:color="auto"/>
        </w:rPr>
        <w:t>本项目采用油烟净化器对产生的油烟进行净化处理后经专用烟道于屋顶排放，</w:t>
      </w:r>
      <w:r>
        <w:rPr>
          <w:rFonts w:hint="eastAsia" w:ascii="Times New Roman" w:hAnsi="Times New Roman" w:eastAsia="宋体" w:cs="Times New Roman"/>
          <w:sz w:val="24"/>
          <w:szCs w:val="24"/>
          <w:highlight w:val="none"/>
          <w:u w:val="none" w:color="auto"/>
          <w:lang w:val="en-US" w:eastAsia="zh-CN"/>
        </w:rPr>
        <w:t>油烟去除率约70%，</w:t>
      </w:r>
      <w:r>
        <w:rPr>
          <w:rFonts w:hint="default" w:ascii="Times New Roman" w:hAnsi="Times New Roman" w:eastAsia="宋体" w:cs="Times New Roman"/>
          <w:sz w:val="24"/>
          <w:szCs w:val="24"/>
          <w:highlight w:val="none"/>
          <w:u w:val="none" w:color="auto"/>
        </w:rPr>
        <w:t>则项目油烟</w:t>
      </w:r>
      <w:r>
        <w:rPr>
          <w:rFonts w:hint="eastAsia" w:ascii="Times New Roman" w:hAnsi="Times New Roman" w:eastAsia="宋体" w:cs="Times New Roman"/>
          <w:sz w:val="24"/>
          <w:szCs w:val="24"/>
          <w:highlight w:val="none"/>
          <w:u w:val="none" w:color="auto"/>
          <w:lang w:val="en-US" w:eastAsia="zh-CN"/>
        </w:rPr>
        <w:t>产生</w:t>
      </w:r>
      <w:r>
        <w:rPr>
          <w:rFonts w:hint="default" w:ascii="Times New Roman" w:hAnsi="Times New Roman" w:eastAsia="宋体" w:cs="Times New Roman"/>
          <w:sz w:val="24"/>
          <w:szCs w:val="24"/>
          <w:highlight w:val="none"/>
          <w:u w:val="none" w:color="auto"/>
        </w:rPr>
        <w:t>浓度</w:t>
      </w:r>
      <w:r>
        <w:rPr>
          <w:rFonts w:hint="eastAsia" w:ascii="Times New Roman" w:hAnsi="Times New Roman" w:eastAsia="宋体" w:cs="Times New Roman"/>
          <w:sz w:val="24"/>
          <w:szCs w:val="24"/>
          <w:highlight w:val="none"/>
          <w:u w:val="none" w:color="auto"/>
          <w:lang w:val="en-US" w:eastAsia="zh-CN"/>
        </w:rPr>
        <w:t>2.5</w:t>
      </w:r>
      <w:r>
        <w:rPr>
          <w:rFonts w:hint="default" w:ascii="Times New Roman" w:hAnsi="Times New Roman" w:eastAsia="宋体" w:cs="Times New Roman"/>
          <w:sz w:val="24"/>
          <w:szCs w:val="24"/>
          <w:highlight w:val="none"/>
          <w:u w:val="none" w:color="auto"/>
        </w:rPr>
        <w:t>mg/m</w:t>
      </w:r>
      <w:r>
        <w:rPr>
          <w:rFonts w:hint="default" w:ascii="Times New Roman" w:hAnsi="Times New Roman" w:eastAsia="宋体" w:cs="Times New Roman"/>
          <w:sz w:val="24"/>
          <w:szCs w:val="24"/>
          <w:highlight w:val="none"/>
          <w:u w:val="none" w:color="auto"/>
          <w:vertAlign w:val="superscript"/>
        </w:rPr>
        <w:t>3</w:t>
      </w:r>
      <w:r>
        <w:rPr>
          <w:rFonts w:hint="eastAsia" w:ascii="Times New Roman" w:hAnsi="Times New Roman" w:eastAsia="宋体" w:cs="Times New Roman"/>
          <w:sz w:val="24"/>
          <w:szCs w:val="24"/>
          <w:highlight w:val="none"/>
          <w:u w:val="none" w:color="auto"/>
          <w:vertAlign w:val="baseline"/>
          <w:lang w:eastAsia="zh-CN"/>
        </w:rPr>
        <w:t>，</w:t>
      </w:r>
      <w:r>
        <w:rPr>
          <w:rFonts w:hint="default" w:ascii="Times New Roman" w:hAnsi="Times New Roman" w:eastAsia="宋体" w:cs="Times New Roman"/>
          <w:sz w:val="24"/>
          <w:szCs w:val="24"/>
          <w:highlight w:val="none"/>
          <w:u w:val="none" w:color="auto"/>
        </w:rPr>
        <w:t>油烟排放浓度</w:t>
      </w:r>
      <w:r>
        <w:rPr>
          <w:rFonts w:hint="eastAsia" w:ascii="Times New Roman" w:hAnsi="Times New Roman" w:eastAsia="宋体" w:cs="Times New Roman"/>
          <w:sz w:val="24"/>
          <w:szCs w:val="24"/>
          <w:highlight w:val="none"/>
          <w:u w:val="none" w:color="auto"/>
          <w:lang w:val="en-US" w:eastAsia="zh-CN"/>
        </w:rPr>
        <w:t>0.75</w:t>
      </w:r>
      <w:r>
        <w:rPr>
          <w:rFonts w:hint="default" w:ascii="Times New Roman" w:hAnsi="Times New Roman" w:eastAsia="宋体" w:cs="Times New Roman"/>
          <w:sz w:val="24"/>
          <w:szCs w:val="24"/>
          <w:highlight w:val="none"/>
          <w:u w:val="none" w:color="auto"/>
        </w:rPr>
        <w:t>mg/m</w:t>
      </w:r>
      <w:r>
        <w:rPr>
          <w:rFonts w:hint="default" w:ascii="Times New Roman" w:hAnsi="Times New Roman" w:eastAsia="宋体" w:cs="Times New Roman"/>
          <w:sz w:val="24"/>
          <w:szCs w:val="24"/>
          <w:highlight w:val="none"/>
          <w:u w:val="none" w:color="auto"/>
          <w:vertAlign w:val="superscript"/>
        </w:rPr>
        <w:t>3</w:t>
      </w:r>
      <w:r>
        <w:rPr>
          <w:rFonts w:hint="default" w:ascii="Times New Roman" w:hAnsi="Times New Roman" w:eastAsia="宋体" w:cs="Times New Roman"/>
          <w:sz w:val="24"/>
          <w:szCs w:val="24"/>
          <w:highlight w:val="none"/>
          <w:u w:val="none" w:color="auto"/>
        </w:rPr>
        <w:t>，油烟排放浓度满足《饮食业油烟排放标准》（试行）（GB18483-2001）中规定的最高允许排放浓度2.0mg/Nm</w:t>
      </w:r>
      <w:r>
        <w:rPr>
          <w:rFonts w:hint="default" w:ascii="Times New Roman" w:hAnsi="Times New Roman" w:eastAsia="宋体" w:cs="Times New Roman"/>
          <w:sz w:val="24"/>
          <w:szCs w:val="24"/>
          <w:highlight w:val="none"/>
          <w:u w:val="none" w:color="auto"/>
          <w:vertAlign w:val="superscript"/>
        </w:rPr>
        <w:t>3</w:t>
      </w:r>
      <w:r>
        <w:rPr>
          <w:rFonts w:hint="default" w:ascii="Times New Roman" w:hAnsi="Times New Roman" w:eastAsia="宋体" w:cs="Times New Roman"/>
          <w:sz w:val="24"/>
          <w:szCs w:val="24"/>
          <w:highlight w:val="none"/>
          <w:u w:val="none" w:color="auto"/>
        </w:rPr>
        <w:t>的排放标准要求。</w:t>
      </w:r>
    </w:p>
    <w:p w14:paraId="332533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本项目运营期废气产排情况详见下表：</w:t>
      </w:r>
    </w:p>
    <w:p w14:paraId="3D0BCC40">
      <w:pPr>
        <w:ind w:firstLine="560"/>
        <w:rPr>
          <w:rFonts w:hint="default" w:ascii="Times New Roman" w:hAnsi="Times New Roman" w:cs="Times New Roman"/>
          <w:color w:val="auto"/>
          <w:highlight w:val="none"/>
          <w:u w:val="none" w:color="auto"/>
        </w:rPr>
      </w:pPr>
    </w:p>
    <w:p w14:paraId="7A0C668D">
      <w:pPr>
        <w:widowControl/>
        <w:spacing w:line="240" w:lineRule="auto"/>
        <w:rPr>
          <w:rFonts w:hint="default" w:ascii="Times New Roman" w:hAnsi="Times New Roman" w:cs="Times New Roman"/>
          <w:color w:val="auto"/>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7D59D91F">
      <w:pPr>
        <w:jc w:val="center"/>
        <w:rPr>
          <w:rFonts w:hint="default" w:ascii="Times New Roman" w:hAnsi="Times New Roman" w:cs="Times New Roman"/>
          <w:b/>
          <w:color w:val="auto"/>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4</w:t>
      </w:r>
      <w:r>
        <w:rPr>
          <w:rFonts w:hint="default" w:ascii="Times New Roman" w:hAnsi="Times New Roman" w:eastAsia="宋体" w:cs="Times New Roman"/>
          <w:b/>
          <w:color w:val="auto"/>
          <w:sz w:val="21"/>
          <w:szCs w:val="18"/>
          <w:highlight w:val="none"/>
          <w:u w:val="single" w:color="auto"/>
        </w:rPr>
        <w:t>.4-4本项目运营期有组织废气排放情况一览表</w:t>
      </w:r>
    </w:p>
    <w:tbl>
      <w:tblPr>
        <w:tblStyle w:val="22"/>
        <w:tblW w:w="143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134"/>
        <w:gridCol w:w="992"/>
        <w:gridCol w:w="851"/>
        <w:gridCol w:w="850"/>
        <w:gridCol w:w="1046"/>
        <w:gridCol w:w="2073"/>
        <w:gridCol w:w="1465"/>
        <w:gridCol w:w="1066"/>
        <w:gridCol w:w="1134"/>
        <w:gridCol w:w="871"/>
        <w:gridCol w:w="992"/>
        <w:gridCol w:w="883"/>
      </w:tblGrid>
      <w:tr w14:paraId="606AD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vAlign w:val="center"/>
          </w:tcPr>
          <w:p w14:paraId="32ED8A3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生产线</w:t>
            </w:r>
          </w:p>
        </w:tc>
        <w:tc>
          <w:tcPr>
            <w:tcW w:w="1134" w:type="dxa"/>
            <w:vMerge w:val="restart"/>
            <w:vAlign w:val="center"/>
          </w:tcPr>
          <w:p w14:paraId="21F08CC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污染源</w:t>
            </w:r>
          </w:p>
        </w:tc>
        <w:tc>
          <w:tcPr>
            <w:tcW w:w="992" w:type="dxa"/>
            <w:vMerge w:val="restart"/>
            <w:vAlign w:val="center"/>
          </w:tcPr>
          <w:p w14:paraId="77A6673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w:t>
            </w:r>
          </w:p>
          <w:p w14:paraId="3D2834A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因子</w:t>
            </w:r>
          </w:p>
        </w:tc>
        <w:tc>
          <w:tcPr>
            <w:tcW w:w="851" w:type="dxa"/>
            <w:vMerge w:val="restart"/>
            <w:vAlign w:val="center"/>
          </w:tcPr>
          <w:p w14:paraId="4E99659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核算</w:t>
            </w:r>
          </w:p>
          <w:p w14:paraId="7E73B5E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方法</w:t>
            </w:r>
          </w:p>
        </w:tc>
        <w:tc>
          <w:tcPr>
            <w:tcW w:w="1896" w:type="dxa"/>
            <w:gridSpan w:val="2"/>
            <w:vAlign w:val="center"/>
          </w:tcPr>
          <w:p w14:paraId="6300673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污染物产生情况</w:t>
            </w:r>
          </w:p>
        </w:tc>
        <w:tc>
          <w:tcPr>
            <w:tcW w:w="2073" w:type="dxa"/>
            <w:vMerge w:val="restart"/>
            <w:vAlign w:val="center"/>
          </w:tcPr>
          <w:p w14:paraId="0155BCD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处理措施及</w:t>
            </w:r>
            <w:r>
              <w:rPr>
                <w:rFonts w:hint="default" w:ascii="Times New Roman" w:hAnsi="Times New Roman" w:eastAsia="宋体" w:cs="Times New Roman"/>
                <w:color w:val="auto"/>
                <w:sz w:val="21"/>
                <w:szCs w:val="21"/>
                <w:highlight w:val="none"/>
                <w:u w:val="single" w:color="auto"/>
                <w:lang w:eastAsia="zh-CN"/>
              </w:rPr>
              <w:t>风量</w:t>
            </w:r>
          </w:p>
        </w:tc>
        <w:tc>
          <w:tcPr>
            <w:tcW w:w="1465" w:type="dxa"/>
            <w:vMerge w:val="restart"/>
            <w:vAlign w:val="center"/>
          </w:tcPr>
          <w:p w14:paraId="61F54F0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排放参数</w:t>
            </w:r>
          </w:p>
        </w:tc>
        <w:tc>
          <w:tcPr>
            <w:tcW w:w="3071" w:type="dxa"/>
            <w:gridSpan w:val="3"/>
            <w:vAlign w:val="center"/>
          </w:tcPr>
          <w:p w14:paraId="474105F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污染物排放情况</w:t>
            </w:r>
          </w:p>
        </w:tc>
        <w:tc>
          <w:tcPr>
            <w:tcW w:w="1875" w:type="dxa"/>
            <w:gridSpan w:val="2"/>
            <w:vAlign w:val="center"/>
          </w:tcPr>
          <w:p w14:paraId="20D5820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排放标准</w:t>
            </w:r>
          </w:p>
        </w:tc>
      </w:tr>
      <w:tr w14:paraId="2F301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vAlign w:val="center"/>
          </w:tcPr>
          <w:p w14:paraId="5EFD56B1">
            <w:pPr>
              <w:spacing w:line="240" w:lineRule="auto"/>
              <w:jc w:val="center"/>
              <w:rPr>
                <w:rFonts w:hint="default" w:ascii="Times New Roman" w:hAnsi="Times New Roman" w:eastAsia="宋体" w:cs="Times New Roman"/>
                <w:color w:val="auto"/>
                <w:sz w:val="21"/>
                <w:szCs w:val="21"/>
                <w:highlight w:val="none"/>
                <w:u w:val="single" w:color="auto"/>
              </w:rPr>
            </w:pPr>
          </w:p>
        </w:tc>
        <w:tc>
          <w:tcPr>
            <w:tcW w:w="1134" w:type="dxa"/>
            <w:vMerge w:val="continue"/>
            <w:vAlign w:val="center"/>
          </w:tcPr>
          <w:p w14:paraId="024F9C94">
            <w:pPr>
              <w:spacing w:line="240" w:lineRule="auto"/>
              <w:jc w:val="center"/>
              <w:rPr>
                <w:rFonts w:hint="default" w:ascii="Times New Roman" w:hAnsi="Times New Roman" w:eastAsia="宋体" w:cs="Times New Roman"/>
                <w:color w:val="auto"/>
                <w:sz w:val="21"/>
                <w:szCs w:val="21"/>
                <w:highlight w:val="none"/>
                <w:u w:val="single" w:color="auto"/>
              </w:rPr>
            </w:pPr>
          </w:p>
        </w:tc>
        <w:tc>
          <w:tcPr>
            <w:tcW w:w="992" w:type="dxa"/>
            <w:vMerge w:val="continue"/>
            <w:vAlign w:val="center"/>
          </w:tcPr>
          <w:p w14:paraId="051DEE8D">
            <w:pPr>
              <w:spacing w:line="240" w:lineRule="auto"/>
              <w:jc w:val="center"/>
              <w:rPr>
                <w:rFonts w:hint="default" w:ascii="Times New Roman" w:hAnsi="Times New Roman" w:eastAsia="宋体" w:cs="Times New Roman"/>
                <w:color w:val="auto"/>
                <w:sz w:val="21"/>
                <w:szCs w:val="21"/>
                <w:highlight w:val="none"/>
                <w:u w:val="single" w:color="auto"/>
              </w:rPr>
            </w:pPr>
          </w:p>
        </w:tc>
        <w:tc>
          <w:tcPr>
            <w:tcW w:w="851" w:type="dxa"/>
            <w:vMerge w:val="continue"/>
            <w:vAlign w:val="center"/>
          </w:tcPr>
          <w:p w14:paraId="384B5375">
            <w:pPr>
              <w:spacing w:line="240" w:lineRule="auto"/>
              <w:jc w:val="center"/>
              <w:rPr>
                <w:rFonts w:hint="default" w:ascii="Times New Roman" w:hAnsi="Times New Roman" w:eastAsia="宋体" w:cs="Times New Roman"/>
                <w:color w:val="auto"/>
                <w:sz w:val="21"/>
                <w:szCs w:val="21"/>
                <w:highlight w:val="none"/>
                <w:u w:val="single" w:color="auto"/>
              </w:rPr>
            </w:pPr>
          </w:p>
        </w:tc>
        <w:tc>
          <w:tcPr>
            <w:tcW w:w="850" w:type="dxa"/>
            <w:vAlign w:val="center"/>
          </w:tcPr>
          <w:p w14:paraId="0C108B3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产生量（t/a）</w:t>
            </w:r>
          </w:p>
        </w:tc>
        <w:tc>
          <w:tcPr>
            <w:tcW w:w="1046" w:type="dxa"/>
            <w:vAlign w:val="center"/>
          </w:tcPr>
          <w:p w14:paraId="3F259EBD">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产生速率（kg/h）</w:t>
            </w:r>
          </w:p>
        </w:tc>
        <w:tc>
          <w:tcPr>
            <w:tcW w:w="2073" w:type="dxa"/>
            <w:vMerge w:val="continue"/>
            <w:vAlign w:val="center"/>
          </w:tcPr>
          <w:p w14:paraId="30EEE39E">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50AB2236">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575B950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排放浓度</w:t>
            </w:r>
          </w:p>
          <w:p w14:paraId="3F6EC34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（mg/m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w:t>
            </w:r>
          </w:p>
        </w:tc>
        <w:tc>
          <w:tcPr>
            <w:tcW w:w="1134" w:type="dxa"/>
            <w:vAlign w:val="center"/>
          </w:tcPr>
          <w:p w14:paraId="4DAB9FB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排放速率</w:t>
            </w:r>
          </w:p>
          <w:p w14:paraId="4AA13A9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（kg/h）</w:t>
            </w:r>
          </w:p>
        </w:tc>
        <w:tc>
          <w:tcPr>
            <w:tcW w:w="871" w:type="dxa"/>
            <w:vAlign w:val="center"/>
          </w:tcPr>
          <w:p w14:paraId="2011504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排放量（t/a）</w:t>
            </w:r>
          </w:p>
        </w:tc>
        <w:tc>
          <w:tcPr>
            <w:tcW w:w="992" w:type="dxa"/>
            <w:vAlign w:val="center"/>
          </w:tcPr>
          <w:p w14:paraId="4FF1397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浓度</w:t>
            </w:r>
          </w:p>
          <w:p w14:paraId="2CF2E4F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（mg/m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w:t>
            </w:r>
          </w:p>
        </w:tc>
        <w:tc>
          <w:tcPr>
            <w:tcW w:w="883" w:type="dxa"/>
            <w:vAlign w:val="center"/>
          </w:tcPr>
          <w:p w14:paraId="188CC62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速率（kg/h）</w:t>
            </w:r>
          </w:p>
        </w:tc>
      </w:tr>
      <w:tr w14:paraId="5960D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14:paraId="2BCE58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金刚石划片刀</w:t>
            </w:r>
          </w:p>
        </w:tc>
        <w:tc>
          <w:tcPr>
            <w:tcW w:w="1134" w:type="dxa"/>
            <w:vAlign w:val="center"/>
          </w:tcPr>
          <w:p w14:paraId="71D85DEA">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出光槽</w:t>
            </w:r>
          </w:p>
        </w:tc>
        <w:tc>
          <w:tcPr>
            <w:tcW w:w="992" w:type="dxa"/>
            <w:vAlign w:val="center"/>
          </w:tcPr>
          <w:p w14:paraId="69C260B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851" w:type="dxa"/>
            <w:vAlign w:val="center"/>
          </w:tcPr>
          <w:p w14:paraId="2717888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74D01A4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0.199</w:t>
            </w:r>
          </w:p>
        </w:tc>
        <w:tc>
          <w:tcPr>
            <w:tcW w:w="1046" w:type="dxa"/>
            <w:vAlign w:val="center"/>
          </w:tcPr>
          <w:p w14:paraId="0975626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0.028</w:t>
            </w:r>
          </w:p>
        </w:tc>
        <w:tc>
          <w:tcPr>
            <w:tcW w:w="2073" w:type="dxa"/>
            <w:vAlign w:val="center"/>
          </w:tcPr>
          <w:p w14:paraId="6CAD1DC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三级喷淋塔吸收法</w:t>
            </w:r>
            <w:r>
              <w:rPr>
                <w:rFonts w:hint="default" w:ascii="Times New Roman" w:hAnsi="Times New Roman" w:eastAsia="宋体" w:cs="Times New Roman"/>
                <w:color w:val="auto"/>
                <w:sz w:val="21"/>
                <w:szCs w:val="21"/>
                <w:highlight w:val="none"/>
                <w:u w:val="single" w:color="auto"/>
              </w:rPr>
              <w:t>，设计风量1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/h</w:t>
            </w:r>
          </w:p>
        </w:tc>
        <w:tc>
          <w:tcPr>
            <w:tcW w:w="1465" w:type="dxa"/>
            <w:vAlign w:val="center"/>
          </w:tcPr>
          <w:p w14:paraId="5677453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D-0.</w:t>
            </w:r>
            <w:r>
              <w:rPr>
                <w:rFonts w:hint="default" w:ascii="Times New Roman" w:hAnsi="Times New Roman" w:eastAsia="宋体" w:cs="Times New Roman"/>
                <w:color w:val="auto"/>
                <w:sz w:val="21"/>
                <w:szCs w:val="21"/>
                <w:highlight w:val="none"/>
                <w:u w:val="single" w:color="auto"/>
                <w:lang w:val="en-US" w:eastAsia="zh-CN"/>
              </w:rPr>
              <w:t>6</w:t>
            </w:r>
            <w:r>
              <w:rPr>
                <w:rFonts w:hint="default" w:ascii="Times New Roman" w:hAnsi="Times New Roman" w:eastAsia="宋体" w:cs="Times New Roman"/>
                <w:color w:val="auto"/>
                <w:sz w:val="21"/>
                <w:szCs w:val="21"/>
                <w:highlight w:val="none"/>
                <w:u w:val="single" w:color="auto"/>
              </w:rPr>
              <w:t>m，h-25m，</w:t>
            </w:r>
          </w:p>
          <w:p w14:paraId="3D1FE71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T-30℃（</w:t>
            </w:r>
            <w:r>
              <w:rPr>
                <w:rFonts w:hint="default" w:ascii="Times New Roman" w:hAnsi="Times New Roman" w:eastAsia="宋体" w:cs="Times New Roman"/>
                <w:color w:val="auto"/>
                <w:sz w:val="21"/>
                <w:szCs w:val="21"/>
                <w:highlight w:val="none"/>
                <w:u w:val="single" w:color="auto"/>
                <w:lang w:val="en-US" w:eastAsia="zh-CN"/>
              </w:rPr>
              <w:t>DA001</w:t>
            </w:r>
            <w:r>
              <w:rPr>
                <w:rFonts w:hint="default" w:ascii="Times New Roman" w:hAnsi="Times New Roman" w:eastAsia="宋体" w:cs="Times New Roman"/>
                <w:color w:val="auto"/>
                <w:sz w:val="21"/>
                <w:szCs w:val="21"/>
                <w:highlight w:val="none"/>
                <w:u w:val="single" w:color="auto"/>
              </w:rPr>
              <w:t>）</w:t>
            </w:r>
          </w:p>
        </w:tc>
        <w:tc>
          <w:tcPr>
            <w:tcW w:w="1066" w:type="dxa"/>
            <w:vAlign w:val="center"/>
          </w:tcPr>
          <w:p w14:paraId="3DAA86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0.046</w:t>
            </w:r>
          </w:p>
        </w:tc>
        <w:tc>
          <w:tcPr>
            <w:tcW w:w="1134" w:type="dxa"/>
            <w:vAlign w:val="center"/>
          </w:tcPr>
          <w:p w14:paraId="5D5862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871" w:type="dxa"/>
            <w:vAlign w:val="center"/>
          </w:tcPr>
          <w:p w14:paraId="503A00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0.006</w:t>
            </w:r>
          </w:p>
        </w:tc>
        <w:tc>
          <w:tcPr>
            <w:tcW w:w="992" w:type="dxa"/>
            <w:vAlign w:val="center"/>
          </w:tcPr>
          <w:p w14:paraId="34A5203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200</w:t>
            </w:r>
          </w:p>
        </w:tc>
        <w:tc>
          <w:tcPr>
            <w:tcW w:w="883" w:type="dxa"/>
            <w:vAlign w:val="center"/>
          </w:tcPr>
          <w:p w14:paraId="10D313F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w:t>
            </w:r>
            <w:r>
              <w:rPr>
                <w:rFonts w:hint="default" w:ascii="Times New Roman" w:hAnsi="Times New Roman" w:eastAsia="宋体" w:cs="Times New Roman"/>
                <w:color w:val="auto"/>
                <w:sz w:val="21"/>
                <w:szCs w:val="21"/>
                <w:highlight w:val="none"/>
                <w:u w:val="single" w:color="auto"/>
              </w:rPr>
              <w:t>-</w:t>
            </w:r>
          </w:p>
        </w:tc>
      </w:tr>
      <w:tr w14:paraId="5DC63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vAlign w:val="center"/>
          </w:tcPr>
          <w:p w14:paraId="7DA6F62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超硬材料砂轮</w:t>
            </w:r>
          </w:p>
        </w:tc>
        <w:tc>
          <w:tcPr>
            <w:tcW w:w="1134" w:type="dxa"/>
            <w:vMerge w:val="restart"/>
            <w:vAlign w:val="center"/>
          </w:tcPr>
          <w:p w14:paraId="3A611DC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992" w:type="dxa"/>
            <w:vAlign w:val="center"/>
          </w:tcPr>
          <w:p w14:paraId="564F81EC">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51" w:type="dxa"/>
            <w:vMerge w:val="restart"/>
            <w:vAlign w:val="center"/>
          </w:tcPr>
          <w:p w14:paraId="2A81196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1696E5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0.0079</w:t>
            </w:r>
          </w:p>
        </w:tc>
        <w:tc>
          <w:tcPr>
            <w:tcW w:w="1046" w:type="dxa"/>
            <w:vAlign w:val="center"/>
          </w:tcPr>
          <w:p w14:paraId="7C05425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2073" w:type="dxa"/>
            <w:vMerge w:val="restart"/>
            <w:vAlign w:val="center"/>
          </w:tcPr>
          <w:p w14:paraId="6BD3719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三级喷淋塔吸收法</w:t>
            </w:r>
            <w:r>
              <w:rPr>
                <w:rFonts w:hint="default" w:ascii="Times New Roman" w:hAnsi="Times New Roman" w:eastAsia="宋体" w:cs="Times New Roman"/>
                <w:color w:val="auto"/>
                <w:sz w:val="21"/>
                <w:szCs w:val="21"/>
                <w:highlight w:val="none"/>
                <w:u w:val="single" w:color="auto"/>
              </w:rPr>
              <w:t>，设计风量1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/h</w:t>
            </w:r>
          </w:p>
        </w:tc>
        <w:tc>
          <w:tcPr>
            <w:tcW w:w="1465" w:type="dxa"/>
            <w:vMerge w:val="restart"/>
            <w:vAlign w:val="center"/>
          </w:tcPr>
          <w:p w14:paraId="1B3203C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D-0.</w:t>
            </w:r>
            <w:r>
              <w:rPr>
                <w:rFonts w:hint="default" w:ascii="Times New Roman" w:hAnsi="Times New Roman" w:eastAsia="宋体" w:cs="Times New Roman"/>
                <w:color w:val="auto"/>
                <w:sz w:val="21"/>
                <w:szCs w:val="21"/>
                <w:highlight w:val="none"/>
                <w:u w:val="single" w:color="auto"/>
                <w:lang w:val="en-US" w:eastAsia="zh-CN"/>
              </w:rPr>
              <w:t>6</w:t>
            </w:r>
            <w:r>
              <w:rPr>
                <w:rFonts w:hint="default" w:ascii="Times New Roman" w:hAnsi="Times New Roman" w:eastAsia="宋体" w:cs="Times New Roman"/>
                <w:color w:val="auto"/>
                <w:sz w:val="21"/>
                <w:szCs w:val="21"/>
                <w:highlight w:val="none"/>
                <w:u w:val="single" w:color="auto"/>
              </w:rPr>
              <w:t>m，h-25m，</w:t>
            </w:r>
          </w:p>
          <w:p w14:paraId="30E3694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T-30℃（</w:t>
            </w:r>
            <w:r>
              <w:rPr>
                <w:rFonts w:hint="default" w:ascii="Times New Roman" w:hAnsi="Times New Roman" w:eastAsia="宋体" w:cs="Times New Roman"/>
                <w:color w:val="auto"/>
                <w:sz w:val="21"/>
                <w:szCs w:val="21"/>
                <w:highlight w:val="none"/>
                <w:u w:val="single" w:color="auto"/>
                <w:lang w:val="en-US" w:eastAsia="zh-CN"/>
              </w:rPr>
              <w:t>DA002</w:t>
            </w:r>
            <w:r>
              <w:rPr>
                <w:rFonts w:hint="default" w:ascii="Times New Roman" w:hAnsi="Times New Roman" w:eastAsia="宋体" w:cs="Times New Roman"/>
                <w:color w:val="auto"/>
                <w:sz w:val="21"/>
                <w:szCs w:val="21"/>
                <w:highlight w:val="none"/>
                <w:u w:val="single" w:color="auto"/>
              </w:rPr>
              <w:t>）</w:t>
            </w:r>
          </w:p>
        </w:tc>
        <w:tc>
          <w:tcPr>
            <w:tcW w:w="1066" w:type="dxa"/>
            <w:vAlign w:val="center"/>
          </w:tcPr>
          <w:p w14:paraId="100A51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1134" w:type="dxa"/>
            <w:vAlign w:val="center"/>
          </w:tcPr>
          <w:p w14:paraId="47E635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0.00001</w:t>
            </w:r>
          </w:p>
        </w:tc>
        <w:tc>
          <w:tcPr>
            <w:tcW w:w="871" w:type="dxa"/>
            <w:vAlign w:val="center"/>
          </w:tcPr>
          <w:p w14:paraId="3BA331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0.00004</w:t>
            </w:r>
          </w:p>
        </w:tc>
        <w:tc>
          <w:tcPr>
            <w:tcW w:w="992" w:type="dxa"/>
            <w:vAlign w:val="center"/>
          </w:tcPr>
          <w:p w14:paraId="2A02DF9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48F1FBC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5D9A9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vAlign w:val="center"/>
          </w:tcPr>
          <w:p w14:paraId="3649D586">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34" w:type="dxa"/>
            <w:vMerge w:val="continue"/>
            <w:vAlign w:val="center"/>
          </w:tcPr>
          <w:p w14:paraId="4CE8E899">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92" w:type="dxa"/>
            <w:vAlign w:val="center"/>
          </w:tcPr>
          <w:p w14:paraId="0342BE7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51" w:type="dxa"/>
            <w:vMerge w:val="continue"/>
            <w:vAlign w:val="center"/>
          </w:tcPr>
          <w:p w14:paraId="6700BCC1">
            <w:pPr>
              <w:spacing w:line="240" w:lineRule="auto"/>
              <w:jc w:val="center"/>
              <w:rPr>
                <w:rFonts w:hint="default" w:ascii="Times New Roman" w:hAnsi="Times New Roman" w:eastAsia="宋体" w:cs="Times New Roman"/>
                <w:color w:val="auto"/>
                <w:sz w:val="21"/>
                <w:szCs w:val="21"/>
                <w:highlight w:val="none"/>
                <w:u w:val="single" w:color="auto"/>
              </w:rPr>
            </w:pPr>
          </w:p>
        </w:tc>
        <w:tc>
          <w:tcPr>
            <w:tcW w:w="850" w:type="dxa"/>
            <w:vAlign w:val="center"/>
          </w:tcPr>
          <w:p w14:paraId="407BA11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0.496</w:t>
            </w:r>
          </w:p>
        </w:tc>
        <w:tc>
          <w:tcPr>
            <w:tcW w:w="1046" w:type="dxa"/>
            <w:vAlign w:val="center"/>
          </w:tcPr>
          <w:p w14:paraId="5819421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0.069</w:t>
            </w:r>
          </w:p>
        </w:tc>
        <w:tc>
          <w:tcPr>
            <w:tcW w:w="2073" w:type="dxa"/>
            <w:vMerge w:val="continue"/>
            <w:vAlign w:val="center"/>
          </w:tcPr>
          <w:p w14:paraId="43503B8D">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0CB53539">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51BBD9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0.038</w:t>
            </w:r>
          </w:p>
        </w:tc>
        <w:tc>
          <w:tcPr>
            <w:tcW w:w="1134" w:type="dxa"/>
            <w:vAlign w:val="center"/>
          </w:tcPr>
          <w:p w14:paraId="6A5CA9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871" w:type="dxa"/>
            <w:vAlign w:val="center"/>
          </w:tcPr>
          <w:p w14:paraId="482106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c>
          <w:tcPr>
            <w:tcW w:w="992" w:type="dxa"/>
            <w:vAlign w:val="center"/>
          </w:tcPr>
          <w:p w14:paraId="47A7CE5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3AECD1A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23A74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vAlign w:val="center"/>
          </w:tcPr>
          <w:p w14:paraId="24590C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超硬材料磨头</w:t>
            </w:r>
          </w:p>
        </w:tc>
        <w:tc>
          <w:tcPr>
            <w:tcW w:w="1134" w:type="dxa"/>
            <w:vMerge w:val="restart"/>
            <w:vAlign w:val="center"/>
          </w:tcPr>
          <w:p w14:paraId="144073E9">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992" w:type="dxa"/>
            <w:vAlign w:val="center"/>
          </w:tcPr>
          <w:p w14:paraId="76FE286D">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51" w:type="dxa"/>
            <w:vMerge w:val="restart"/>
            <w:vAlign w:val="center"/>
          </w:tcPr>
          <w:p w14:paraId="59E32F7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04684DA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0.0066</w:t>
            </w:r>
          </w:p>
        </w:tc>
        <w:tc>
          <w:tcPr>
            <w:tcW w:w="1046" w:type="dxa"/>
            <w:vAlign w:val="center"/>
          </w:tcPr>
          <w:p w14:paraId="518BDAA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2073" w:type="dxa"/>
            <w:vMerge w:val="restart"/>
            <w:vAlign w:val="center"/>
          </w:tcPr>
          <w:p w14:paraId="2D37137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三级喷淋塔吸收法</w:t>
            </w:r>
            <w:r>
              <w:rPr>
                <w:rFonts w:hint="default" w:ascii="Times New Roman" w:hAnsi="Times New Roman" w:eastAsia="宋体" w:cs="Times New Roman"/>
                <w:color w:val="auto"/>
                <w:sz w:val="21"/>
                <w:szCs w:val="21"/>
                <w:highlight w:val="none"/>
                <w:u w:val="single" w:color="auto"/>
              </w:rPr>
              <w:t>，设计风量1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/h</w:t>
            </w:r>
          </w:p>
        </w:tc>
        <w:tc>
          <w:tcPr>
            <w:tcW w:w="1465" w:type="dxa"/>
            <w:vMerge w:val="restart"/>
            <w:vAlign w:val="center"/>
          </w:tcPr>
          <w:p w14:paraId="513592D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D-0.</w:t>
            </w:r>
            <w:r>
              <w:rPr>
                <w:rFonts w:hint="default" w:ascii="Times New Roman" w:hAnsi="Times New Roman" w:eastAsia="宋体" w:cs="Times New Roman"/>
                <w:color w:val="auto"/>
                <w:sz w:val="21"/>
                <w:szCs w:val="21"/>
                <w:highlight w:val="none"/>
                <w:u w:val="single" w:color="auto"/>
                <w:lang w:val="en-US" w:eastAsia="zh-CN"/>
              </w:rPr>
              <w:t>6</w:t>
            </w:r>
            <w:r>
              <w:rPr>
                <w:rFonts w:hint="default" w:ascii="Times New Roman" w:hAnsi="Times New Roman" w:eastAsia="宋体" w:cs="Times New Roman"/>
                <w:color w:val="auto"/>
                <w:sz w:val="21"/>
                <w:szCs w:val="21"/>
                <w:highlight w:val="none"/>
                <w:u w:val="single" w:color="auto"/>
              </w:rPr>
              <w:t>m，h-25m，</w:t>
            </w:r>
          </w:p>
          <w:p w14:paraId="7F0D25D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T-30℃（</w:t>
            </w:r>
            <w:r>
              <w:rPr>
                <w:rFonts w:hint="default" w:ascii="Times New Roman" w:hAnsi="Times New Roman" w:eastAsia="宋体" w:cs="Times New Roman"/>
                <w:color w:val="auto"/>
                <w:sz w:val="21"/>
                <w:szCs w:val="21"/>
                <w:highlight w:val="none"/>
                <w:u w:val="single" w:color="auto"/>
                <w:lang w:val="en-US" w:eastAsia="zh-CN"/>
              </w:rPr>
              <w:t>DA003</w:t>
            </w:r>
            <w:r>
              <w:rPr>
                <w:rFonts w:hint="default" w:ascii="Times New Roman" w:hAnsi="Times New Roman" w:eastAsia="宋体" w:cs="Times New Roman"/>
                <w:color w:val="auto"/>
                <w:sz w:val="21"/>
                <w:szCs w:val="21"/>
                <w:highlight w:val="none"/>
                <w:u w:val="single" w:color="auto"/>
              </w:rPr>
              <w:t>）</w:t>
            </w:r>
          </w:p>
        </w:tc>
        <w:tc>
          <w:tcPr>
            <w:tcW w:w="1066" w:type="dxa"/>
            <w:vAlign w:val="center"/>
          </w:tcPr>
          <w:p w14:paraId="605886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1134" w:type="dxa"/>
            <w:vAlign w:val="center"/>
          </w:tcPr>
          <w:p w14:paraId="3813DF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0.000005</w:t>
            </w:r>
          </w:p>
        </w:tc>
        <w:tc>
          <w:tcPr>
            <w:tcW w:w="871" w:type="dxa"/>
            <w:vAlign w:val="center"/>
          </w:tcPr>
          <w:p w14:paraId="3A32F4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0.00003</w:t>
            </w:r>
          </w:p>
        </w:tc>
        <w:tc>
          <w:tcPr>
            <w:tcW w:w="992" w:type="dxa"/>
            <w:vAlign w:val="center"/>
          </w:tcPr>
          <w:p w14:paraId="5016B7D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5625351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w:t>
            </w:r>
          </w:p>
        </w:tc>
      </w:tr>
      <w:tr w14:paraId="0437F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vAlign w:val="center"/>
          </w:tcPr>
          <w:p w14:paraId="59CB8CD2">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34" w:type="dxa"/>
            <w:vMerge w:val="continue"/>
            <w:vAlign w:val="center"/>
          </w:tcPr>
          <w:p w14:paraId="24F4CD9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92" w:type="dxa"/>
            <w:vAlign w:val="center"/>
          </w:tcPr>
          <w:p w14:paraId="324DF0BB">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51" w:type="dxa"/>
            <w:vMerge w:val="continue"/>
            <w:vAlign w:val="center"/>
          </w:tcPr>
          <w:p w14:paraId="35038710">
            <w:pPr>
              <w:spacing w:line="240" w:lineRule="auto"/>
              <w:jc w:val="center"/>
              <w:rPr>
                <w:rFonts w:hint="default" w:ascii="Times New Roman" w:hAnsi="Times New Roman" w:eastAsia="宋体" w:cs="Times New Roman"/>
                <w:color w:val="auto"/>
                <w:sz w:val="21"/>
                <w:szCs w:val="21"/>
                <w:highlight w:val="none"/>
                <w:u w:val="single" w:color="auto"/>
              </w:rPr>
            </w:pPr>
          </w:p>
        </w:tc>
        <w:tc>
          <w:tcPr>
            <w:tcW w:w="850" w:type="dxa"/>
            <w:vAlign w:val="center"/>
          </w:tcPr>
          <w:p w14:paraId="7441A3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0.414</w:t>
            </w:r>
          </w:p>
        </w:tc>
        <w:tc>
          <w:tcPr>
            <w:tcW w:w="1046" w:type="dxa"/>
            <w:vAlign w:val="center"/>
          </w:tcPr>
          <w:p w14:paraId="21FFDC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0.058</w:t>
            </w:r>
          </w:p>
        </w:tc>
        <w:tc>
          <w:tcPr>
            <w:tcW w:w="2073" w:type="dxa"/>
            <w:vMerge w:val="continue"/>
            <w:vAlign w:val="center"/>
          </w:tcPr>
          <w:p w14:paraId="0643D0C9">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3C9C4EB2">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61479E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0.032</w:t>
            </w:r>
          </w:p>
        </w:tc>
        <w:tc>
          <w:tcPr>
            <w:tcW w:w="1134" w:type="dxa"/>
            <w:vAlign w:val="center"/>
          </w:tcPr>
          <w:p w14:paraId="7E83BF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871" w:type="dxa"/>
            <w:vAlign w:val="center"/>
          </w:tcPr>
          <w:p w14:paraId="1DD945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0.004</w:t>
            </w:r>
          </w:p>
        </w:tc>
        <w:tc>
          <w:tcPr>
            <w:tcW w:w="992" w:type="dxa"/>
            <w:vAlign w:val="center"/>
          </w:tcPr>
          <w:p w14:paraId="1DBD974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605FEAF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52531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vAlign w:val="center"/>
          </w:tcPr>
          <w:p w14:paraId="2E29FD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超硬材料套瓦刀及套孔钻</w:t>
            </w:r>
          </w:p>
        </w:tc>
        <w:tc>
          <w:tcPr>
            <w:tcW w:w="1134" w:type="dxa"/>
            <w:vMerge w:val="restart"/>
            <w:vAlign w:val="center"/>
          </w:tcPr>
          <w:p w14:paraId="160A07C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992" w:type="dxa"/>
            <w:vAlign w:val="center"/>
          </w:tcPr>
          <w:p w14:paraId="204A0FC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51" w:type="dxa"/>
            <w:vAlign w:val="center"/>
          </w:tcPr>
          <w:p w14:paraId="554A4C0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3B63809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0.0044</w:t>
            </w:r>
          </w:p>
        </w:tc>
        <w:tc>
          <w:tcPr>
            <w:tcW w:w="1046" w:type="dxa"/>
            <w:vAlign w:val="center"/>
          </w:tcPr>
          <w:p w14:paraId="195A4A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2073" w:type="dxa"/>
            <w:vMerge w:val="restart"/>
            <w:vAlign w:val="center"/>
          </w:tcPr>
          <w:p w14:paraId="3FEF407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三级喷淋塔吸收法</w:t>
            </w:r>
            <w:r>
              <w:rPr>
                <w:rFonts w:hint="default" w:ascii="Times New Roman" w:hAnsi="Times New Roman" w:eastAsia="宋体" w:cs="Times New Roman"/>
                <w:color w:val="auto"/>
                <w:sz w:val="21"/>
                <w:szCs w:val="21"/>
                <w:highlight w:val="none"/>
                <w:u w:val="single" w:color="auto"/>
              </w:rPr>
              <w:t>，设计风量1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/h</w:t>
            </w:r>
          </w:p>
        </w:tc>
        <w:tc>
          <w:tcPr>
            <w:tcW w:w="1465" w:type="dxa"/>
            <w:vMerge w:val="restart"/>
            <w:vAlign w:val="center"/>
          </w:tcPr>
          <w:p w14:paraId="66EC181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D-0.</w:t>
            </w:r>
            <w:r>
              <w:rPr>
                <w:rFonts w:hint="default" w:ascii="Times New Roman" w:hAnsi="Times New Roman" w:eastAsia="宋体" w:cs="Times New Roman"/>
                <w:color w:val="auto"/>
                <w:sz w:val="21"/>
                <w:szCs w:val="21"/>
                <w:highlight w:val="none"/>
                <w:u w:val="single" w:color="auto"/>
                <w:lang w:val="en-US" w:eastAsia="zh-CN"/>
              </w:rPr>
              <w:t>6</w:t>
            </w:r>
            <w:r>
              <w:rPr>
                <w:rFonts w:hint="default" w:ascii="Times New Roman" w:hAnsi="Times New Roman" w:eastAsia="宋体" w:cs="Times New Roman"/>
                <w:color w:val="auto"/>
                <w:sz w:val="21"/>
                <w:szCs w:val="21"/>
                <w:highlight w:val="none"/>
                <w:u w:val="single" w:color="auto"/>
              </w:rPr>
              <w:t>m，h-25m，</w:t>
            </w:r>
          </w:p>
          <w:p w14:paraId="375D5DE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T-30℃（</w:t>
            </w:r>
            <w:r>
              <w:rPr>
                <w:rFonts w:hint="default" w:ascii="Times New Roman" w:hAnsi="Times New Roman" w:eastAsia="宋体" w:cs="Times New Roman"/>
                <w:color w:val="auto"/>
                <w:sz w:val="21"/>
                <w:szCs w:val="21"/>
                <w:highlight w:val="none"/>
                <w:u w:val="single" w:color="auto"/>
                <w:lang w:val="en-US" w:eastAsia="zh-CN"/>
              </w:rPr>
              <w:t>DA004</w:t>
            </w:r>
            <w:r>
              <w:rPr>
                <w:rFonts w:hint="default" w:ascii="Times New Roman" w:hAnsi="Times New Roman" w:eastAsia="宋体" w:cs="Times New Roman"/>
                <w:color w:val="auto"/>
                <w:sz w:val="21"/>
                <w:szCs w:val="21"/>
                <w:highlight w:val="none"/>
                <w:u w:val="single" w:color="auto"/>
              </w:rPr>
              <w:t>）</w:t>
            </w:r>
          </w:p>
        </w:tc>
        <w:tc>
          <w:tcPr>
            <w:tcW w:w="1066" w:type="dxa"/>
            <w:vAlign w:val="center"/>
          </w:tcPr>
          <w:p w14:paraId="56E4A1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0.0002</w:t>
            </w:r>
          </w:p>
        </w:tc>
        <w:tc>
          <w:tcPr>
            <w:tcW w:w="1134" w:type="dxa"/>
            <w:vAlign w:val="center"/>
          </w:tcPr>
          <w:p w14:paraId="699D54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0.000003</w:t>
            </w:r>
          </w:p>
        </w:tc>
        <w:tc>
          <w:tcPr>
            <w:tcW w:w="871" w:type="dxa"/>
            <w:vAlign w:val="center"/>
          </w:tcPr>
          <w:p w14:paraId="3773D8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0.00002</w:t>
            </w:r>
          </w:p>
        </w:tc>
        <w:tc>
          <w:tcPr>
            <w:tcW w:w="992" w:type="dxa"/>
            <w:vAlign w:val="center"/>
          </w:tcPr>
          <w:p w14:paraId="2E9E293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51D49B5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34744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7B722460">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34" w:type="dxa"/>
            <w:vMerge w:val="continue"/>
            <w:vAlign w:val="center"/>
          </w:tcPr>
          <w:p w14:paraId="37A651D1">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92" w:type="dxa"/>
            <w:vAlign w:val="center"/>
          </w:tcPr>
          <w:p w14:paraId="736D894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51" w:type="dxa"/>
            <w:vAlign w:val="center"/>
          </w:tcPr>
          <w:p w14:paraId="24BFDCE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37C7EB6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0.276</w:t>
            </w:r>
          </w:p>
        </w:tc>
        <w:tc>
          <w:tcPr>
            <w:tcW w:w="1046" w:type="dxa"/>
            <w:vAlign w:val="center"/>
          </w:tcPr>
          <w:p w14:paraId="0E13EF1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0.038</w:t>
            </w:r>
          </w:p>
        </w:tc>
        <w:tc>
          <w:tcPr>
            <w:tcW w:w="2073" w:type="dxa"/>
            <w:vMerge w:val="continue"/>
            <w:vAlign w:val="center"/>
          </w:tcPr>
          <w:p w14:paraId="743C3344">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05D9E1BF">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2185B6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0.021</w:t>
            </w:r>
          </w:p>
        </w:tc>
        <w:tc>
          <w:tcPr>
            <w:tcW w:w="1134" w:type="dxa"/>
            <w:vAlign w:val="center"/>
          </w:tcPr>
          <w:p w14:paraId="35423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0.0004</w:t>
            </w:r>
          </w:p>
        </w:tc>
        <w:tc>
          <w:tcPr>
            <w:tcW w:w="871" w:type="dxa"/>
            <w:vAlign w:val="center"/>
          </w:tcPr>
          <w:p w14:paraId="18C8CE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0.003</w:t>
            </w:r>
          </w:p>
        </w:tc>
        <w:tc>
          <w:tcPr>
            <w:tcW w:w="992" w:type="dxa"/>
            <w:vAlign w:val="center"/>
          </w:tcPr>
          <w:p w14:paraId="76C1FF6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79B3283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w:t>
            </w:r>
          </w:p>
        </w:tc>
      </w:tr>
      <w:tr w14:paraId="1AE14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vAlign w:val="center"/>
          </w:tcPr>
          <w:p w14:paraId="750C6A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超硬材料砂轮、超硬材料磨头、超硬材料套瓦刀及套孔钻装饰镀</w:t>
            </w:r>
            <w:r>
              <w:rPr>
                <w:rFonts w:hint="eastAsia" w:ascii="Times New Roman" w:hAnsi="Times New Roman" w:eastAsia="宋体" w:cs="Times New Roman"/>
                <w:color w:val="auto"/>
                <w:sz w:val="21"/>
                <w:szCs w:val="21"/>
                <w:highlight w:val="none"/>
                <w:u w:val="single" w:color="auto"/>
                <w:lang w:val="en-US" w:eastAsia="zh-CN"/>
              </w:rPr>
              <w:t>工序</w:t>
            </w:r>
          </w:p>
        </w:tc>
        <w:tc>
          <w:tcPr>
            <w:tcW w:w="1134" w:type="dxa"/>
            <w:vMerge w:val="restart"/>
            <w:vAlign w:val="center"/>
          </w:tcPr>
          <w:p w14:paraId="3CEE946B">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酸洗槽</w:t>
            </w:r>
          </w:p>
        </w:tc>
        <w:tc>
          <w:tcPr>
            <w:tcW w:w="992" w:type="dxa"/>
            <w:vAlign w:val="center"/>
          </w:tcPr>
          <w:p w14:paraId="3507E06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51" w:type="dxa"/>
            <w:vAlign w:val="center"/>
          </w:tcPr>
          <w:p w14:paraId="6F903DA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1979AB9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0.0015</w:t>
            </w:r>
          </w:p>
        </w:tc>
        <w:tc>
          <w:tcPr>
            <w:tcW w:w="1046" w:type="dxa"/>
            <w:vAlign w:val="center"/>
          </w:tcPr>
          <w:p w14:paraId="419A885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0.0002</w:t>
            </w:r>
          </w:p>
        </w:tc>
        <w:tc>
          <w:tcPr>
            <w:tcW w:w="2073" w:type="dxa"/>
            <w:vMerge w:val="restart"/>
            <w:vAlign w:val="center"/>
          </w:tcPr>
          <w:p w14:paraId="5A312C2C">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三级喷淋塔吸收法</w:t>
            </w:r>
            <w:r>
              <w:rPr>
                <w:rFonts w:hint="default" w:ascii="Times New Roman" w:hAnsi="Times New Roman" w:eastAsia="宋体" w:cs="Times New Roman"/>
                <w:color w:val="auto"/>
                <w:sz w:val="21"/>
                <w:szCs w:val="21"/>
                <w:highlight w:val="none"/>
                <w:u w:val="single" w:color="auto"/>
              </w:rPr>
              <w:t>，设计风量1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/h</w:t>
            </w:r>
          </w:p>
        </w:tc>
        <w:tc>
          <w:tcPr>
            <w:tcW w:w="1465" w:type="dxa"/>
            <w:vMerge w:val="restart"/>
            <w:vAlign w:val="center"/>
          </w:tcPr>
          <w:p w14:paraId="0FE58BD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D-0.</w:t>
            </w:r>
            <w:r>
              <w:rPr>
                <w:rFonts w:hint="default" w:ascii="Times New Roman" w:hAnsi="Times New Roman" w:eastAsia="宋体" w:cs="Times New Roman"/>
                <w:color w:val="auto"/>
                <w:sz w:val="21"/>
                <w:szCs w:val="21"/>
                <w:highlight w:val="none"/>
                <w:u w:val="single" w:color="auto"/>
                <w:lang w:val="en-US" w:eastAsia="zh-CN"/>
              </w:rPr>
              <w:t>6</w:t>
            </w:r>
            <w:r>
              <w:rPr>
                <w:rFonts w:hint="default" w:ascii="Times New Roman" w:hAnsi="Times New Roman" w:eastAsia="宋体" w:cs="Times New Roman"/>
                <w:color w:val="auto"/>
                <w:sz w:val="21"/>
                <w:szCs w:val="21"/>
                <w:highlight w:val="none"/>
                <w:u w:val="single" w:color="auto"/>
              </w:rPr>
              <w:t>m，h-25m，</w:t>
            </w:r>
          </w:p>
          <w:p w14:paraId="70AFF41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T-30℃（</w:t>
            </w:r>
            <w:r>
              <w:rPr>
                <w:rFonts w:hint="default" w:ascii="Times New Roman" w:hAnsi="Times New Roman" w:eastAsia="宋体" w:cs="Times New Roman"/>
                <w:color w:val="auto"/>
                <w:sz w:val="21"/>
                <w:szCs w:val="21"/>
                <w:highlight w:val="none"/>
                <w:u w:val="single" w:color="auto"/>
                <w:lang w:val="en-US" w:eastAsia="zh-CN"/>
              </w:rPr>
              <w:t>DA005</w:t>
            </w:r>
            <w:r>
              <w:rPr>
                <w:rFonts w:hint="default" w:ascii="Times New Roman" w:hAnsi="Times New Roman" w:eastAsia="宋体" w:cs="Times New Roman"/>
                <w:color w:val="auto"/>
                <w:sz w:val="21"/>
                <w:szCs w:val="21"/>
                <w:highlight w:val="none"/>
                <w:u w:val="single" w:color="auto"/>
              </w:rPr>
              <w:t>）</w:t>
            </w:r>
          </w:p>
        </w:tc>
        <w:tc>
          <w:tcPr>
            <w:tcW w:w="1066" w:type="dxa"/>
            <w:vAlign w:val="center"/>
          </w:tcPr>
          <w:p w14:paraId="40FD2F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0.014</w:t>
            </w:r>
          </w:p>
        </w:tc>
        <w:tc>
          <w:tcPr>
            <w:tcW w:w="1134" w:type="dxa"/>
            <w:vAlign w:val="center"/>
          </w:tcPr>
          <w:p w14:paraId="6F94D6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871" w:type="dxa"/>
            <w:vAlign w:val="center"/>
          </w:tcPr>
          <w:p w14:paraId="647C58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0.00047</w:t>
            </w:r>
          </w:p>
        </w:tc>
        <w:tc>
          <w:tcPr>
            <w:tcW w:w="992" w:type="dxa"/>
            <w:vAlign w:val="center"/>
          </w:tcPr>
          <w:p w14:paraId="7FD44FDC">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52387DC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44415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vAlign w:val="center"/>
          </w:tcPr>
          <w:p w14:paraId="7C5850C1">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34" w:type="dxa"/>
            <w:vMerge w:val="continue"/>
            <w:vAlign w:val="center"/>
          </w:tcPr>
          <w:p w14:paraId="689A63A9">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92" w:type="dxa"/>
            <w:vAlign w:val="center"/>
          </w:tcPr>
          <w:p w14:paraId="4C6B334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51" w:type="dxa"/>
            <w:vAlign w:val="center"/>
          </w:tcPr>
          <w:p w14:paraId="463D94F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1F89C41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0.093</w:t>
            </w:r>
          </w:p>
        </w:tc>
        <w:tc>
          <w:tcPr>
            <w:tcW w:w="1046" w:type="dxa"/>
            <w:vAlign w:val="center"/>
          </w:tcPr>
          <w:p w14:paraId="7B29014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0.013</w:t>
            </w:r>
          </w:p>
        </w:tc>
        <w:tc>
          <w:tcPr>
            <w:tcW w:w="2073" w:type="dxa"/>
            <w:vMerge w:val="continue"/>
            <w:vAlign w:val="center"/>
          </w:tcPr>
          <w:p w14:paraId="05D934F7">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0A5A532F">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226497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0.007</w:t>
            </w:r>
          </w:p>
        </w:tc>
        <w:tc>
          <w:tcPr>
            <w:tcW w:w="1134" w:type="dxa"/>
            <w:vAlign w:val="center"/>
          </w:tcPr>
          <w:p w14:paraId="343A1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0.0001</w:t>
            </w:r>
          </w:p>
        </w:tc>
        <w:tc>
          <w:tcPr>
            <w:tcW w:w="871" w:type="dxa"/>
            <w:vAlign w:val="center"/>
          </w:tcPr>
          <w:p w14:paraId="49A451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992" w:type="dxa"/>
            <w:vAlign w:val="center"/>
          </w:tcPr>
          <w:p w14:paraId="2CEFC36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1F393B8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w:t>
            </w:r>
          </w:p>
        </w:tc>
      </w:tr>
      <w:tr w14:paraId="4A2DA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vAlign w:val="center"/>
          </w:tcPr>
          <w:p w14:paraId="628D177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退镀线</w:t>
            </w:r>
            <w:r>
              <w:rPr>
                <w:rFonts w:hint="default" w:ascii="Times New Roman" w:hAnsi="Times New Roman" w:eastAsia="宋体" w:cs="Times New Roman"/>
                <w:color w:val="auto"/>
                <w:sz w:val="21"/>
                <w:szCs w:val="21"/>
                <w:highlight w:val="none"/>
                <w:u w:val="single" w:color="auto"/>
                <w:lang w:val="en-US" w:eastAsia="zh-CN"/>
              </w:rPr>
              <w:t>1</w:t>
            </w:r>
          </w:p>
        </w:tc>
        <w:tc>
          <w:tcPr>
            <w:tcW w:w="1134" w:type="dxa"/>
            <w:vMerge w:val="restart"/>
            <w:vAlign w:val="center"/>
          </w:tcPr>
          <w:p w14:paraId="49A7154E">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退镀槽</w:t>
            </w:r>
          </w:p>
        </w:tc>
        <w:tc>
          <w:tcPr>
            <w:tcW w:w="992" w:type="dxa"/>
            <w:vAlign w:val="center"/>
          </w:tcPr>
          <w:p w14:paraId="450C8499">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51" w:type="dxa"/>
            <w:vAlign w:val="center"/>
          </w:tcPr>
          <w:p w14:paraId="05FD25A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575B67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0.092</w:t>
            </w:r>
          </w:p>
        </w:tc>
        <w:tc>
          <w:tcPr>
            <w:tcW w:w="1046" w:type="dxa"/>
            <w:vAlign w:val="center"/>
          </w:tcPr>
          <w:p w14:paraId="4D8038A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0.051</w:t>
            </w:r>
          </w:p>
        </w:tc>
        <w:tc>
          <w:tcPr>
            <w:tcW w:w="2073" w:type="dxa"/>
            <w:vMerge w:val="continue"/>
            <w:vAlign w:val="center"/>
          </w:tcPr>
          <w:p w14:paraId="2D9B3ADC">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066AB5BA">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2733DE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1134" w:type="dxa"/>
            <w:vAlign w:val="center"/>
          </w:tcPr>
          <w:p w14:paraId="3F76DE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871" w:type="dxa"/>
            <w:vAlign w:val="center"/>
          </w:tcPr>
          <w:p w14:paraId="2BED48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992" w:type="dxa"/>
            <w:vAlign w:val="center"/>
          </w:tcPr>
          <w:p w14:paraId="5D0C206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588CFD0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w:t>
            </w:r>
          </w:p>
        </w:tc>
      </w:tr>
      <w:tr w14:paraId="36436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vAlign w:val="center"/>
          </w:tcPr>
          <w:p w14:paraId="13BCB6C5">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34" w:type="dxa"/>
            <w:vMerge w:val="continue"/>
            <w:vAlign w:val="center"/>
          </w:tcPr>
          <w:p w14:paraId="2224BC26">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92" w:type="dxa"/>
            <w:vAlign w:val="center"/>
          </w:tcPr>
          <w:p w14:paraId="61E2665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851" w:type="dxa"/>
            <w:vAlign w:val="center"/>
          </w:tcPr>
          <w:p w14:paraId="4BA04EC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2A57DF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w:t>
            </w:r>
          </w:p>
        </w:tc>
        <w:tc>
          <w:tcPr>
            <w:tcW w:w="1046" w:type="dxa"/>
            <w:vAlign w:val="center"/>
          </w:tcPr>
          <w:p w14:paraId="0F46C8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0.056</w:t>
            </w:r>
          </w:p>
        </w:tc>
        <w:tc>
          <w:tcPr>
            <w:tcW w:w="2073" w:type="dxa"/>
            <w:vMerge w:val="continue"/>
            <w:vAlign w:val="center"/>
          </w:tcPr>
          <w:p w14:paraId="0E935A79">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5F7718D4">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78D670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0.093</w:t>
            </w:r>
          </w:p>
        </w:tc>
        <w:tc>
          <w:tcPr>
            <w:tcW w:w="1134" w:type="dxa"/>
            <w:vAlign w:val="center"/>
          </w:tcPr>
          <w:p w14:paraId="1FBAFF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0.002</w:t>
            </w:r>
          </w:p>
        </w:tc>
        <w:tc>
          <w:tcPr>
            <w:tcW w:w="871" w:type="dxa"/>
            <w:vAlign w:val="center"/>
          </w:tcPr>
          <w:p w14:paraId="2AFEE5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0.003</w:t>
            </w:r>
          </w:p>
        </w:tc>
        <w:tc>
          <w:tcPr>
            <w:tcW w:w="992" w:type="dxa"/>
            <w:vAlign w:val="center"/>
          </w:tcPr>
          <w:p w14:paraId="78699DAF">
            <w:pPr>
              <w:spacing w:line="240" w:lineRule="auto"/>
              <w:jc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1"/>
                <w:szCs w:val="21"/>
                <w:highlight w:val="none"/>
                <w:u w:val="single" w:color="auto"/>
                <w:lang w:val="en-US" w:eastAsia="zh-CN"/>
              </w:rPr>
              <w:t>200</w:t>
            </w:r>
          </w:p>
        </w:tc>
        <w:tc>
          <w:tcPr>
            <w:tcW w:w="883" w:type="dxa"/>
            <w:vAlign w:val="center"/>
          </w:tcPr>
          <w:p w14:paraId="63CCD3D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w:t>
            </w:r>
          </w:p>
        </w:tc>
      </w:tr>
      <w:tr w14:paraId="0F5DD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vAlign w:val="center"/>
          </w:tcPr>
          <w:p w14:paraId="2005717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实验室</w:t>
            </w:r>
          </w:p>
        </w:tc>
        <w:tc>
          <w:tcPr>
            <w:tcW w:w="1134" w:type="dxa"/>
            <w:vMerge w:val="restart"/>
            <w:vAlign w:val="center"/>
          </w:tcPr>
          <w:p w14:paraId="1D4BE25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992" w:type="dxa"/>
            <w:vAlign w:val="center"/>
          </w:tcPr>
          <w:p w14:paraId="04AC929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51" w:type="dxa"/>
            <w:vMerge w:val="restart"/>
            <w:vAlign w:val="center"/>
          </w:tcPr>
          <w:p w14:paraId="00FF484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1647D3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0.0007</w:t>
            </w:r>
          </w:p>
        </w:tc>
        <w:tc>
          <w:tcPr>
            <w:tcW w:w="1046" w:type="dxa"/>
            <w:vAlign w:val="center"/>
          </w:tcPr>
          <w:p w14:paraId="508E227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w:t>
            </w:r>
          </w:p>
        </w:tc>
        <w:tc>
          <w:tcPr>
            <w:tcW w:w="2073" w:type="dxa"/>
            <w:vMerge w:val="restart"/>
            <w:vAlign w:val="center"/>
          </w:tcPr>
          <w:p w14:paraId="3BF4DC3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三级喷淋塔吸收法</w:t>
            </w:r>
            <w:r>
              <w:rPr>
                <w:rFonts w:hint="default" w:ascii="Times New Roman" w:hAnsi="Times New Roman" w:eastAsia="宋体" w:cs="Times New Roman"/>
                <w:color w:val="auto"/>
                <w:sz w:val="21"/>
                <w:szCs w:val="21"/>
                <w:highlight w:val="none"/>
                <w:u w:val="single" w:color="auto"/>
              </w:rPr>
              <w:t>，设计风量1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/h</w:t>
            </w:r>
          </w:p>
        </w:tc>
        <w:tc>
          <w:tcPr>
            <w:tcW w:w="1465" w:type="dxa"/>
            <w:vMerge w:val="restart"/>
            <w:vAlign w:val="center"/>
          </w:tcPr>
          <w:p w14:paraId="6A4463A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D-0.</w:t>
            </w:r>
            <w:r>
              <w:rPr>
                <w:rFonts w:hint="default" w:ascii="Times New Roman" w:hAnsi="Times New Roman" w:eastAsia="宋体" w:cs="Times New Roman"/>
                <w:color w:val="auto"/>
                <w:sz w:val="21"/>
                <w:szCs w:val="21"/>
                <w:highlight w:val="none"/>
                <w:u w:val="single" w:color="auto"/>
                <w:lang w:val="en-US" w:eastAsia="zh-CN"/>
              </w:rPr>
              <w:t>6</w:t>
            </w:r>
            <w:r>
              <w:rPr>
                <w:rFonts w:hint="default" w:ascii="Times New Roman" w:hAnsi="Times New Roman" w:eastAsia="宋体" w:cs="Times New Roman"/>
                <w:color w:val="auto"/>
                <w:sz w:val="21"/>
                <w:szCs w:val="21"/>
                <w:highlight w:val="none"/>
                <w:u w:val="single" w:color="auto"/>
              </w:rPr>
              <w:t>m，h-25m，</w:t>
            </w:r>
          </w:p>
          <w:p w14:paraId="5821846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T-30℃（</w:t>
            </w:r>
            <w:r>
              <w:rPr>
                <w:rFonts w:hint="default" w:ascii="Times New Roman" w:hAnsi="Times New Roman" w:eastAsia="宋体" w:cs="Times New Roman"/>
                <w:color w:val="auto"/>
                <w:sz w:val="21"/>
                <w:szCs w:val="21"/>
                <w:highlight w:val="none"/>
                <w:u w:val="single" w:color="auto"/>
                <w:lang w:val="en-US" w:eastAsia="zh-CN"/>
              </w:rPr>
              <w:t>DA006</w:t>
            </w:r>
            <w:r>
              <w:rPr>
                <w:rFonts w:hint="default" w:ascii="Times New Roman" w:hAnsi="Times New Roman" w:eastAsia="宋体" w:cs="Times New Roman"/>
                <w:color w:val="auto"/>
                <w:sz w:val="21"/>
                <w:szCs w:val="21"/>
                <w:highlight w:val="none"/>
                <w:u w:val="single" w:color="auto"/>
              </w:rPr>
              <w:t>）</w:t>
            </w:r>
          </w:p>
        </w:tc>
        <w:tc>
          <w:tcPr>
            <w:tcW w:w="1066" w:type="dxa"/>
            <w:vAlign w:val="center"/>
          </w:tcPr>
          <w:p w14:paraId="744FFD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0.014</w:t>
            </w:r>
          </w:p>
        </w:tc>
        <w:tc>
          <w:tcPr>
            <w:tcW w:w="1134" w:type="dxa"/>
            <w:vAlign w:val="center"/>
          </w:tcPr>
          <w:p w14:paraId="2E78C5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871" w:type="dxa"/>
            <w:vAlign w:val="center"/>
          </w:tcPr>
          <w:p w14:paraId="206AF9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0.000464</w:t>
            </w:r>
          </w:p>
        </w:tc>
        <w:tc>
          <w:tcPr>
            <w:tcW w:w="992" w:type="dxa"/>
            <w:vAlign w:val="center"/>
          </w:tcPr>
          <w:p w14:paraId="4B63906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10C6FCA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w:t>
            </w:r>
          </w:p>
        </w:tc>
      </w:tr>
      <w:tr w14:paraId="0882F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vAlign w:val="center"/>
          </w:tcPr>
          <w:p w14:paraId="730BD260">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34" w:type="dxa"/>
            <w:vMerge w:val="continue"/>
            <w:vAlign w:val="center"/>
          </w:tcPr>
          <w:p w14:paraId="6E3F3704">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92" w:type="dxa"/>
            <w:vAlign w:val="center"/>
          </w:tcPr>
          <w:p w14:paraId="73877EC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51" w:type="dxa"/>
            <w:vMerge w:val="continue"/>
            <w:vAlign w:val="center"/>
          </w:tcPr>
          <w:p w14:paraId="23F92587">
            <w:pPr>
              <w:spacing w:line="240" w:lineRule="auto"/>
              <w:jc w:val="center"/>
              <w:rPr>
                <w:rFonts w:hint="default" w:ascii="Times New Roman" w:hAnsi="Times New Roman" w:eastAsia="宋体" w:cs="Times New Roman"/>
                <w:color w:val="auto"/>
                <w:sz w:val="21"/>
                <w:szCs w:val="21"/>
                <w:highlight w:val="none"/>
                <w:u w:val="single" w:color="auto"/>
              </w:rPr>
            </w:pPr>
          </w:p>
        </w:tc>
        <w:tc>
          <w:tcPr>
            <w:tcW w:w="850" w:type="dxa"/>
            <w:vAlign w:val="center"/>
          </w:tcPr>
          <w:p w14:paraId="038FA1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0.047</w:t>
            </w:r>
          </w:p>
        </w:tc>
        <w:tc>
          <w:tcPr>
            <w:tcW w:w="1046" w:type="dxa"/>
            <w:vAlign w:val="center"/>
          </w:tcPr>
          <w:p w14:paraId="059DD5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0.026</w:t>
            </w:r>
          </w:p>
        </w:tc>
        <w:tc>
          <w:tcPr>
            <w:tcW w:w="2073" w:type="dxa"/>
            <w:vMerge w:val="continue"/>
            <w:vAlign w:val="center"/>
          </w:tcPr>
          <w:p w14:paraId="7E759FC4">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669E3A19">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5CE326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0.015</w:t>
            </w:r>
          </w:p>
        </w:tc>
        <w:tc>
          <w:tcPr>
            <w:tcW w:w="1134" w:type="dxa"/>
            <w:vAlign w:val="center"/>
          </w:tcPr>
          <w:p w14:paraId="07D0B6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871" w:type="dxa"/>
            <w:vAlign w:val="center"/>
          </w:tcPr>
          <w:p w14:paraId="4CEBA5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0.0005</w:t>
            </w:r>
          </w:p>
        </w:tc>
        <w:tc>
          <w:tcPr>
            <w:tcW w:w="992" w:type="dxa"/>
            <w:vAlign w:val="center"/>
          </w:tcPr>
          <w:p w14:paraId="4592293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77AAC27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6A60B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restart"/>
            <w:vAlign w:val="center"/>
          </w:tcPr>
          <w:p w14:paraId="219230E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退镀线</w:t>
            </w:r>
            <w:r>
              <w:rPr>
                <w:rFonts w:hint="default" w:ascii="Times New Roman" w:hAnsi="Times New Roman" w:eastAsia="宋体" w:cs="Times New Roman"/>
                <w:color w:val="auto"/>
                <w:sz w:val="21"/>
                <w:szCs w:val="21"/>
                <w:highlight w:val="none"/>
                <w:u w:val="single" w:color="auto"/>
                <w:lang w:val="en-US" w:eastAsia="zh-CN"/>
              </w:rPr>
              <w:t>2</w:t>
            </w:r>
          </w:p>
        </w:tc>
        <w:tc>
          <w:tcPr>
            <w:tcW w:w="1134" w:type="dxa"/>
            <w:vMerge w:val="restart"/>
            <w:vAlign w:val="center"/>
          </w:tcPr>
          <w:p w14:paraId="2AA3C09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退镀槽</w:t>
            </w:r>
          </w:p>
        </w:tc>
        <w:tc>
          <w:tcPr>
            <w:tcW w:w="992" w:type="dxa"/>
            <w:vAlign w:val="center"/>
          </w:tcPr>
          <w:p w14:paraId="16F66C0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51" w:type="dxa"/>
            <w:vMerge w:val="continue"/>
            <w:vAlign w:val="center"/>
          </w:tcPr>
          <w:p w14:paraId="3C3A2B8A">
            <w:pPr>
              <w:spacing w:line="240" w:lineRule="auto"/>
              <w:jc w:val="center"/>
              <w:rPr>
                <w:rFonts w:hint="default" w:ascii="Times New Roman" w:hAnsi="Times New Roman" w:eastAsia="宋体" w:cs="Times New Roman"/>
                <w:color w:val="auto"/>
                <w:sz w:val="21"/>
                <w:szCs w:val="21"/>
                <w:highlight w:val="none"/>
                <w:u w:val="single" w:color="auto"/>
              </w:rPr>
            </w:pPr>
          </w:p>
        </w:tc>
        <w:tc>
          <w:tcPr>
            <w:tcW w:w="850" w:type="dxa"/>
            <w:vAlign w:val="center"/>
          </w:tcPr>
          <w:p w14:paraId="0D31E80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0.092</w:t>
            </w:r>
          </w:p>
        </w:tc>
        <w:tc>
          <w:tcPr>
            <w:tcW w:w="1046" w:type="dxa"/>
            <w:vAlign w:val="center"/>
          </w:tcPr>
          <w:p w14:paraId="62C1435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0.051</w:t>
            </w:r>
          </w:p>
        </w:tc>
        <w:tc>
          <w:tcPr>
            <w:tcW w:w="2073" w:type="dxa"/>
            <w:vMerge w:val="continue"/>
            <w:vAlign w:val="center"/>
          </w:tcPr>
          <w:p w14:paraId="071240C0">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30E6FD2F">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4E1AB4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1134" w:type="dxa"/>
            <w:vAlign w:val="center"/>
          </w:tcPr>
          <w:p w14:paraId="3470FF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871" w:type="dxa"/>
            <w:vAlign w:val="center"/>
          </w:tcPr>
          <w:p w14:paraId="31397A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992" w:type="dxa"/>
            <w:vAlign w:val="center"/>
          </w:tcPr>
          <w:p w14:paraId="2F7282C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w:t>
            </w:r>
          </w:p>
        </w:tc>
        <w:tc>
          <w:tcPr>
            <w:tcW w:w="883" w:type="dxa"/>
            <w:vAlign w:val="center"/>
          </w:tcPr>
          <w:p w14:paraId="4BD0473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w:t>
            </w:r>
            <w:r>
              <w:rPr>
                <w:rFonts w:hint="default" w:ascii="Times New Roman" w:hAnsi="Times New Roman" w:eastAsia="宋体" w:cs="Times New Roman"/>
                <w:color w:val="auto"/>
                <w:sz w:val="21"/>
                <w:szCs w:val="21"/>
                <w:highlight w:val="none"/>
                <w:u w:val="single" w:color="auto"/>
                <w:lang w:val="en-US" w:eastAsia="zh-CN"/>
              </w:rPr>
              <w:t>-</w:t>
            </w:r>
          </w:p>
        </w:tc>
      </w:tr>
      <w:tr w14:paraId="2D102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Merge w:val="continue"/>
            <w:vAlign w:val="center"/>
          </w:tcPr>
          <w:p w14:paraId="3006682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34" w:type="dxa"/>
            <w:vMerge w:val="continue"/>
            <w:vAlign w:val="center"/>
          </w:tcPr>
          <w:p w14:paraId="4B014AB4">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92" w:type="dxa"/>
            <w:vAlign w:val="center"/>
          </w:tcPr>
          <w:p w14:paraId="495106DC">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851" w:type="dxa"/>
            <w:vMerge w:val="continue"/>
            <w:vAlign w:val="center"/>
          </w:tcPr>
          <w:p w14:paraId="67D735D6">
            <w:pPr>
              <w:spacing w:line="240" w:lineRule="auto"/>
              <w:jc w:val="center"/>
              <w:rPr>
                <w:rFonts w:hint="default" w:ascii="Times New Roman" w:hAnsi="Times New Roman" w:eastAsia="宋体" w:cs="Times New Roman"/>
                <w:color w:val="auto"/>
                <w:sz w:val="21"/>
                <w:szCs w:val="21"/>
                <w:highlight w:val="none"/>
                <w:u w:val="single" w:color="auto"/>
              </w:rPr>
            </w:pPr>
          </w:p>
        </w:tc>
        <w:tc>
          <w:tcPr>
            <w:tcW w:w="850" w:type="dxa"/>
            <w:vAlign w:val="center"/>
          </w:tcPr>
          <w:p w14:paraId="77EB61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w:t>
            </w:r>
          </w:p>
        </w:tc>
        <w:tc>
          <w:tcPr>
            <w:tcW w:w="1046" w:type="dxa"/>
            <w:vAlign w:val="center"/>
          </w:tcPr>
          <w:p w14:paraId="6013F8F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0.056</w:t>
            </w:r>
          </w:p>
        </w:tc>
        <w:tc>
          <w:tcPr>
            <w:tcW w:w="2073" w:type="dxa"/>
            <w:vMerge w:val="continue"/>
            <w:vAlign w:val="center"/>
          </w:tcPr>
          <w:p w14:paraId="1A55741C">
            <w:pPr>
              <w:spacing w:line="240" w:lineRule="auto"/>
              <w:jc w:val="center"/>
              <w:rPr>
                <w:rFonts w:hint="default" w:ascii="Times New Roman" w:hAnsi="Times New Roman" w:eastAsia="宋体" w:cs="Times New Roman"/>
                <w:color w:val="auto"/>
                <w:sz w:val="21"/>
                <w:szCs w:val="21"/>
                <w:highlight w:val="none"/>
                <w:u w:val="single" w:color="auto"/>
              </w:rPr>
            </w:pPr>
          </w:p>
        </w:tc>
        <w:tc>
          <w:tcPr>
            <w:tcW w:w="1465" w:type="dxa"/>
            <w:vMerge w:val="continue"/>
            <w:vAlign w:val="center"/>
          </w:tcPr>
          <w:p w14:paraId="4B95222F">
            <w:pPr>
              <w:spacing w:line="240" w:lineRule="auto"/>
              <w:jc w:val="center"/>
              <w:rPr>
                <w:rFonts w:hint="default" w:ascii="Times New Roman" w:hAnsi="Times New Roman" w:eastAsia="宋体" w:cs="Times New Roman"/>
                <w:color w:val="auto"/>
                <w:sz w:val="21"/>
                <w:szCs w:val="21"/>
                <w:highlight w:val="none"/>
                <w:u w:val="single" w:color="auto"/>
              </w:rPr>
            </w:pPr>
          </w:p>
        </w:tc>
        <w:tc>
          <w:tcPr>
            <w:tcW w:w="1066" w:type="dxa"/>
            <w:vAlign w:val="center"/>
          </w:tcPr>
          <w:p w14:paraId="37C018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0.093</w:t>
            </w:r>
          </w:p>
        </w:tc>
        <w:tc>
          <w:tcPr>
            <w:tcW w:w="1134" w:type="dxa"/>
            <w:vAlign w:val="center"/>
          </w:tcPr>
          <w:p w14:paraId="3C7810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0.002</w:t>
            </w:r>
          </w:p>
        </w:tc>
        <w:tc>
          <w:tcPr>
            <w:tcW w:w="871" w:type="dxa"/>
            <w:vAlign w:val="center"/>
          </w:tcPr>
          <w:p w14:paraId="10DA5A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0.003</w:t>
            </w:r>
          </w:p>
        </w:tc>
        <w:tc>
          <w:tcPr>
            <w:tcW w:w="992" w:type="dxa"/>
            <w:vAlign w:val="center"/>
          </w:tcPr>
          <w:p w14:paraId="3F0D5E85">
            <w:pPr>
              <w:spacing w:line="240" w:lineRule="auto"/>
              <w:jc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1"/>
                <w:szCs w:val="21"/>
                <w:highlight w:val="none"/>
                <w:u w:val="single" w:color="auto"/>
                <w:lang w:val="en-US" w:eastAsia="zh-CN"/>
              </w:rPr>
              <w:t>200</w:t>
            </w:r>
          </w:p>
        </w:tc>
        <w:tc>
          <w:tcPr>
            <w:tcW w:w="883" w:type="dxa"/>
            <w:vAlign w:val="center"/>
          </w:tcPr>
          <w:p w14:paraId="64A931A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76ED3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14:paraId="24A72A8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烧结超硬材料</w:t>
            </w:r>
          </w:p>
        </w:tc>
        <w:tc>
          <w:tcPr>
            <w:tcW w:w="1134" w:type="dxa"/>
            <w:vAlign w:val="center"/>
          </w:tcPr>
          <w:p w14:paraId="3771AE8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树脂粉压制、烧结</w:t>
            </w:r>
          </w:p>
        </w:tc>
        <w:tc>
          <w:tcPr>
            <w:tcW w:w="992" w:type="dxa"/>
            <w:vAlign w:val="center"/>
          </w:tcPr>
          <w:p w14:paraId="3A9D584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非甲烷总烃</w:t>
            </w:r>
          </w:p>
        </w:tc>
        <w:tc>
          <w:tcPr>
            <w:tcW w:w="851" w:type="dxa"/>
            <w:vAlign w:val="center"/>
          </w:tcPr>
          <w:p w14:paraId="7DE8A52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产污系数法</w:t>
            </w:r>
          </w:p>
        </w:tc>
        <w:tc>
          <w:tcPr>
            <w:tcW w:w="850" w:type="dxa"/>
            <w:vAlign w:val="center"/>
          </w:tcPr>
          <w:p w14:paraId="56EA402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0.097</w:t>
            </w:r>
          </w:p>
        </w:tc>
        <w:tc>
          <w:tcPr>
            <w:tcW w:w="1046" w:type="dxa"/>
            <w:vAlign w:val="center"/>
          </w:tcPr>
          <w:p w14:paraId="0BC75AB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0.04</w:t>
            </w:r>
          </w:p>
        </w:tc>
        <w:tc>
          <w:tcPr>
            <w:tcW w:w="2073" w:type="dxa"/>
            <w:vAlign w:val="center"/>
          </w:tcPr>
          <w:p w14:paraId="78153E8E">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eastAsia" w:ascii="Times New Roman" w:hAnsi="Times New Roman" w:eastAsia="宋体" w:cs="Times New Roman"/>
                <w:color w:val="auto"/>
                <w:sz w:val="21"/>
                <w:szCs w:val="21"/>
                <w:highlight w:val="none"/>
                <w:u w:val="single" w:color="auto"/>
                <w:lang w:eastAsia="zh-CN"/>
              </w:rPr>
              <w:t>冷却塔</w:t>
            </w:r>
            <w:r>
              <w:rPr>
                <w:rFonts w:hint="eastAsia" w:ascii="Times New Roman" w:hAnsi="Times New Roman" w:eastAsia="宋体" w:cs="Times New Roman"/>
                <w:color w:val="auto"/>
                <w:sz w:val="21"/>
                <w:szCs w:val="21"/>
                <w:highlight w:val="none"/>
                <w:u w:val="single" w:color="auto"/>
                <w:lang w:val="en-US" w:eastAsia="zh-CN"/>
              </w:rPr>
              <w:t>+干湿过滤器+</w:t>
            </w:r>
            <w:r>
              <w:rPr>
                <w:rFonts w:hint="default" w:ascii="Times New Roman" w:hAnsi="Times New Roman" w:eastAsia="宋体" w:cs="Times New Roman"/>
                <w:color w:val="auto"/>
                <w:sz w:val="21"/>
                <w:szCs w:val="21"/>
                <w:highlight w:val="none"/>
                <w:u w:val="single" w:color="auto"/>
                <w:lang w:eastAsia="zh-CN"/>
              </w:rPr>
              <w:t>一级活性炭，设计风量</w:t>
            </w:r>
            <w:r>
              <w:rPr>
                <w:rFonts w:hint="default" w:ascii="Times New Roman" w:hAnsi="Times New Roman" w:eastAsia="宋体" w:cs="Times New Roman"/>
                <w:color w:val="auto"/>
                <w:sz w:val="21"/>
                <w:szCs w:val="21"/>
                <w:highlight w:val="none"/>
                <w:u w:val="single" w:color="auto"/>
                <w:lang w:val="en-US" w:eastAsia="zh-CN"/>
              </w:rPr>
              <w:t>5</w:t>
            </w:r>
            <w:r>
              <w:rPr>
                <w:rFonts w:hint="default" w:ascii="Times New Roman" w:hAnsi="Times New Roman" w:eastAsia="宋体" w:cs="Times New Roman"/>
                <w:color w:val="auto"/>
                <w:sz w:val="21"/>
                <w:szCs w:val="21"/>
                <w:highlight w:val="none"/>
                <w:u w:val="single" w:color="auto"/>
              </w:rPr>
              <w:t>000m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/h</w:t>
            </w:r>
          </w:p>
        </w:tc>
        <w:tc>
          <w:tcPr>
            <w:tcW w:w="1465" w:type="dxa"/>
            <w:vAlign w:val="center"/>
          </w:tcPr>
          <w:p w14:paraId="35EC7EF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D-0.</w:t>
            </w:r>
            <w:r>
              <w:rPr>
                <w:rFonts w:hint="default" w:ascii="Times New Roman" w:hAnsi="Times New Roman" w:eastAsia="宋体" w:cs="Times New Roman"/>
                <w:color w:val="auto"/>
                <w:sz w:val="21"/>
                <w:szCs w:val="21"/>
                <w:highlight w:val="none"/>
                <w:u w:val="single" w:color="auto"/>
                <w:lang w:val="en-US" w:eastAsia="zh-CN"/>
              </w:rPr>
              <w:t>3</w:t>
            </w:r>
            <w:r>
              <w:rPr>
                <w:rFonts w:hint="default" w:ascii="Times New Roman" w:hAnsi="Times New Roman" w:eastAsia="宋体" w:cs="Times New Roman"/>
                <w:color w:val="auto"/>
                <w:sz w:val="21"/>
                <w:szCs w:val="21"/>
                <w:highlight w:val="none"/>
                <w:u w:val="single" w:color="auto"/>
              </w:rPr>
              <w:t>m，h-</w:t>
            </w:r>
            <w:r>
              <w:rPr>
                <w:rFonts w:hint="eastAsia" w:ascii="Times New Roman" w:hAnsi="Times New Roman" w:eastAsia="宋体" w:cs="Times New Roman"/>
                <w:color w:val="auto"/>
                <w:sz w:val="21"/>
                <w:szCs w:val="21"/>
                <w:highlight w:val="none"/>
                <w:u w:val="single" w:color="auto"/>
                <w:lang w:val="en-US" w:eastAsia="zh-CN"/>
              </w:rPr>
              <w:t>1</w:t>
            </w:r>
            <w:r>
              <w:rPr>
                <w:rFonts w:hint="default" w:ascii="Times New Roman" w:hAnsi="Times New Roman" w:eastAsia="宋体" w:cs="Times New Roman"/>
                <w:color w:val="auto"/>
                <w:sz w:val="21"/>
                <w:szCs w:val="21"/>
                <w:highlight w:val="none"/>
                <w:u w:val="single" w:color="auto"/>
              </w:rPr>
              <w:t>5m，</w:t>
            </w:r>
          </w:p>
          <w:p w14:paraId="1D4B11A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T-30℃（</w:t>
            </w:r>
            <w:r>
              <w:rPr>
                <w:rFonts w:hint="default" w:ascii="Times New Roman" w:hAnsi="Times New Roman" w:eastAsia="宋体" w:cs="Times New Roman"/>
                <w:color w:val="auto"/>
                <w:sz w:val="21"/>
                <w:szCs w:val="21"/>
                <w:highlight w:val="none"/>
                <w:u w:val="single" w:color="auto"/>
                <w:lang w:val="en-US" w:eastAsia="zh-CN"/>
              </w:rPr>
              <w:t>DA007</w:t>
            </w:r>
            <w:r>
              <w:rPr>
                <w:rFonts w:hint="default" w:ascii="Times New Roman" w:hAnsi="Times New Roman" w:eastAsia="宋体" w:cs="Times New Roman"/>
                <w:color w:val="auto"/>
                <w:sz w:val="21"/>
                <w:szCs w:val="21"/>
                <w:highlight w:val="none"/>
                <w:u w:val="single" w:color="auto"/>
              </w:rPr>
              <w:t>）</w:t>
            </w:r>
          </w:p>
        </w:tc>
        <w:tc>
          <w:tcPr>
            <w:tcW w:w="1066" w:type="dxa"/>
            <w:vAlign w:val="center"/>
          </w:tcPr>
          <w:p w14:paraId="649373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3.4</w:t>
            </w:r>
          </w:p>
        </w:tc>
        <w:tc>
          <w:tcPr>
            <w:tcW w:w="1134" w:type="dxa"/>
            <w:vAlign w:val="center"/>
          </w:tcPr>
          <w:p w14:paraId="49953F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0.017</w:t>
            </w:r>
          </w:p>
        </w:tc>
        <w:tc>
          <w:tcPr>
            <w:tcW w:w="871" w:type="dxa"/>
            <w:vAlign w:val="center"/>
          </w:tcPr>
          <w:p w14:paraId="396465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w:t>
            </w:r>
          </w:p>
        </w:tc>
        <w:tc>
          <w:tcPr>
            <w:tcW w:w="992" w:type="dxa"/>
            <w:vAlign w:val="center"/>
          </w:tcPr>
          <w:p w14:paraId="29351EE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100</w:t>
            </w:r>
          </w:p>
        </w:tc>
        <w:tc>
          <w:tcPr>
            <w:tcW w:w="883" w:type="dxa"/>
            <w:vAlign w:val="center"/>
          </w:tcPr>
          <w:p w14:paraId="4243E63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34346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14:paraId="48ABEBD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食堂油烟</w:t>
            </w:r>
          </w:p>
        </w:tc>
        <w:tc>
          <w:tcPr>
            <w:tcW w:w="1134" w:type="dxa"/>
            <w:vAlign w:val="center"/>
          </w:tcPr>
          <w:p w14:paraId="1C98646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食堂</w:t>
            </w:r>
          </w:p>
        </w:tc>
        <w:tc>
          <w:tcPr>
            <w:tcW w:w="992" w:type="dxa"/>
            <w:vAlign w:val="center"/>
          </w:tcPr>
          <w:p w14:paraId="708EB72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油烟</w:t>
            </w:r>
          </w:p>
        </w:tc>
        <w:tc>
          <w:tcPr>
            <w:tcW w:w="851" w:type="dxa"/>
            <w:vAlign w:val="center"/>
          </w:tcPr>
          <w:p w14:paraId="3E2E99F9">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类比分析</w:t>
            </w:r>
          </w:p>
        </w:tc>
        <w:tc>
          <w:tcPr>
            <w:tcW w:w="850" w:type="dxa"/>
            <w:vAlign w:val="center"/>
          </w:tcPr>
          <w:p w14:paraId="37C2BFB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0.015</w:t>
            </w:r>
          </w:p>
        </w:tc>
        <w:tc>
          <w:tcPr>
            <w:tcW w:w="1046" w:type="dxa"/>
            <w:vAlign w:val="center"/>
          </w:tcPr>
          <w:p w14:paraId="3758416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0.027</w:t>
            </w:r>
          </w:p>
        </w:tc>
        <w:tc>
          <w:tcPr>
            <w:tcW w:w="2073" w:type="dxa"/>
            <w:vAlign w:val="center"/>
          </w:tcPr>
          <w:p w14:paraId="3FE0A88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油烟净化器，风量</w:t>
            </w:r>
            <w:r>
              <w:rPr>
                <w:rFonts w:hint="eastAsia" w:ascii="Times New Roman" w:hAnsi="Times New Roman" w:eastAsia="宋体" w:cs="Times New Roman"/>
                <w:color w:val="auto"/>
                <w:sz w:val="21"/>
                <w:szCs w:val="21"/>
                <w:highlight w:val="none"/>
                <w:u w:val="single" w:color="auto"/>
                <w:lang w:val="en-US" w:eastAsia="zh-CN"/>
              </w:rPr>
              <w:t>3</w:t>
            </w:r>
            <w:r>
              <w:rPr>
                <w:rFonts w:hint="default" w:ascii="Times New Roman" w:hAnsi="Times New Roman" w:eastAsia="宋体" w:cs="Times New Roman"/>
                <w:color w:val="auto"/>
                <w:sz w:val="21"/>
                <w:szCs w:val="21"/>
                <w:highlight w:val="none"/>
                <w:u w:val="single" w:color="auto"/>
              </w:rPr>
              <w:t>000m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/h</w:t>
            </w:r>
          </w:p>
        </w:tc>
        <w:tc>
          <w:tcPr>
            <w:tcW w:w="1465" w:type="dxa"/>
            <w:vAlign w:val="center"/>
          </w:tcPr>
          <w:p w14:paraId="5D3F0E24">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c>
          <w:tcPr>
            <w:tcW w:w="1066" w:type="dxa"/>
            <w:vAlign w:val="center"/>
          </w:tcPr>
          <w:p w14:paraId="61D6D6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000000"/>
                <w:kern w:val="0"/>
                <w:sz w:val="21"/>
                <w:szCs w:val="21"/>
                <w:highlight w:val="none"/>
                <w:u w:val="single" w:color="auto"/>
                <w:lang w:val="en-US" w:eastAsia="zh-CN" w:bidi="ar"/>
              </w:rPr>
              <w:t>0.75</w:t>
            </w:r>
          </w:p>
        </w:tc>
        <w:tc>
          <w:tcPr>
            <w:tcW w:w="1134" w:type="dxa"/>
            <w:vAlign w:val="center"/>
          </w:tcPr>
          <w:p w14:paraId="0A1635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000000"/>
                <w:kern w:val="0"/>
                <w:sz w:val="21"/>
                <w:szCs w:val="21"/>
                <w:highlight w:val="none"/>
                <w:u w:val="single" w:color="auto"/>
                <w:lang w:val="en-US" w:eastAsia="zh-CN" w:bidi="ar"/>
              </w:rPr>
              <w:t>0.00</w:t>
            </w:r>
            <w:r>
              <w:rPr>
                <w:rFonts w:hint="eastAsia" w:ascii="Times New Roman" w:hAnsi="Times New Roman" w:eastAsia="宋体" w:cs="Times New Roman"/>
                <w:i w:val="0"/>
                <w:iCs w:val="0"/>
                <w:color w:val="000000"/>
                <w:kern w:val="0"/>
                <w:sz w:val="21"/>
                <w:szCs w:val="21"/>
                <w:highlight w:val="none"/>
                <w:u w:val="single" w:color="auto"/>
                <w:lang w:val="en-US" w:eastAsia="zh-CN" w:bidi="ar"/>
              </w:rPr>
              <w:t>45</w:t>
            </w:r>
          </w:p>
        </w:tc>
        <w:tc>
          <w:tcPr>
            <w:tcW w:w="871" w:type="dxa"/>
            <w:vAlign w:val="center"/>
          </w:tcPr>
          <w:p w14:paraId="733E2D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eastAsia" w:ascii="Times New Roman" w:hAnsi="Times New Roman" w:eastAsia="宋体" w:cs="Times New Roman"/>
                <w:i w:val="0"/>
                <w:iCs w:val="0"/>
                <w:color w:val="000000"/>
                <w:kern w:val="0"/>
                <w:sz w:val="21"/>
                <w:szCs w:val="21"/>
                <w:highlight w:val="none"/>
                <w:u w:val="single" w:color="auto"/>
                <w:lang w:val="en-US" w:eastAsia="zh-CN" w:bidi="ar"/>
              </w:rPr>
              <w:t>0.0081</w:t>
            </w:r>
          </w:p>
        </w:tc>
        <w:tc>
          <w:tcPr>
            <w:tcW w:w="992" w:type="dxa"/>
            <w:vAlign w:val="center"/>
          </w:tcPr>
          <w:p w14:paraId="283339A4">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883" w:type="dxa"/>
            <w:vAlign w:val="center"/>
          </w:tcPr>
          <w:p w14:paraId="7697CED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r>
      <w:tr w14:paraId="43E8B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0" w:type="dxa"/>
            <w:gridSpan w:val="13"/>
            <w:vAlign w:val="center"/>
          </w:tcPr>
          <w:p w14:paraId="27D05DA7">
            <w:pPr>
              <w:spacing w:line="240" w:lineRule="auto"/>
              <w:jc w:val="both"/>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备注：氮氧化物去除率97%，硫酸雾去除率99%，氯化氢去除率99.5%</w:t>
            </w:r>
          </w:p>
        </w:tc>
      </w:tr>
    </w:tbl>
    <w:p w14:paraId="547B941A">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4</w:t>
      </w:r>
      <w:r>
        <w:rPr>
          <w:rFonts w:hint="default" w:ascii="Times New Roman" w:hAnsi="Times New Roman" w:eastAsia="宋体" w:cs="Times New Roman"/>
          <w:b/>
          <w:color w:val="auto"/>
          <w:sz w:val="21"/>
          <w:szCs w:val="18"/>
          <w:highlight w:val="none"/>
          <w:u w:val="none" w:color="auto"/>
        </w:rPr>
        <w:t>.4-5 运营期无组织废气排放情况一览表</w:t>
      </w:r>
    </w:p>
    <w:tbl>
      <w:tblPr>
        <w:tblStyle w:val="22"/>
        <w:tblW w:w="49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48"/>
        <w:gridCol w:w="1848"/>
        <w:gridCol w:w="1768"/>
        <w:gridCol w:w="1801"/>
        <w:gridCol w:w="1398"/>
        <w:gridCol w:w="1490"/>
        <w:gridCol w:w="1254"/>
        <w:gridCol w:w="1392"/>
        <w:gridCol w:w="1392"/>
      </w:tblGrid>
      <w:tr w14:paraId="475D8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restart"/>
            <w:vAlign w:val="center"/>
          </w:tcPr>
          <w:p w14:paraId="0097F181">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车间名称</w:t>
            </w:r>
          </w:p>
        </w:tc>
        <w:tc>
          <w:tcPr>
            <w:tcW w:w="665" w:type="pct"/>
            <w:vMerge w:val="restart"/>
            <w:vAlign w:val="center"/>
          </w:tcPr>
          <w:p w14:paraId="7FC0E6E5">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污染因子</w:t>
            </w:r>
          </w:p>
        </w:tc>
        <w:tc>
          <w:tcPr>
            <w:tcW w:w="1284" w:type="pct"/>
            <w:gridSpan w:val="2"/>
            <w:vAlign w:val="center"/>
          </w:tcPr>
          <w:p w14:paraId="5AC55DA9">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污染物产生情况</w:t>
            </w:r>
          </w:p>
        </w:tc>
        <w:tc>
          <w:tcPr>
            <w:tcW w:w="1490" w:type="pct"/>
            <w:gridSpan w:val="3"/>
            <w:vAlign w:val="center"/>
          </w:tcPr>
          <w:p w14:paraId="4F2CB236">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排放参数</w:t>
            </w:r>
          </w:p>
        </w:tc>
        <w:tc>
          <w:tcPr>
            <w:tcW w:w="1002" w:type="pct"/>
            <w:gridSpan w:val="2"/>
            <w:vAlign w:val="center"/>
          </w:tcPr>
          <w:p w14:paraId="198DFEA3">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污染物排放情况</w:t>
            </w:r>
          </w:p>
        </w:tc>
      </w:tr>
      <w:tr w14:paraId="13F9D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continue"/>
            <w:vAlign w:val="center"/>
          </w:tcPr>
          <w:p w14:paraId="2DE80378">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5" w:type="pct"/>
            <w:vMerge w:val="continue"/>
            <w:vAlign w:val="center"/>
          </w:tcPr>
          <w:p w14:paraId="56D32D3F">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36" w:type="pct"/>
            <w:vAlign w:val="center"/>
          </w:tcPr>
          <w:p w14:paraId="6A1A13C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产生量</w:t>
            </w:r>
          </w:p>
          <w:p w14:paraId="7EC8EE8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（t/a）</w:t>
            </w:r>
          </w:p>
        </w:tc>
        <w:tc>
          <w:tcPr>
            <w:tcW w:w="648" w:type="pct"/>
            <w:vAlign w:val="center"/>
          </w:tcPr>
          <w:p w14:paraId="169C8A5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产生速率</w:t>
            </w:r>
          </w:p>
          <w:p w14:paraId="5936D47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（kg/h）</w:t>
            </w:r>
          </w:p>
        </w:tc>
        <w:tc>
          <w:tcPr>
            <w:tcW w:w="503" w:type="pct"/>
            <w:vAlign w:val="center"/>
          </w:tcPr>
          <w:p w14:paraId="0A020012">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长（m）</w:t>
            </w:r>
          </w:p>
        </w:tc>
        <w:tc>
          <w:tcPr>
            <w:tcW w:w="536" w:type="pct"/>
            <w:vAlign w:val="center"/>
          </w:tcPr>
          <w:p w14:paraId="620BB83B">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宽（m）</w:t>
            </w:r>
          </w:p>
        </w:tc>
        <w:tc>
          <w:tcPr>
            <w:tcW w:w="450" w:type="pct"/>
            <w:vAlign w:val="center"/>
          </w:tcPr>
          <w:p w14:paraId="6450F37B">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高（m）</w:t>
            </w:r>
          </w:p>
        </w:tc>
        <w:tc>
          <w:tcPr>
            <w:tcW w:w="501" w:type="pct"/>
            <w:vAlign w:val="center"/>
          </w:tcPr>
          <w:p w14:paraId="6542683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排放量</w:t>
            </w:r>
          </w:p>
          <w:p w14:paraId="181BB64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（t/a）</w:t>
            </w:r>
          </w:p>
        </w:tc>
        <w:tc>
          <w:tcPr>
            <w:tcW w:w="501" w:type="pct"/>
            <w:vAlign w:val="center"/>
          </w:tcPr>
          <w:p w14:paraId="2E87CC5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排放速率（kg/h）</w:t>
            </w:r>
          </w:p>
        </w:tc>
      </w:tr>
      <w:tr w14:paraId="79DE3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restart"/>
            <w:vAlign w:val="center"/>
          </w:tcPr>
          <w:p w14:paraId="57E41FC1">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1</w:t>
            </w:r>
            <w:r>
              <w:rPr>
                <w:rFonts w:hint="default" w:ascii="Times New Roman" w:hAnsi="Times New Roman" w:cs="Times New Roman"/>
                <w:color w:val="auto"/>
                <w:sz w:val="21"/>
                <w:szCs w:val="21"/>
                <w:highlight w:val="none"/>
                <w:u w:val="none" w:color="auto"/>
              </w:rPr>
              <w:t>#厂房</w:t>
            </w:r>
          </w:p>
        </w:tc>
        <w:tc>
          <w:tcPr>
            <w:tcW w:w="665" w:type="pct"/>
            <w:vAlign w:val="center"/>
          </w:tcPr>
          <w:p w14:paraId="29B149BF">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氯化氢</w:t>
            </w:r>
          </w:p>
        </w:tc>
        <w:tc>
          <w:tcPr>
            <w:tcW w:w="636" w:type="pct"/>
            <w:vAlign w:val="center"/>
          </w:tcPr>
          <w:p w14:paraId="2485CA68">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w:t>
            </w:r>
          </w:p>
        </w:tc>
        <w:tc>
          <w:tcPr>
            <w:tcW w:w="648" w:type="pct"/>
            <w:vAlign w:val="center"/>
          </w:tcPr>
          <w:p w14:paraId="6D60E25A">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503" w:type="pct"/>
            <w:vMerge w:val="restart"/>
            <w:vAlign w:val="center"/>
          </w:tcPr>
          <w:p w14:paraId="4FE0486B">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59</w:t>
            </w:r>
          </w:p>
        </w:tc>
        <w:tc>
          <w:tcPr>
            <w:tcW w:w="536" w:type="pct"/>
            <w:vMerge w:val="restart"/>
            <w:vAlign w:val="center"/>
          </w:tcPr>
          <w:p w14:paraId="29071362">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67</w:t>
            </w:r>
          </w:p>
        </w:tc>
        <w:tc>
          <w:tcPr>
            <w:tcW w:w="450" w:type="pct"/>
            <w:vMerge w:val="restart"/>
            <w:vAlign w:val="center"/>
          </w:tcPr>
          <w:p w14:paraId="4ED0B25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15</w:t>
            </w:r>
          </w:p>
        </w:tc>
        <w:tc>
          <w:tcPr>
            <w:tcW w:w="501" w:type="pct"/>
            <w:vAlign w:val="center"/>
          </w:tcPr>
          <w:p w14:paraId="429A2652">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w:t>
            </w:r>
          </w:p>
        </w:tc>
        <w:tc>
          <w:tcPr>
            <w:tcW w:w="501" w:type="pct"/>
            <w:vAlign w:val="center"/>
          </w:tcPr>
          <w:p w14:paraId="1EE0D693">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r>
      <w:tr w14:paraId="1AEC7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continue"/>
            <w:vAlign w:val="center"/>
          </w:tcPr>
          <w:p w14:paraId="01E45A38">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5" w:type="pct"/>
            <w:vAlign w:val="center"/>
          </w:tcPr>
          <w:p w14:paraId="30206E1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硫酸雾</w:t>
            </w:r>
          </w:p>
        </w:tc>
        <w:tc>
          <w:tcPr>
            <w:tcW w:w="636" w:type="pct"/>
            <w:vAlign w:val="center"/>
          </w:tcPr>
          <w:p w14:paraId="55753C82">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0.044</w:t>
            </w:r>
          </w:p>
        </w:tc>
        <w:tc>
          <w:tcPr>
            <w:tcW w:w="648" w:type="pct"/>
            <w:vAlign w:val="center"/>
          </w:tcPr>
          <w:p w14:paraId="757D8964">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w:t>
            </w:r>
          </w:p>
        </w:tc>
        <w:tc>
          <w:tcPr>
            <w:tcW w:w="503" w:type="pct"/>
            <w:vMerge w:val="continue"/>
            <w:vAlign w:val="center"/>
          </w:tcPr>
          <w:p w14:paraId="4AEEB7E4">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36" w:type="pct"/>
            <w:vMerge w:val="continue"/>
            <w:vAlign w:val="center"/>
          </w:tcPr>
          <w:p w14:paraId="506FA7BD">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50" w:type="pct"/>
            <w:vMerge w:val="continue"/>
            <w:vAlign w:val="center"/>
          </w:tcPr>
          <w:p w14:paraId="6D429206">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01" w:type="pct"/>
            <w:vAlign w:val="center"/>
          </w:tcPr>
          <w:p w14:paraId="4530A8FD">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0.044</w:t>
            </w:r>
          </w:p>
        </w:tc>
        <w:tc>
          <w:tcPr>
            <w:tcW w:w="501" w:type="pct"/>
            <w:vAlign w:val="center"/>
          </w:tcPr>
          <w:p w14:paraId="1DFA681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w:t>
            </w:r>
          </w:p>
        </w:tc>
      </w:tr>
      <w:tr w14:paraId="6EA865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continue"/>
            <w:vAlign w:val="center"/>
          </w:tcPr>
          <w:p w14:paraId="5498440B">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5" w:type="pct"/>
            <w:vAlign w:val="center"/>
          </w:tcPr>
          <w:p w14:paraId="3BD3D398">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氮氧化物</w:t>
            </w:r>
          </w:p>
        </w:tc>
        <w:tc>
          <w:tcPr>
            <w:tcW w:w="636" w:type="pct"/>
            <w:vAlign w:val="center"/>
          </w:tcPr>
          <w:p w14:paraId="7396F08E">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w:t>
            </w:r>
          </w:p>
        </w:tc>
        <w:tc>
          <w:tcPr>
            <w:tcW w:w="648" w:type="pct"/>
            <w:vAlign w:val="center"/>
          </w:tcPr>
          <w:p w14:paraId="77353A65">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503" w:type="pct"/>
            <w:vMerge w:val="continue"/>
            <w:vAlign w:val="center"/>
          </w:tcPr>
          <w:p w14:paraId="004F76E7">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36" w:type="pct"/>
            <w:vMerge w:val="continue"/>
            <w:vAlign w:val="center"/>
          </w:tcPr>
          <w:p w14:paraId="55A17B6C">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50" w:type="pct"/>
            <w:vMerge w:val="continue"/>
            <w:vAlign w:val="center"/>
          </w:tcPr>
          <w:p w14:paraId="2D21DA3F">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01" w:type="pct"/>
            <w:vAlign w:val="center"/>
          </w:tcPr>
          <w:p w14:paraId="72310E0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w:t>
            </w:r>
          </w:p>
        </w:tc>
        <w:tc>
          <w:tcPr>
            <w:tcW w:w="501" w:type="pct"/>
            <w:vAlign w:val="center"/>
          </w:tcPr>
          <w:p w14:paraId="60E41BA4">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r>
      <w:tr w14:paraId="26150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continue"/>
            <w:vAlign w:val="center"/>
          </w:tcPr>
          <w:p w14:paraId="6094B320">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5" w:type="pct"/>
            <w:vAlign w:val="center"/>
          </w:tcPr>
          <w:p w14:paraId="29B7F140">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颗粒物</w:t>
            </w:r>
          </w:p>
        </w:tc>
        <w:tc>
          <w:tcPr>
            <w:tcW w:w="636" w:type="pct"/>
            <w:vAlign w:val="center"/>
          </w:tcPr>
          <w:p w14:paraId="128FAD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0.825</w:t>
            </w:r>
          </w:p>
        </w:tc>
        <w:tc>
          <w:tcPr>
            <w:tcW w:w="648" w:type="pct"/>
            <w:vAlign w:val="center"/>
          </w:tcPr>
          <w:p w14:paraId="505EF3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0.115</w:t>
            </w:r>
          </w:p>
        </w:tc>
        <w:tc>
          <w:tcPr>
            <w:tcW w:w="503" w:type="pct"/>
            <w:vMerge w:val="continue"/>
            <w:vAlign w:val="center"/>
          </w:tcPr>
          <w:p w14:paraId="1BFA918E">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36" w:type="pct"/>
            <w:vMerge w:val="continue"/>
            <w:vAlign w:val="center"/>
          </w:tcPr>
          <w:p w14:paraId="5B34A487">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50" w:type="pct"/>
            <w:vMerge w:val="continue"/>
            <w:vAlign w:val="center"/>
          </w:tcPr>
          <w:p w14:paraId="27E27763">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01" w:type="pct"/>
            <w:vAlign w:val="center"/>
          </w:tcPr>
          <w:p w14:paraId="3F831E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0.825</w:t>
            </w:r>
          </w:p>
        </w:tc>
        <w:tc>
          <w:tcPr>
            <w:tcW w:w="501" w:type="pct"/>
            <w:vAlign w:val="center"/>
          </w:tcPr>
          <w:p w14:paraId="7E3318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0.115</w:t>
            </w:r>
          </w:p>
        </w:tc>
      </w:tr>
      <w:tr w14:paraId="5547A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restart"/>
            <w:vAlign w:val="center"/>
          </w:tcPr>
          <w:p w14:paraId="6A3977F2">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2</w:t>
            </w:r>
            <w:r>
              <w:rPr>
                <w:rFonts w:hint="default" w:ascii="Times New Roman" w:hAnsi="Times New Roman" w:cs="Times New Roman"/>
                <w:color w:val="auto"/>
                <w:sz w:val="21"/>
                <w:szCs w:val="21"/>
                <w:highlight w:val="none"/>
                <w:u w:val="none" w:color="auto"/>
              </w:rPr>
              <w:t>#厂房</w:t>
            </w:r>
          </w:p>
        </w:tc>
        <w:tc>
          <w:tcPr>
            <w:tcW w:w="665" w:type="pct"/>
            <w:vAlign w:val="center"/>
          </w:tcPr>
          <w:p w14:paraId="1B1BE521">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氯化氢</w:t>
            </w:r>
          </w:p>
        </w:tc>
        <w:tc>
          <w:tcPr>
            <w:tcW w:w="636" w:type="pct"/>
            <w:vAlign w:val="center"/>
          </w:tcPr>
          <w:p w14:paraId="516ACB0E">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w:t>
            </w:r>
          </w:p>
        </w:tc>
        <w:tc>
          <w:tcPr>
            <w:tcW w:w="648" w:type="pct"/>
            <w:vAlign w:val="center"/>
          </w:tcPr>
          <w:p w14:paraId="4A2BDCCF">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503" w:type="pct"/>
            <w:vMerge w:val="restart"/>
            <w:vAlign w:val="center"/>
          </w:tcPr>
          <w:p w14:paraId="248541C5">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59</w:t>
            </w:r>
          </w:p>
        </w:tc>
        <w:tc>
          <w:tcPr>
            <w:tcW w:w="536" w:type="pct"/>
            <w:vMerge w:val="restart"/>
            <w:vAlign w:val="center"/>
          </w:tcPr>
          <w:p w14:paraId="315DF84A">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67</w:t>
            </w:r>
          </w:p>
        </w:tc>
        <w:tc>
          <w:tcPr>
            <w:tcW w:w="450" w:type="pct"/>
            <w:vMerge w:val="restart"/>
            <w:vAlign w:val="center"/>
          </w:tcPr>
          <w:p w14:paraId="4D957CB2">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15</w:t>
            </w:r>
          </w:p>
        </w:tc>
        <w:tc>
          <w:tcPr>
            <w:tcW w:w="501" w:type="pct"/>
            <w:vAlign w:val="center"/>
          </w:tcPr>
          <w:p w14:paraId="62DD8C4D">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w:t>
            </w:r>
          </w:p>
        </w:tc>
        <w:tc>
          <w:tcPr>
            <w:tcW w:w="501" w:type="pct"/>
            <w:vAlign w:val="center"/>
          </w:tcPr>
          <w:p w14:paraId="03917DEC">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r>
      <w:tr w14:paraId="57F20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continue"/>
            <w:vAlign w:val="center"/>
          </w:tcPr>
          <w:p w14:paraId="5F742FBE">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5" w:type="pct"/>
            <w:vAlign w:val="center"/>
          </w:tcPr>
          <w:p w14:paraId="304292DF">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eastAsia="zh-CN"/>
              </w:rPr>
              <w:t>硫酸雾</w:t>
            </w:r>
          </w:p>
        </w:tc>
        <w:tc>
          <w:tcPr>
            <w:tcW w:w="636" w:type="pct"/>
            <w:vAlign w:val="center"/>
          </w:tcPr>
          <w:p w14:paraId="6640011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0.026</w:t>
            </w:r>
          </w:p>
        </w:tc>
        <w:tc>
          <w:tcPr>
            <w:tcW w:w="648" w:type="pct"/>
            <w:vAlign w:val="center"/>
          </w:tcPr>
          <w:p w14:paraId="1114EBC7">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0.004</w:t>
            </w:r>
          </w:p>
        </w:tc>
        <w:tc>
          <w:tcPr>
            <w:tcW w:w="503" w:type="pct"/>
            <w:vMerge w:val="continue"/>
            <w:vAlign w:val="center"/>
          </w:tcPr>
          <w:p w14:paraId="2B0BC2CC">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36" w:type="pct"/>
            <w:vMerge w:val="continue"/>
            <w:vAlign w:val="center"/>
          </w:tcPr>
          <w:p w14:paraId="55F1FDA4">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50" w:type="pct"/>
            <w:vMerge w:val="continue"/>
            <w:vAlign w:val="center"/>
          </w:tcPr>
          <w:p w14:paraId="2418FF93">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01" w:type="pct"/>
            <w:vAlign w:val="center"/>
          </w:tcPr>
          <w:p w14:paraId="51A1AEA2">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0.026</w:t>
            </w:r>
          </w:p>
        </w:tc>
        <w:tc>
          <w:tcPr>
            <w:tcW w:w="501" w:type="pct"/>
            <w:vAlign w:val="center"/>
          </w:tcPr>
          <w:p w14:paraId="538221B7">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0.004</w:t>
            </w:r>
          </w:p>
        </w:tc>
      </w:tr>
      <w:tr w14:paraId="71B287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continue"/>
            <w:vAlign w:val="center"/>
          </w:tcPr>
          <w:p w14:paraId="48FF5EDD">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5" w:type="pct"/>
            <w:vAlign w:val="center"/>
          </w:tcPr>
          <w:p w14:paraId="0558ED9A">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氮氧化物</w:t>
            </w:r>
          </w:p>
        </w:tc>
        <w:tc>
          <w:tcPr>
            <w:tcW w:w="636" w:type="pct"/>
            <w:vAlign w:val="center"/>
          </w:tcPr>
          <w:p w14:paraId="2D2C0991">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0.016</w:t>
            </w:r>
          </w:p>
        </w:tc>
        <w:tc>
          <w:tcPr>
            <w:tcW w:w="648" w:type="pct"/>
            <w:vAlign w:val="center"/>
          </w:tcPr>
          <w:p w14:paraId="68043434">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0.002</w:t>
            </w:r>
          </w:p>
        </w:tc>
        <w:tc>
          <w:tcPr>
            <w:tcW w:w="503" w:type="pct"/>
            <w:vMerge w:val="continue"/>
            <w:vAlign w:val="center"/>
          </w:tcPr>
          <w:p w14:paraId="7765D0E6">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36" w:type="pct"/>
            <w:vMerge w:val="continue"/>
            <w:vAlign w:val="center"/>
          </w:tcPr>
          <w:p w14:paraId="6DDDCAEF">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50" w:type="pct"/>
            <w:vMerge w:val="continue"/>
            <w:vAlign w:val="center"/>
          </w:tcPr>
          <w:p w14:paraId="2B9BF214">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01" w:type="pct"/>
            <w:vAlign w:val="center"/>
          </w:tcPr>
          <w:p w14:paraId="3A594105">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0.016</w:t>
            </w:r>
          </w:p>
        </w:tc>
        <w:tc>
          <w:tcPr>
            <w:tcW w:w="501" w:type="pct"/>
            <w:vAlign w:val="center"/>
          </w:tcPr>
          <w:p w14:paraId="09F88166">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0.002</w:t>
            </w:r>
          </w:p>
        </w:tc>
      </w:tr>
      <w:tr w14:paraId="27134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continue"/>
            <w:vAlign w:val="center"/>
          </w:tcPr>
          <w:p w14:paraId="5E098093">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5" w:type="pct"/>
            <w:vAlign w:val="center"/>
          </w:tcPr>
          <w:p w14:paraId="3BB305CD">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非甲烷总烃</w:t>
            </w:r>
          </w:p>
        </w:tc>
        <w:tc>
          <w:tcPr>
            <w:tcW w:w="636" w:type="pct"/>
            <w:vAlign w:val="center"/>
          </w:tcPr>
          <w:p w14:paraId="6D1170AA">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0.011</w:t>
            </w:r>
          </w:p>
        </w:tc>
        <w:tc>
          <w:tcPr>
            <w:tcW w:w="648" w:type="pct"/>
            <w:vAlign w:val="center"/>
          </w:tcPr>
          <w:p w14:paraId="6678251D">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0.005</w:t>
            </w:r>
          </w:p>
        </w:tc>
        <w:tc>
          <w:tcPr>
            <w:tcW w:w="503" w:type="pct"/>
            <w:vMerge w:val="continue"/>
            <w:vAlign w:val="center"/>
          </w:tcPr>
          <w:p w14:paraId="0A34B241">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36" w:type="pct"/>
            <w:vMerge w:val="continue"/>
            <w:vAlign w:val="center"/>
          </w:tcPr>
          <w:p w14:paraId="1A49803D">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50" w:type="pct"/>
            <w:vMerge w:val="continue"/>
            <w:vAlign w:val="center"/>
          </w:tcPr>
          <w:p w14:paraId="6DAB30A7">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01" w:type="pct"/>
            <w:vAlign w:val="center"/>
          </w:tcPr>
          <w:p w14:paraId="2892BAC9">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0.011</w:t>
            </w:r>
          </w:p>
        </w:tc>
        <w:tc>
          <w:tcPr>
            <w:tcW w:w="501" w:type="pct"/>
            <w:vAlign w:val="center"/>
          </w:tcPr>
          <w:p w14:paraId="6CFC9772">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0.005</w:t>
            </w:r>
          </w:p>
        </w:tc>
      </w:tr>
      <w:tr w14:paraId="16B4E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7" w:type="pct"/>
            <w:vMerge w:val="continue"/>
            <w:vAlign w:val="center"/>
          </w:tcPr>
          <w:p w14:paraId="666840DA">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665" w:type="pct"/>
            <w:vAlign w:val="center"/>
          </w:tcPr>
          <w:p w14:paraId="1CCADF3B">
            <w:pPr>
              <w:pStyle w:val="34"/>
              <w:spacing w:line="240" w:lineRule="auto"/>
              <w:ind w:firstLine="0" w:firstLineChars="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颗粒物</w:t>
            </w:r>
          </w:p>
        </w:tc>
        <w:tc>
          <w:tcPr>
            <w:tcW w:w="636" w:type="pct"/>
            <w:vAlign w:val="center"/>
          </w:tcPr>
          <w:p w14:paraId="78DDA665">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0.825</w:t>
            </w:r>
          </w:p>
        </w:tc>
        <w:tc>
          <w:tcPr>
            <w:tcW w:w="648" w:type="pct"/>
            <w:vAlign w:val="center"/>
          </w:tcPr>
          <w:p w14:paraId="291292B2">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0.115</w:t>
            </w:r>
          </w:p>
        </w:tc>
        <w:tc>
          <w:tcPr>
            <w:tcW w:w="503" w:type="pct"/>
            <w:vMerge w:val="continue"/>
            <w:vAlign w:val="center"/>
          </w:tcPr>
          <w:p w14:paraId="1965C43D">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36" w:type="pct"/>
            <w:vMerge w:val="continue"/>
            <w:vAlign w:val="center"/>
          </w:tcPr>
          <w:p w14:paraId="3AF13ACF">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450" w:type="pct"/>
            <w:vMerge w:val="continue"/>
            <w:vAlign w:val="center"/>
          </w:tcPr>
          <w:p w14:paraId="6EE85F13">
            <w:pPr>
              <w:pStyle w:val="34"/>
              <w:spacing w:line="240" w:lineRule="auto"/>
              <w:ind w:firstLine="0" w:firstLineChars="0"/>
              <w:jc w:val="center"/>
              <w:rPr>
                <w:rFonts w:hint="default" w:ascii="Times New Roman" w:hAnsi="Times New Roman" w:cs="Times New Roman"/>
                <w:color w:val="auto"/>
                <w:sz w:val="21"/>
                <w:szCs w:val="21"/>
                <w:highlight w:val="none"/>
                <w:u w:val="none" w:color="auto"/>
              </w:rPr>
            </w:pPr>
          </w:p>
        </w:tc>
        <w:tc>
          <w:tcPr>
            <w:tcW w:w="501" w:type="pct"/>
            <w:vAlign w:val="center"/>
          </w:tcPr>
          <w:p w14:paraId="3D352E0E">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0.825</w:t>
            </w:r>
          </w:p>
        </w:tc>
        <w:tc>
          <w:tcPr>
            <w:tcW w:w="501" w:type="pct"/>
            <w:vAlign w:val="center"/>
          </w:tcPr>
          <w:p w14:paraId="370EA5C9">
            <w:pPr>
              <w:keepNext w:val="0"/>
              <w:keepLines w:val="0"/>
              <w:widowControl/>
              <w:suppressLineNumbers w:val="0"/>
              <w:jc w:val="center"/>
              <w:textAlignment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0.115</w:t>
            </w:r>
          </w:p>
        </w:tc>
      </w:tr>
    </w:tbl>
    <w:p w14:paraId="79623595">
      <w:pPr>
        <w:ind w:firstLine="560" w:firstLineChars="200"/>
        <w:rPr>
          <w:rFonts w:hint="default" w:ascii="Times New Roman" w:hAnsi="Times New Roman" w:cs="Times New Roman"/>
          <w:color w:val="auto"/>
          <w:highlight w:val="none"/>
          <w:u w:val="none" w:color="auto"/>
        </w:rPr>
      </w:pPr>
    </w:p>
    <w:p w14:paraId="677C2465">
      <w:pPr>
        <w:widowControl/>
        <w:spacing w:line="240" w:lineRule="auto"/>
        <w:jc w:val="both"/>
        <w:rPr>
          <w:rFonts w:hint="default" w:ascii="Times New Roman" w:hAnsi="Times New Roman" w:cs="Times New Roman"/>
          <w:color w:val="auto"/>
          <w:highlight w:val="none"/>
          <w:u w:val="none" w:color="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AndChars" w:linePitch="312" w:charSpace="0"/>
        </w:sectPr>
      </w:pPr>
    </w:p>
    <w:p w14:paraId="6ECB5E01">
      <w:pPr>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4.4.1.4基准排气量及排放达标分析</w:t>
      </w:r>
    </w:p>
    <w:p w14:paraId="3E4392F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本项目氯化氢、硫酸雾</w:t>
      </w:r>
      <w:r>
        <w:rPr>
          <w:rFonts w:hint="default" w:ascii="Times New Roman" w:hAnsi="Times New Roman" w:eastAsia="宋体" w:cs="Times New Roman"/>
          <w:color w:val="auto"/>
          <w:sz w:val="24"/>
          <w:szCs w:val="24"/>
          <w:highlight w:val="none"/>
          <w:u w:val="none" w:color="auto"/>
          <w:lang w:eastAsia="zh-CN"/>
        </w:rPr>
        <w:t>、氮氧化物</w:t>
      </w:r>
      <w:r>
        <w:rPr>
          <w:rFonts w:hint="default" w:ascii="Times New Roman" w:hAnsi="Times New Roman" w:eastAsia="宋体" w:cs="Times New Roman"/>
          <w:color w:val="auto"/>
          <w:sz w:val="24"/>
          <w:szCs w:val="24"/>
          <w:highlight w:val="none"/>
          <w:u w:val="none" w:color="auto"/>
        </w:rPr>
        <w:t>主要来源于各生产线预处理中的活化</w:t>
      </w:r>
      <w:r>
        <w:rPr>
          <w:rFonts w:hint="default" w:ascii="Times New Roman" w:hAnsi="Times New Roman" w:eastAsia="宋体" w:cs="Times New Roman"/>
          <w:color w:val="auto"/>
          <w:sz w:val="24"/>
          <w:szCs w:val="24"/>
          <w:highlight w:val="none"/>
          <w:u w:val="none" w:color="auto"/>
          <w:lang w:eastAsia="zh-CN"/>
        </w:rPr>
        <w:t>、出光</w:t>
      </w:r>
      <w:r>
        <w:rPr>
          <w:rFonts w:hint="default" w:ascii="Times New Roman" w:hAnsi="Times New Roman" w:eastAsia="宋体" w:cs="Times New Roman"/>
          <w:color w:val="auto"/>
          <w:sz w:val="24"/>
          <w:szCs w:val="24"/>
          <w:highlight w:val="none"/>
          <w:u w:val="none" w:color="auto"/>
        </w:rPr>
        <w:t>等</w:t>
      </w:r>
      <w:r>
        <w:rPr>
          <w:rFonts w:hint="default" w:ascii="Times New Roman" w:hAnsi="Times New Roman" w:eastAsia="宋体" w:cs="Times New Roman"/>
          <w:color w:val="auto"/>
          <w:sz w:val="24"/>
          <w:szCs w:val="24"/>
          <w:highlight w:val="none"/>
          <w:u w:val="none" w:color="auto"/>
          <w:lang w:eastAsia="zh-CN"/>
        </w:rPr>
        <w:t>工序以及退镀线退镀</w:t>
      </w:r>
      <w:r>
        <w:rPr>
          <w:rFonts w:hint="default" w:ascii="Times New Roman" w:hAnsi="Times New Roman" w:eastAsia="宋体" w:cs="Times New Roman"/>
          <w:color w:val="auto"/>
          <w:sz w:val="24"/>
          <w:szCs w:val="24"/>
          <w:highlight w:val="none"/>
          <w:u w:val="none" w:color="auto"/>
        </w:rPr>
        <w:t>。</w:t>
      </w:r>
    </w:p>
    <w:p w14:paraId="396066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电镀污染物排放标准》（GB21900-2008），若单位产品实际排放量超过单位产品基准排气量时，则须将实测大气污染物浓度换算为大气污染物基准气量排放浓度，并以大气污染物基准气量排放浓度作为判定排放是否达标的依据。排气换算参照排水换算的公式，排水换算公式如下：</w:t>
      </w:r>
    </w:p>
    <w:p w14:paraId="18A1442F">
      <w:pPr>
        <w:pStyle w:val="10"/>
        <w:widowControl/>
        <w:spacing w:after="0" w:line="240" w:lineRule="auto"/>
        <w:ind w:firstLine="482"/>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drawing>
          <wp:inline distT="0" distB="0" distL="0" distR="0">
            <wp:extent cx="2019300" cy="742950"/>
            <wp:effectExtent l="0" t="0" r="0" b="0"/>
            <wp:docPr id="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44221" cy="752746"/>
                    </a:xfrm>
                    <a:prstGeom prst="rect">
                      <a:avLst/>
                    </a:prstGeom>
                    <a:noFill/>
                    <a:ln>
                      <a:noFill/>
                    </a:ln>
                  </pic:spPr>
                </pic:pic>
              </a:graphicData>
            </a:graphic>
          </wp:inline>
        </w:drawing>
      </w:r>
    </w:p>
    <w:p w14:paraId="172702AC">
      <w:pPr>
        <w:pStyle w:val="10"/>
        <w:widowControl/>
        <w:spacing w:line="360" w:lineRule="auto"/>
        <w:ind w:firstLine="48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drawing>
          <wp:inline distT="0" distB="0" distL="0" distR="0">
            <wp:extent cx="2154555" cy="1386205"/>
            <wp:effectExtent l="0" t="0" r="17145" b="4445"/>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246" cy="1397004"/>
                    </a:xfrm>
                    <a:prstGeom prst="rect">
                      <a:avLst/>
                    </a:prstGeom>
                    <a:noFill/>
                    <a:ln>
                      <a:noFill/>
                    </a:ln>
                  </pic:spPr>
                </pic:pic>
              </a:graphicData>
            </a:graphic>
          </wp:inline>
        </w:drawing>
      </w:r>
    </w:p>
    <w:p w14:paraId="077DD9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项目单位基准排气量情况达标情况及达标浓度换算情况详见下表：</w:t>
      </w:r>
    </w:p>
    <w:p w14:paraId="5E97F708">
      <w:pPr>
        <w:jc w:val="center"/>
        <w:rPr>
          <w:rFonts w:hint="default" w:ascii="Times New Roman" w:hAnsi="Times New Roman" w:cs="Times New Roman"/>
          <w:b/>
          <w:color w:val="auto"/>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bookmarkStart w:id="38" w:name="_Hlk72082711"/>
    </w:p>
    <w:p w14:paraId="5F83E6E5">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4</w:t>
      </w:r>
      <w:r>
        <w:rPr>
          <w:rFonts w:hint="default" w:ascii="Times New Roman" w:hAnsi="Times New Roman" w:eastAsia="宋体" w:cs="Times New Roman"/>
          <w:b/>
          <w:color w:val="auto"/>
          <w:sz w:val="21"/>
          <w:szCs w:val="18"/>
          <w:highlight w:val="none"/>
          <w:u w:val="none" w:color="auto"/>
        </w:rPr>
        <w:t>.4-</w:t>
      </w:r>
      <w:r>
        <w:rPr>
          <w:rFonts w:hint="default" w:ascii="Times New Roman" w:hAnsi="Times New Roman" w:eastAsia="宋体" w:cs="Times New Roman"/>
          <w:b/>
          <w:color w:val="auto"/>
          <w:sz w:val="21"/>
          <w:szCs w:val="18"/>
          <w:highlight w:val="none"/>
          <w:u w:val="none" w:color="auto"/>
          <w:lang w:val="en-US" w:eastAsia="zh-CN"/>
        </w:rPr>
        <w:t xml:space="preserve">6 </w:t>
      </w:r>
      <w:r>
        <w:rPr>
          <w:rFonts w:hint="default" w:ascii="Times New Roman" w:hAnsi="Times New Roman" w:eastAsia="宋体" w:cs="Times New Roman"/>
          <w:b/>
          <w:color w:val="auto"/>
          <w:sz w:val="21"/>
          <w:szCs w:val="18"/>
          <w:highlight w:val="none"/>
          <w:u w:val="none" w:color="auto"/>
        </w:rPr>
        <w:t>各生产线基准排气量、达标浓度换算表</w:t>
      </w:r>
    </w:p>
    <w:bookmarkEnd w:id="38"/>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1281"/>
        <w:gridCol w:w="1442"/>
        <w:gridCol w:w="1442"/>
        <w:gridCol w:w="1442"/>
        <w:gridCol w:w="1441"/>
        <w:gridCol w:w="1326"/>
        <w:gridCol w:w="1514"/>
        <w:gridCol w:w="1324"/>
      </w:tblGrid>
      <w:tr w14:paraId="78763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shd w:val="clear" w:color="auto" w:fill="auto"/>
            <w:noWrap/>
            <w:vAlign w:val="center"/>
          </w:tcPr>
          <w:p w14:paraId="110B36B8">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工艺种类</w:t>
            </w:r>
          </w:p>
        </w:tc>
        <w:tc>
          <w:tcPr>
            <w:tcW w:w="1281" w:type="dxa"/>
            <w:vAlign w:val="center"/>
          </w:tcPr>
          <w:p w14:paraId="37412E1D">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污染物</w:t>
            </w:r>
          </w:p>
        </w:tc>
        <w:tc>
          <w:tcPr>
            <w:tcW w:w="1442" w:type="dxa"/>
            <w:shd w:val="clear" w:color="auto" w:fill="auto"/>
            <w:vAlign w:val="center"/>
          </w:tcPr>
          <w:p w14:paraId="518F70BE">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实际排气量（万m</w:t>
            </w:r>
            <w:r>
              <w:rPr>
                <w:rFonts w:hint="default" w:ascii="Times New Roman" w:hAnsi="Times New Roman" w:eastAsia="宋体" w:cs="Times New Roman"/>
                <w:color w:val="auto"/>
                <w:kern w:val="0"/>
                <w:sz w:val="21"/>
                <w:szCs w:val="21"/>
                <w:highlight w:val="none"/>
                <w:u w:val="none" w:color="auto"/>
                <w:vertAlign w:val="superscript"/>
              </w:rPr>
              <w:t>3</w:t>
            </w:r>
            <w:r>
              <w:rPr>
                <w:rFonts w:hint="default" w:ascii="Times New Roman" w:hAnsi="Times New Roman" w:eastAsia="宋体" w:cs="Times New Roman"/>
                <w:color w:val="auto"/>
                <w:kern w:val="0"/>
                <w:sz w:val="21"/>
                <w:szCs w:val="21"/>
                <w:highlight w:val="none"/>
                <w:u w:val="none" w:color="auto"/>
              </w:rPr>
              <w:t>/a）</w:t>
            </w:r>
          </w:p>
        </w:tc>
        <w:tc>
          <w:tcPr>
            <w:tcW w:w="1442" w:type="dxa"/>
            <w:shd w:val="clear" w:color="auto" w:fill="auto"/>
            <w:vAlign w:val="center"/>
          </w:tcPr>
          <w:p w14:paraId="323695FB">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产品面积</w:t>
            </w:r>
          </w:p>
          <w:p w14:paraId="2EAC1E7C">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（万m</w:t>
            </w:r>
            <w:r>
              <w:rPr>
                <w:rFonts w:hint="default" w:ascii="Times New Roman" w:hAnsi="Times New Roman" w:eastAsia="宋体" w:cs="Times New Roman"/>
                <w:color w:val="auto"/>
                <w:kern w:val="0"/>
                <w:sz w:val="21"/>
                <w:szCs w:val="21"/>
                <w:highlight w:val="none"/>
                <w:u w:val="none" w:color="auto"/>
                <w:vertAlign w:val="superscript"/>
              </w:rPr>
              <w:t>2</w:t>
            </w:r>
            <w:r>
              <w:rPr>
                <w:rFonts w:hint="default" w:ascii="Times New Roman" w:hAnsi="Times New Roman" w:eastAsia="宋体" w:cs="Times New Roman"/>
                <w:color w:val="auto"/>
                <w:kern w:val="0"/>
                <w:sz w:val="21"/>
                <w:szCs w:val="21"/>
                <w:highlight w:val="none"/>
                <w:u w:val="none" w:color="auto"/>
              </w:rPr>
              <w:t>/a）</w:t>
            </w:r>
          </w:p>
        </w:tc>
        <w:tc>
          <w:tcPr>
            <w:tcW w:w="1442" w:type="dxa"/>
            <w:shd w:val="clear" w:color="auto" w:fill="auto"/>
            <w:vAlign w:val="center"/>
          </w:tcPr>
          <w:p w14:paraId="33C1EBA3">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实际产品基准排气量（m</w:t>
            </w:r>
            <w:r>
              <w:rPr>
                <w:rFonts w:hint="default" w:ascii="Times New Roman" w:hAnsi="Times New Roman" w:eastAsia="宋体" w:cs="Times New Roman"/>
                <w:color w:val="auto"/>
                <w:kern w:val="0"/>
                <w:sz w:val="21"/>
                <w:szCs w:val="21"/>
                <w:highlight w:val="none"/>
                <w:u w:val="none" w:color="auto"/>
                <w:vertAlign w:val="superscript"/>
              </w:rPr>
              <w:t>3</w:t>
            </w:r>
            <w:r>
              <w:rPr>
                <w:rFonts w:hint="default" w:ascii="Times New Roman" w:hAnsi="Times New Roman" w:eastAsia="宋体" w:cs="Times New Roman"/>
                <w:color w:val="auto"/>
                <w:kern w:val="0"/>
                <w:sz w:val="21"/>
                <w:szCs w:val="21"/>
                <w:highlight w:val="none"/>
                <w:u w:val="none" w:color="auto"/>
              </w:rPr>
              <w:t>/m</w:t>
            </w:r>
            <w:r>
              <w:rPr>
                <w:rFonts w:hint="default" w:ascii="Times New Roman" w:hAnsi="Times New Roman" w:eastAsia="宋体" w:cs="Times New Roman"/>
                <w:color w:val="auto"/>
                <w:kern w:val="0"/>
                <w:sz w:val="21"/>
                <w:szCs w:val="21"/>
                <w:highlight w:val="none"/>
                <w:u w:val="none" w:color="auto"/>
                <w:vertAlign w:val="superscript"/>
              </w:rPr>
              <w:t>2</w:t>
            </w:r>
            <w:r>
              <w:rPr>
                <w:rFonts w:hint="default" w:ascii="Times New Roman" w:hAnsi="Times New Roman" w:eastAsia="宋体" w:cs="Times New Roman"/>
                <w:color w:val="auto"/>
                <w:kern w:val="0"/>
                <w:sz w:val="21"/>
                <w:szCs w:val="21"/>
                <w:highlight w:val="none"/>
                <w:u w:val="none" w:color="auto"/>
              </w:rPr>
              <w:t>）</w:t>
            </w:r>
          </w:p>
        </w:tc>
        <w:tc>
          <w:tcPr>
            <w:tcW w:w="1441" w:type="dxa"/>
            <w:shd w:val="clear" w:color="auto" w:fill="auto"/>
            <w:vAlign w:val="center"/>
          </w:tcPr>
          <w:p w14:paraId="468FB186">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单位产品基准排气量（m</w:t>
            </w:r>
            <w:r>
              <w:rPr>
                <w:rFonts w:hint="default" w:ascii="Times New Roman" w:hAnsi="Times New Roman" w:eastAsia="宋体" w:cs="Times New Roman"/>
                <w:color w:val="auto"/>
                <w:kern w:val="0"/>
                <w:sz w:val="21"/>
                <w:szCs w:val="21"/>
                <w:highlight w:val="none"/>
                <w:u w:val="none" w:color="auto"/>
                <w:vertAlign w:val="superscript"/>
              </w:rPr>
              <w:t>3</w:t>
            </w:r>
            <w:r>
              <w:rPr>
                <w:rFonts w:hint="default" w:ascii="Times New Roman" w:hAnsi="Times New Roman" w:eastAsia="宋体" w:cs="Times New Roman"/>
                <w:color w:val="auto"/>
                <w:kern w:val="0"/>
                <w:sz w:val="21"/>
                <w:szCs w:val="21"/>
                <w:highlight w:val="none"/>
                <w:u w:val="none" w:color="auto"/>
              </w:rPr>
              <w:t>/m</w:t>
            </w:r>
            <w:r>
              <w:rPr>
                <w:rFonts w:hint="default" w:ascii="Times New Roman" w:hAnsi="Times New Roman" w:eastAsia="宋体" w:cs="Times New Roman"/>
                <w:color w:val="auto"/>
                <w:kern w:val="0"/>
                <w:sz w:val="21"/>
                <w:szCs w:val="21"/>
                <w:highlight w:val="none"/>
                <w:u w:val="none" w:color="auto"/>
                <w:vertAlign w:val="superscript"/>
              </w:rPr>
              <w:t>2</w:t>
            </w:r>
            <w:r>
              <w:rPr>
                <w:rFonts w:hint="default" w:ascii="Times New Roman" w:hAnsi="Times New Roman" w:eastAsia="宋体" w:cs="Times New Roman"/>
                <w:color w:val="auto"/>
                <w:kern w:val="0"/>
                <w:sz w:val="21"/>
                <w:szCs w:val="21"/>
                <w:highlight w:val="none"/>
                <w:u w:val="none" w:color="auto"/>
              </w:rPr>
              <w:t>）</w:t>
            </w:r>
          </w:p>
        </w:tc>
        <w:tc>
          <w:tcPr>
            <w:tcW w:w="1326" w:type="dxa"/>
            <w:shd w:val="clear" w:color="auto" w:fill="auto"/>
            <w:vAlign w:val="center"/>
          </w:tcPr>
          <w:p w14:paraId="1A91D4A1">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是否符合排气量</w:t>
            </w:r>
          </w:p>
          <w:p w14:paraId="667A0831">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要求</w:t>
            </w:r>
          </w:p>
        </w:tc>
        <w:tc>
          <w:tcPr>
            <w:tcW w:w="1514" w:type="dxa"/>
            <w:shd w:val="clear" w:color="auto" w:fill="auto"/>
            <w:vAlign w:val="center"/>
          </w:tcPr>
          <w:p w14:paraId="0F77C1D9">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表5排放限值要求（mg/m</w:t>
            </w:r>
            <w:r>
              <w:rPr>
                <w:rFonts w:hint="default" w:ascii="Times New Roman" w:hAnsi="Times New Roman" w:eastAsia="宋体" w:cs="Times New Roman"/>
                <w:color w:val="auto"/>
                <w:kern w:val="0"/>
                <w:sz w:val="21"/>
                <w:szCs w:val="21"/>
                <w:highlight w:val="none"/>
                <w:u w:val="none" w:color="auto"/>
                <w:vertAlign w:val="superscript"/>
              </w:rPr>
              <w:t>3</w:t>
            </w:r>
            <w:r>
              <w:rPr>
                <w:rFonts w:hint="default" w:ascii="Times New Roman" w:hAnsi="Times New Roman" w:eastAsia="宋体" w:cs="Times New Roman"/>
                <w:color w:val="auto"/>
                <w:kern w:val="0"/>
                <w:sz w:val="21"/>
                <w:szCs w:val="21"/>
                <w:highlight w:val="none"/>
                <w:u w:val="none" w:color="auto"/>
              </w:rPr>
              <w:t>）</w:t>
            </w:r>
          </w:p>
        </w:tc>
        <w:tc>
          <w:tcPr>
            <w:tcW w:w="1324" w:type="dxa"/>
            <w:shd w:val="clear" w:color="auto" w:fill="auto"/>
            <w:vAlign w:val="center"/>
          </w:tcPr>
          <w:p w14:paraId="41132265">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换算后的达标浓度（mg/m</w:t>
            </w:r>
            <w:r>
              <w:rPr>
                <w:rFonts w:hint="default" w:ascii="Times New Roman" w:hAnsi="Times New Roman" w:eastAsia="宋体" w:cs="Times New Roman"/>
                <w:color w:val="auto"/>
                <w:kern w:val="0"/>
                <w:sz w:val="21"/>
                <w:szCs w:val="21"/>
                <w:highlight w:val="none"/>
                <w:u w:val="none" w:color="auto"/>
                <w:vertAlign w:val="superscript"/>
              </w:rPr>
              <w:t>3</w:t>
            </w:r>
            <w:r>
              <w:rPr>
                <w:rFonts w:hint="default" w:ascii="Times New Roman" w:hAnsi="Times New Roman" w:eastAsia="宋体" w:cs="Times New Roman"/>
                <w:color w:val="auto"/>
                <w:kern w:val="0"/>
                <w:sz w:val="21"/>
                <w:szCs w:val="21"/>
                <w:highlight w:val="none"/>
                <w:u w:val="none" w:color="auto"/>
              </w:rPr>
              <w:t>）</w:t>
            </w:r>
          </w:p>
        </w:tc>
      </w:tr>
      <w:tr w14:paraId="72E8BA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vMerge w:val="restart"/>
            <w:shd w:val="clear" w:color="auto" w:fill="auto"/>
            <w:noWrap/>
            <w:vAlign w:val="center"/>
          </w:tcPr>
          <w:p w14:paraId="7CF5F96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其他</w:t>
            </w:r>
          </w:p>
        </w:tc>
        <w:tc>
          <w:tcPr>
            <w:tcW w:w="1281" w:type="dxa"/>
            <w:vAlign w:val="center"/>
          </w:tcPr>
          <w:p w14:paraId="71727486">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硫酸雾</w:t>
            </w:r>
          </w:p>
        </w:tc>
        <w:tc>
          <w:tcPr>
            <w:tcW w:w="1442" w:type="dxa"/>
            <w:vMerge w:val="restart"/>
            <w:shd w:val="clear" w:color="auto" w:fill="auto"/>
            <w:noWrap/>
            <w:vAlign w:val="center"/>
          </w:tcPr>
          <w:p w14:paraId="6DE84C78">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rPr>
            </w:pPr>
            <w:r>
              <w:rPr>
                <w:rFonts w:hint="default" w:ascii="Times New Roman" w:hAnsi="Times New Roman" w:eastAsia="宋体" w:cs="Times New Roman"/>
                <w:color w:val="auto"/>
                <w:kern w:val="0"/>
                <w:sz w:val="21"/>
                <w:szCs w:val="21"/>
                <w:highlight w:val="none"/>
                <w:u w:val="none" w:color="auto"/>
                <w:lang w:val="en-US" w:eastAsia="zh-CN"/>
              </w:rPr>
              <w:t>77760</w:t>
            </w:r>
          </w:p>
        </w:tc>
        <w:tc>
          <w:tcPr>
            <w:tcW w:w="1442" w:type="dxa"/>
            <w:vMerge w:val="restart"/>
            <w:shd w:val="clear" w:color="auto" w:fill="auto"/>
            <w:noWrap/>
            <w:vAlign w:val="center"/>
          </w:tcPr>
          <w:p w14:paraId="41A5F863">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19.564</w:t>
            </w:r>
          </w:p>
        </w:tc>
        <w:tc>
          <w:tcPr>
            <w:tcW w:w="1442" w:type="dxa"/>
            <w:shd w:val="clear" w:color="auto" w:fill="auto"/>
            <w:vAlign w:val="center"/>
          </w:tcPr>
          <w:p w14:paraId="05B8A3A8">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3974.65</w:t>
            </w:r>
          </w:p>
        </w:tc>
        <w:tc>
          <w:tcPr>
            <w:tcW w:w="1441" w:type="dxa"/>
            <w:shd w:val="clear" w:color="auto" w:fill="auto"/>
            <w:noWrap/>
            <w:vAlign w:val="center"/>
          </w:tcPr>
          <w:p w14:paraId="63D5BA98">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37.3</w:t>
            </w:r>
          </w:p>
        </w:tc>
        <w:tc>
          <w:tcPr>
            <w:tcW w:w="1326" w:type="dxa"/>
            <w:shd w:val="clear" w:color="auto" w:fill="auto"/>
            <w:vAlign w:val="center"/>
          </w:tcPr>
          <w:p w14:paraId="20774983">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否</w:t>
            </w:r>
          </w:p>
        </w:tc>
        <w:tc>
          <w:tcPr>
            <w:tcW w:w="1514" w:type="dxa"/>
            <w:shd w:val="clear" w:color="auto" w:fill="auto"/>
            <w:noWrap/>
            <w:vAlign w:val="center"/>
          </w:tcPr>
          <w:p w14:paraId="6E96D722">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30</w:t>
            </w:r>
          </w:p>
        </w:tc>
        <w:tc>
          <w:tcPr>
            <w:tcW w:w="1324" w:type="dxa"/>
            <w:shd w:val="clear" w:color="auto" w:fill="auto"/>
            <w:vAlign w:val="center"/>
          </w:tcPr>
          <w:p w14:paraId="1E2852B5">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0.282</w:t>
            </w:r>
          </w:p>
        </w:tc>
      </w:tr>
      <w:tr w14:paraId="1D2BD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vMerge w:val="continue"/>
            <w:shd w:val="clear" w:color="auto" w:fill="auto"/>
            <w:noWrap/>
            <w:vAlign w:val="center"/>
          </w:tcPr>
          <w:p w14:paraId="37A2FEB8">
            <w:pPr>
              <w:pStyle w:val="49"/>
              <w:spacing w:line="240" w:lineRule="auto"/>
              <w:rPr>
                <w:rFonts w:hint="default" w:ascii="Times New Roman" w:hAnsi="Times New Roman" w:cs="Times New Roman"/>
                <w:color w:val="auto"/>
                <w:sz w:val="21"/>
                <w:szCs w:val="21"/>
                <w:highlight w:val="none"/>
                <w:u w:val="none" w:color="auto"/>
                <w:lang w:val="en-US" w:eastAsia="zh-CN"/>
              </w:rPr>
            </w:pPr>
          </w:p>
        </w:tc>
        <w:tc>
          <w:tcPr>
            <w:tcW w:w="1281" w:type="dxa"/>
            <w:vAlign w:val="center"/>
          </w:tcPr>
          <w:p w14:paraId="436A560F">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氯化氢</w:t>
            </w:r>
          </w:p>
        </w:tc>
        <w:tc>
          <w:tcPr>
            <w:tcW w:w="1442" w:type="dxa"/>
            <w:vMerge w:val="continue"/>
            <w:shd w:val="clear" w:color="auto" w:fill="auto"/>
            <w:noWrap/>
            <w:vAlign w:val="center"/>
          </w:tcPr>
          <w:p w14:paraId="37083B1E">
            <w:pPr>
              <w:widowControl/>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1442" w:type="dxa"/>
            <w:vMerge w:val="continue"/>
            <w:shd w:val="clear" w:color="auto" w:fill="auto"/>
            <w:noWrap/>
            <w:vAlign w:val="center"/>
          </w:tcPr>
          <w:p w14:paraId="0EA9ACF0">
            <w:pPr>
              <w:widowControl/>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1442" w:type="dxa"/>
            <w:shd w:val="clear" w:color="auto" w:fill="auto"/>
            <w:vAlign w:val="center"/>
          </w:tcPr>
          <w:p w14:paraId="6BF22DA5">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val="en-US" w:eastAsia="zh-CN"/>
              </w:rPr>
              <w:t>3974.65</w:t>
            </w:r>
          </w:p>
        </w:tc>
        <w:tc>
          <w:tcPr>
            <w:tcW w:w="1441" w:type="dxa"/>
            <w:shd w:val="clear" w:color="auto" w:fill="auto"/>
            <w:noWrap/>
            <w:vAlign w:val="center"/>
          </w:tcPr>
          <w:p w14:paraId="3B433227">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37.3</w:t>
            </w:r>
          </w:p>
        </w:tc>
        <w:tc>
          <w:tcPr>
            <w:tcW w:w="1326" w:type="dxa"/>
            <w:shd w:val="clear" w:color="auto" w:fill="auto"/>
            <w:vAlign w:val="center"/>
          </w:tcPr>
          <w:p w14:paraId="6581258C">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否</w:t>
            </w:r>
          </w:p>
        </w:tc>
        <w:tc>
          <w:tcPr>
            <w:tcW w:w="1514" w:type="dxa"/>
            <w:shd w:val="clear" w:color="auto" w:fill="auto"/>
            <w:noWrap/>
            <w:vAlign w:val="center"/>
          </w:tcPr>
          <w:p w14:paraId="646CF50E">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30</w:t>
            </w:r>
          </w:p>
        </w:tc>
        <w:tc>
          <w:tcPr>
            <w:tcW w:w="1324" w:type="dxa"/>
            <w:shd w:val="clear" w:color="auto" w:fill="auto"/>
            <w:vAlign w:val="center"/>
          </w:tcPr>
          <w:p w14:paraId="1A14079F">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0.282</w:t>
            </w:r>
          </w:p>
        </w:tc>
      </w:tr>
      <w:tr w14:paraId="68AF4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03" w:type="dxa"/>
            <w:vMerge w:val="continue"/>
            <w:shd w:val="clear" w:color="auto" w:fill="auto"/>
            <w:noWrap/>
            <w:vAlign w:val="center"/>
          </w:tcPr>
          <w:p w14:paraId="095574D4">
            <w:pPr>
              <w:pStyle w:val="49"/>
              <w:spacing w:line="240" w:lineRule="auto"/>
              <w:rPr>
                <w:rFonts w:hint="default" w:ascii="Times New Roman" w:hAnsi="Times New Roman" w:cs="Times New Roman"/>
                <w:color w:val="auto"/>
                <w:sz w:val="21"/>
                <w:szCs w:val="21"/>
                <w:highlight w:val="none"/>
                <w:u w:val="none" w:color="auto"/>
                <w:lang w:val="en-US" w:eastAsia="zh-CN"/>
              </w:rPr>
            </w:pPr>
          </w:p>
        </w:tc>
        <w:tc>
          <w:tcPr>
            <w:tcW w:w="1281" w:type="dxa"/>
            <w:vAlign w:val="center"/>
          </w:tcPr>
          <w:p w14:paraId="25E4516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氮氧化物</w:t>
            </w:r>
          </w:p>
        </w:tc>
        <w:tc>
          <w:tcPr>
            <w:tcW w:w="1442" w:type="dxa"/>
            <w:vMerge w:val="continue"/>
            <w:shd w:val="clear" w:color="auto" w:fill="auto"/>
            <w:noWrap/>
            <w:vAlign w:val="center"/>
          </w:tcPr>
          <w:p w14:paraId="0AB45E8D">
            <w:pPr>
              <w:widowControl/>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1442" w:type="dxa"/>
            <w:vMerge w:val="continue"/>
            <w:shd w:val="clear" w:color="auto" w:fill="auto"/>
            <w:noWrap/>
            <w:vAlign w:val="center"/>
          </w:tcPr>
          <w:p w14:paraId="55DB65E6">
            <w:pPr>
              <w:widowControl/>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1442" w:type="dxa"/>
            <w:shd w:val="clear" w:color="auto" w:fill="auto"/>
            <w:vAlign w:val="center"/>
          </w:tcPr>
          <w:p w14:paraId="77EB089E">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val="en-US" w:eastAsia="zh-CN"/>
              </w:rPr>
              <w:t>3974.65</w:t>
            </w:r>
          </w:p>
        </w:tc>
        <w:tc>
          <w:tcPr>
            <w:tcW w:w="1441" w:type="dxa"/>
            <w:shd w:val="clear" w:color="auto" w:fill="auto"/>
            <w:noWrap/>
            <w:vAlign w:val="center"/>
          </w:tcPr>
          <w:p w14:paraId="550EB5F7">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37.3</w:t>
            </w:r>
          </w:p>
        </w:tc>
        <w:tc>
          <w:tcPr>
            <w:tcW w:w="1326" w:type="dxa"/>
            <w:shd w:val="clear" w:color="auto" w:fill="auto"/>
            <w:vAlign w:val="center"/>
          </w:tcPr>
          <w:p w14:paraId="4369E6AF">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否</w:t>
            </w:r>
          </w:p>
        </w:tc>
        <w:tc>
          <w:tcPr>
            <w:tcW w:w="1514" w:type="dxa"/>
            <w:shd w:val="clear" w:color="auto" w:fill="auto"/>
            <w:noWrap/>
            <w:vAlign w:val="center"/>
          </w:tcPr>
          <w:p w14:paraId="78191052">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200</w:t>
            </w:r>
          </w:p>
        </w:tc>
        <w:tc>
          <w:tcPr>
            <w:tcW w:w="1324" w:type="dxa"/>
            <w:shd w:val="clear" w:color="auto" w:fill="auto"/>
            <w:vAlign w:val="center"/>
          </w:tcPr>
          <w:p w14:paraId="12AB668F">
            <w:pPr>
              <w:widowControl/>
              <w:spacing w:line="240" w:lineRule="auto"/>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1.877</w:t>
            </w:r>
          </w:p>
        </w:tc>
      </w:tr>
    </w:tbl>
    <w:p w14:paraId="6152B2A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AndChars" w:linePitch="312" w:charSpace="0"/>
        </w:sectPr>
      </w:pPr>
      <w:r>
        <w:rPr>
          <w:rFonts w:hint="default" w:ascii="Times New Roman" w:hAnsi="Times New Roman" w:eastAsia="宋体" w:cs="Times New Roman"/>
          <w:color w:val="auto"/>
          <w:sz w:val="24"/>
          <w:szCs w:val="24"/>
          <w:highlight w:val="none"/>
          <w:u w:val="none" w:color="auto"/>
        </w:rPr>
        <w:t>根据统计，运营期废气中氯化氢、硫酸雾、氮氧化物能够满足《电镀污染物排放标准》（GB21900-2008）表5规定的大气污染物排放限值要求。</w:t>
      </w:r>
    </w:p>
    <w:p w14:paraId="582A49F2">
      <w:pPr>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4.4.1.5废气非正常排放</w:t>
      </w:r>
    </w:p>
    <w:p w14:paraId="43BBDDF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i w:val="0"/>
          <w:iCs w:val="0"/>
          <w:color w:val="auto"/>
          <w:sz w:val="24"/>
          <w:szCs w:val="21"/>
          <w:highlight w:val="none"/>
          <w:u w:val="single" w:color="auto"/>
          <w:lang w:val="en-GB"/>
        </w:rPr>
        <w:t>根据建设项目生产工艺及设备配置情况分析，本项目生产过程中使用氨基磺酸</w:t>
      </w:r>
      <w:r>
        <w:rPr>
          <w:rFonts w:hint="default" w:ascii="Times New Roman" w:hAnsi="Times New Roman" w:eastAsia="宋体" w:cs="Times New Roman"/>
          <w:i w:val="0"/>
          <w:iCs w:val="0"/>
          <w:color w:val="auto"/>
          <w:sz w:val="24"/>
          <w:szCs w:val="21"/>
          <w:highlight w:val="none"/>
          <w:u w:val="single" w:color="auto"/>
          <w:lang w:val="en-GB" w:eastAsia="zh-CN"/>
        </w:rPr>
        <w:t>镍</w:t>
      </w:r>
      <w:r>
        <w:rPr>
          <w:rFonts w:hint="default" w:ascii="Times New Roman" w:hAnsi="Times New Roman" w:eastAsia="宋体" w:cs="Times New Roman"/>
          <w:i w:val="0"/>
          <w:iCs w:val="0"/>
          <w:color w:val="auto"/>
          <w:sz w:val="24"/>
          <w:szCs w:val="21"/>
          <w:highlight w:val="none"/>
          <w:u w:val="single" w:color="auto"/>
          <w:lang w:val="en-GB"/>
        </w:rPr>
        <w:t>，氨基磺酸为白色斜方晶体，无味无臭，不挥发，不吸湿，但在209℃开始分解， 260℃分解放出SO</w:t>
      </w:r>
      <w:r>
        <w:rPr>
          <w:rFonts w:hint="default" w:ascii="Times New Roman" w:hAnsi="Times New Roman" w:eastAsia="宋体" w:cs="Times New Roman"/>
          <w:i w:val="0"/>
          <w:iCs w:val="0"/>
          <w:color w:val="auto"/>
          <w:sz w:val="24"/>
          <w:szCs w:val="21"/>
          <w:highlight w:val="none"/>
          <w:u w:val="single" w:color="auto"/>
          <w:vertAlign w:val="subscript"/>
          <w:lang w:val="en-GB"/>
        </w:rPr>
        <w:t>2</w:t>
      </w:r>
      <w:r>
        <w:rPr>
          <w:rFonts w:hint="default" w:ascii="Times New Roman" w:hAnsi="Times New Roman" w:eastAsia="宋体" w:cs="Times New Roman"/>
          <w:i w:val="0"/>
          <w:iCs w:val="0"/>
          <w:color w:val="auto"/>
          <w:sz w:val="24"/>
          <w:szCs w:val="21"/>
          <w:highlight w:val="none"/>
          <w:u w:val="single" w:color="auto"/>
          <w:lang w:val="en-GB"/>
        </w:rPr>
        <w:t>、SO</w:t>
      </w:r>
      <w:r>
        <w:rPr>
          <w:rFonts w:hint="default" w:ascii="Times New Roman" w:hAnsi="Times New Roman" w:eastAsia="宋体" w:cs="Times New Roman"/>
          <w:i w:val="0"/>
          <w:iCs w:val="0"/>
          <w:color w:val="auto"/>
          <w:sz w:val="24"/>
          <w:szCs w:val="21"/>
          <w:highlight w:val="none"/>
          <w:u w:val="single" w:color="auto"/>
          <w:vertAlign w:val="subscript"/>
          <w:lang w:val="en-GB"/>
        </w:rPr>
        <w:t>3</w:t>
      </w:r>
      <w:r>
        <w:rPr>
          <w:rFonts w:hint="default" w:ascii="Times New Roman" w:hAnsi="Times New Roman" w:eastAsia="宋体" w:cs="Times New Roman"/>
          <w:i w:val="0"/>
          <w:iCs w:val="0"/>
          <w:color w:val="auto"/>
          <w:sz w:val="24"/>
          <w:szCs w:val="21"/>
          <w:highlight w:val="none"/>
          <w:u w:val="single" w:color="auto"/>
          <w:lang w:val="en-GB"/>
        </w:rPr>
        <w:t>、N</w:t>
      </w:r>
      <w:r>
        <w:rPr>
          <w:rFonts w:hint="default" w:ascii="Times New Roman" w:hAnsi="Times New Roman" w:eastAsia="宋体" w:cs="Times New Roman"/>
          <w:i w:val="0"/>
          <w:iCs w:val="0"/>
          <w:color w:val="auto"/>
          <w:sz w:val="24"/>
          <w:szCs w:val="21"/>
          <w:highlight w:val="none"/>
          <w:u w:val="single" w:color="auto"/>
          <w:vertAlign w:val="subscript"/>
          <w:lang w:val="en-GB"/>
        </w:rPr>
        <w:t>2</w:t>
      </w:r>
      <w:r>
        <w:rPr>
          <w:rFonts w:hint="default" w:ascii="Times New Roman" w:hAnsi="Times New Roman" w:eastAsia="宋体" w:cs="Times New Roman"/>
          <w:i w:val="0"/>
          <w:iCs w:val="0"/>
          <w:color w:val="auto"/>
          <w:sz w:val="24"/>
          <w:szCs w:val="21"/>
          <w:highlight w:val="none"/>
          <w:u w:val="single" w:color="auto"/>
          <w:lang w:val="en-GB"/>
        </w:rPr>
        <w:t>和水及其它微量产物，本项目</w:t>
      </w:r>
      <w:r>
        <w:rPr>
          <w:rFonts w:hint="default" w:ascii="Times New Roman" w:hAnsi="Times New Roman" w:eastAsia="宋体" w:cs="Times New Roman"/>
          <w:i w:val="0"/>
          <w:iCs w:val="0"/>
          <w:color w:val="auto"/>
          <w:sz w:val="24"/>
          <w:szCs w:val="21"/>
          <w:highlight w:val="none"/>
          <w:u w:val="single" w:color="auto"/>
          <w:lang w:val="en-GB" w:eastAsia="zh-CN"/>
        </w:rPr>
        <w:t>使用氨基磺酸镍</w:t>
      </w:r>
      <w:r>
        <w:rPr>
          <w:rFonts w:hint="default" w:ascii="Times New Roman" w:hAnsi="Times New Roman" w:eastAsia="宋体" w:cs="Times New Roman"/>
          <w:i w:val="0"/>
          <w:iCs w:val="0"/>
          <w:color w:val="auto"/>
          <w:sz w:val="24"/>
          <w:szCs w:val="21"/>
          <w:highlight w:val="none"/>
          <w:u w:val="single" w:color="auto"/>
          <w:lang w:val="en-GB"/>
        </w:rPr>
        <w:t>工序加热温度均不超过60℃，但</w:t>
      </w:r>
      <w:r>
        <w:rPr>
          <w:rFonts w:hint="default" w:ascii="Times New Roman" w:hAnsi="Times New Roman" w:eastAsia="宋体" w:cs="Times New Roman"/>
          <w:i w:val="0"/>
          <w:iCs w:val="0"/>
          <w:color w:val="auto"/>
          <w:sz w:val="24"/>
          <w:szCs w:val="21"/>
          <w:highlight w:val="none"/>
          <w:u w:val="single" w:color="auto"/>
          <w:lang w:val="en-GB" w:eastAsia="zh-CN"/>
        </w:rPr>
        <w:t>如果生产设</w:t>
      </w:r>
      <w:r>
        <w:rPr>
          <w:rFonts w:hint="default" w:ascii="Times New Roman" w:hAnsi="Times New Roman" w:eastAsia="宋体" w:cs="Times New Roman"/>
          <w:color w:val="auto"/>
          <w:sz w:val="24"/>
          <w:szCs w:val="24"/>
          <w:highlight w:val="none"/>
          <w:u w:val="single" w:color="auto"/>
          <w:lang w:val="en-GB" w:eastAsia="zh-CN"/>
        </w:rPr>
        <w:t>备发生故障（非正常工况下），</w:t>
      </w:r>
      <w:r>
        <w:rPr>
          <w:rFonts w:hint="default" w:ascii="Times New Roman" w:hAnsi="Times New Roman" w:eastAsia="宋体" w:cs="Times New Roman"/>
          <w:color w:val="auto"/>
          <w:sz w:val="24"/>
          <w:szCs w:val="24"/>
          <w:highlight w:val="none"/>
          <w:u w:val="single" w:color="auto"/>
        </w:rPr>
        <w:t>氨基磺酸溶液温度控制发生故障，温度高于6</w:t>
      </w:r>
      <w:r>
        <w:rPr>
          <w:rFonts w:hint="eastAsia" w:ascii="Times New Roman" w:hAnsi="Times New Roman" w:eastAsia="宋体" w:cs="Times New Roman"/>
          <w:color w:val="auto"/>
          <w:sz w:val="24"/>
          <w:szCs w:val="24"/>
          <w:highlight w:val="none"/>
          <w:u w:val="single" w:color="auto"/>
          <w:lang w:val="en-US" w:eastAsia="zh-CN"/>
        </w:rPr>
        <w:t>6</w:t>
      </w:r>
      <w:r>
        <w:rPr>
          <w:rFonts w:hint="default" w:ascii="Times New Roman" w:hAnsi="Times New Roman" w:eastAsia="宋体" w:cs="Times New Roman"/>
          <w:color w:val="auto"/>
          <w:sz w:val="24"/>
          <w:szCs w:val="24"/>
          <w:highlight w:val="none"/>
          <w:u w:val="single" w:color="auto"/>
        </w:rPr>
        <w:t>℃以上，会发生微量的水解，生成硫酸盐，微量氨气随水蒸气挥发到空气中（恶臭异味）</w:t>
      </w:r>
      <w:r>
        <w:rPr>
          <w:rFonts w:hint="default" w:ascii="Times New Roman" w:hAnsi="Times New Roman" w:eastAsia="宋体" w:cs="Times New Roman"/>
          <w:i w:val="0"/>
          <w:iCs w:val="0"/>
          <w:color w:val="auto"/>
          <w:sz w:val="24"/>
          <w:szCs w:val="21"/>
          <w:highlight w:val="none"/>
          <w:u w:val="single" w:color="auto"/>
          <w:lang w:val="en-GB"/>
        </w:rPr>
        <w:t>。</w:t>
      </w:r>
      <w:r>
        <w:rPr>
          <w:rFonts w:hint="default" w:ascii="Times New Roman" w:hAnsi="Times New Roman" w:eastAsia="宋体" w:cs="Times New Roman"/>
          <w:color w:val="auto"/>
          <w:sz w:val="24"/>
          <w:szCs w:val="24"/>
          <w:highlight w:val="none"/>
          <w:u w:val="single" w:color="auto"/>
        </w:rPr>
        <w:t>异味通过废气收集系统和</w:t>
      </w:r>
      <w:r>
        <w:rPr>
          <w:rFonts w:hint="default" w:ascii="Times New Roman" w:hAnsi="Times New Roman" w:eastAsia="宋体" w:cs="Times New Roman"/>
          <w:color w:val="auto"/>
          <w:sz w:val="24"/>
          <w:szCs w:val="24"/>
          <w:highlight w:val="none"/>
          <w:u w:val="single" w:color="auto"/>
          <w:lang w:eastAsia="zh-CN"/>
        </w:rPr>
        <w:t>三级喷淋塔</w:t>
      </w:r>
      <w:r>
        <w:rPr>
          <w:rFonts w:hint="default" w:ascii="Times New Roman" w:hAnsi="Times New Roman" w:eastAsia="宋体" w:cs="Times New Roman"/>
          <w:color w:val="auto"/>
          <w:sz w:val="24"/>
          <w:szCs w:val="24"/>
          <w:highlight w:val="none"/>
          <w:u w:val="single" w:color="auto"/>
        </w:rPr>
        <w:t>治理后与</w:t>
      </w:r>
      <w:r>
        <w:rPr>
          <w:rFonts w:hint="default" w:ascii="Times New Roman" w:hAnsi="Times New Roman" w:eastAsia="宋体" w:cs="Times New Roman"/>
          <w:color w:val="auto"/>
          <w:sz w:val="24"/>
          <w:szCs w:val="24"/>
          <w:highlight w:val="none"/>
          <w:u w:val="single" w:color="auto"/>
          <w:lang w:eastAsia="zh-CN"/>
        </w:rPr>
        <w:t>酸雾</w:t>
      </w:r>
      <w:r>
        <w:rPr>
          <w:rFonts w:hint="default" w:ascii="Times New Roman" w:hAnsi="Times New Roman" w:eastAsia="宋体" w:cs="Times New Roman"/>
          <w:color w:val="auto"/>
          <w:sz w:val="24"/>
          <w:szCs w:val="24"/>
          <w:highlight w:val="none"/>
          <w:u w:val="single" w:color="auto"/>
        </w:rPr>
        <w:t>一同排放</w:t>
      </w:r>
      <w:r>
        <w:rPr>
          <w:rFonts w:hint="default" w:ascii="Times New Roman" w:hAnsi="Times New Roman" w:eastAsia="宋体" w:cs="Times New Roman"/>
          <w:color w:val="auto"/>
          <w:sz w:val="24"/>
          <w:szCs w:val="24"/>
          <w:highlight w:val="none"/>
          <w:u w:val="single" w:color="auto"/>
          <w:lang w:eastAsia="zh-CN"/>
        </w:rPr>
        <w:t>（去除率约</w:t>
      </w:r>
      <w:r>
        <w:rPr>
          <w:rFonts w:hint="default" w:ascii="Times New Roman" w:hAnsi="Times New Roman" w:eastAsia="宋体" w:cs="Times New Roman"/>
          <w:color w:val="auto"/>
          <w:sz w:val="24"/>
          <w:szCs w:val="24"/>
          <w:highlight w:val="none"/>
          <w:u w:val="single" w:color="auto"/>
          <w:lang w:val="en-US" w:eastAsia="zh-CN"/>
        </w:rPr>
        <w:t>30%</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，少部分未能被收集的异味以无组织形式在车间排放，通过加强车间机械通风措施，该类异味对周边环境的影响不大。</w:t>
      </w:r>
    </w:p>
    <w:p w14:paraId="6950AD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若酸雾净化塔</w:t>
      </w:r>
      <w:r>
        <w:rPr>
          <w:rFonts w:hint="default" w:ascii="Times New Roman" w:hAnsi="Times New Roman" w:eastAsia="宋体" w:cs="Times New Roman"/>
          <w:color w:val="auto"/>
          <w:sz w:val="24"/>
          <w:szCs w:val="24"/>
          <w:highlight w:val="none"/>
          <w:u w:val="none" w:color="auto"/>
          <w:lang w:eastAsia="zh-CN"/>
        </w:rPr>
        <w:t>、活性炭吸附装置</w:t>
      </w:r>
      <w:r>
        <w:rPr>
          <w:rFonts w:hint="default" w:ascii="Times New Roman" w:hAnsi="Times New Roman" w:eastAsia="宋体" w:cs="Times New Roman"/>
          <w:color w:val="auto"/>
          <w:sz w:val="24"/>
          <w:szCs w:val="24"/>
          <w:highlight w:val="none"/>
          <w:u w:val="none" w:color="auto"/>
        </w:rPr>
        <w:t>发生事故，则产生的废气污染物将发生非正常排放</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本次评价设定将排放量最大的废气处理装置发生故障</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氯化氢、硫酸雾、氮氧化物去除效率降至50%</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4"/>
          <w:highlight w:val="none"/>
          <w:u w:val="none" w:color="auto"/>
        </w:rPr>
        <w:t>除效率降至</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0%</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作为废气的非正常工况本项目废气污染物非正常排放源强详见下表：</w:t>
      </w:r>
    </w:p>
    <w:p w14:paraId="0767E195">
      <w:pPr>
        <w:jc w:val="center"/>
        <w:rPr>
          <w:rFonts w:hint="default" w:ascii="Times New Roman" w:hAnsi="Times New Roman" w:eastAsia="宋体" w:cs="Times New Roman"/>
          <w:b/>
          <w:color w:val="auto"/>
          <w:sz w:val="21"/>
          <w:szCs w:val="18"/>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4</w:t>
      </w:r>
      <w:r>
        <w:rPr>
          <w:rFonts w:hint="default" w:ascii="Times New Roman" w:hAnsi="Times New Roman" w:eastAsia="宋体" w:cs="Times New Roman"/>
          <w:b/>
          <w:color w:val="auto"/>
          <w:sz w:val="21"/>
          <w:szCs w:val="18"/>
          <w:highlight w:val="none"/>
          <w:u w:val="single" w:color="auto"/>
        </w:rPr>
        <w:t>.4-</w:t>
      </w:r>
      <w:r>
        <w:rPr>
          <w:rFonts w:hint="default" w:ascii="Times New Roman" w:hAnsi="Times New Roman" w:eastAsia="宋体" w:cs="Times New Roman"/>
          <w:b/>
          <w:color w:val="auto"/>
          <w:sz w:val="21"/>
          <w:szCs w:val="18"/>
          <w:highlight w:val="none"/>
          <w:u w:val="single" w:color="auto"/>
          <w:lang w:val="en-US" w:eastAsia="zh-CN"/>
        </w:rPr>
        <w:t>7</w:t>
      </w:r>
      <w:r>
        <w:rPr>
          <w:rFonts w:hint="default" w:ascii="Times New Roman" w:hAnsi="Times New Roman" w:eastAsia="宋体" w:cs="Times New Roman"/>
          <w:b/>
          <w:color w:val="auto"/>
          <w:sz w:val="21"/>
          <w:szCs w:val="18"/>
          <w:highlight w:val="none"/>
          <w:u w:val="single" w:color="auto"/>
        </w:rPr>
        <w:t>废气非正常排放源强</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8"/>
        <w:gridCol w:w="2551"/>
        <w:gridCol w:w="1478"/>
        <w:gridCol w:w="1500"/>
        <w:gridCol w:w="1074"/>
        <w:gridCol w:w="961"/>
      </w:tblGrid>
      <w:tr w14:paraId="2CDFA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62" w:type="pct"/>
            <w:vAlign w:val="center"/>
          </w:tcPr>
          <w:p w14:paraId="3DDEC01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非正常</w:t>
            </w:r>
          </w:p>
          <w:p w14:paraId="09B2D9F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排放源</w:t>
            </w:r>
          </w:p>
        </w:tc>
        <w:tc>
          <w:tcPr>
            <w:tcW w:w="1496" w:type="pct"/>
            <w:vAlign w:val="center"/>
          </w:tcPr>
          <w:p w14:paraId="3223655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非正常排放原因</w:t>
            </w:r>
          </w:p>
        </w:tc>
        <w:tc>
          <w:tcPr>
            <w:tcW w:w="867" w:type="pct"/>
            <w:vAlign w:val="center"/>
          </w:tcPr>
          <w:p w14:paraId="38C9E76D">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污染物</w:t>
            </w:r>
          </w:p>
        </w:tc>
        <w:tc>
          <w:tcPr>
            <w:tcW w:w="880" w:type="pct"/>
            <w:vAlign w:val="center"/>
          </w:tcPr>
          <w:p w14:paraId="50CFA0F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非正常排放速率/（kg/h）</w:t>
            </w:r>
          </w:p>
        </w:tc>
        <w:tc>
          <w:tcPr>
            <w:tcW w:w="630" w:type="pct"/>
            <w:vAlign w:val="center"/>
          </w:tcPr>
          <w:p w14:paraId="383AA94C">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单次持续时间/h</w:t>
            </w:r>
          </w:p>
        </w:tc>
        <w:tc>
          <w:tcPr>
            <w:tcW w:w="563" w:type="pct"/>
            <w:vAlign w:val="center"/>
          </w:tcPr>
          <w:p w14:paraId="51FDB01C">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年发生频次/年</w:t>
            </w:r>
          </w:p>
        </w:tc>
      </w:tr>
      <w:tr w14:paraId="4CF62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Align w:val="center"/>
          </w:tcPr>
          <w:p w14:paraId="6D6B3D4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DA001</w:t>
            </w:r>
          </w:p>
        </w:tc>
        <w:tc>
          <w:tcPr>
            <w:tcW w:w="1496" w:type="pct"/>
            <w:vAlign w:val="center"/>
          </w:tcPr>
          <w:p w14:paraId="26978B2B">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三级喷淋塔发生故障</w:t>
            </w:r>
          </w:p>
        </w:tc>
        <w:tc>
          <w:tcPr>
            <w:tcW w:w="867" w:type="pct"/>
            <w:vAlign w:val="center"/>
          </w:tcPr>
          <w:p w14:paraId="77E6AAC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氮氧化物</w:t>
            </w:r>
          </w:p>
        </w:tc>
        <w:tc>
          <w:tcPr>
            <w:tcW w:w="880" w:type="pct"/>
            <w:vAlign w:val="center"/>
          </w:tcPr>
          <w:p w14:paraId="42CD356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0.014</w:t>
            </w:r>
          </w:p>
        </w:tc>
        <w:tc>
          <w:tcPr>
            <w:tcW w:w="630" w:type="pct"/>
            <w:vAlign w:val="center"/>
          </w:tcPr>
          <w:p w14:paraId="129EBB0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2.0</w:t>
            </w:r>
          </w:p>
        </w:tc>
        <w:tc>
          <w:tcPr>
            <w:tcW w:w="563" w:type="pct"/>
            <w:vAlign w:val="center"/>
          </w:tcPr>
          <w:p w14:paraId="2181FFD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p>
        </w:tc>
      </w:tr>
      <w:tr w14:paraId="7C8C4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restart"/>
            <w:vAlign w:val="center"/>
          </w:tcPr>
          <w:p w14:paraId="495F9E6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DA001</w:t>
            </w:r>
          </w:p>
        </w:tc>
        <w:tc>
          <w:tcPr>
            <w:tcW w:w="1496" w:type="pct"/>
            <w:vMerge w:val="restart"/>
            <w:vAlign w:val="center"/>
          </w:tcPr>
          <w:p w14:paraId="74E1AE9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氨基磺酸溶液温度控制发生故障</w:t>
            </w:r>
          </w:p>
        </w:tc>
        <w:tc>
          <w:tcPr>
            <w:tcW w:w="867" w:type="pct"/>
            <w:vAlign w:val="center"/>
          </w:tcPr>
          <w:p w14:paraId="4ED3667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氮氧化物</w:t>
            </w:r>
          </w:p>
        </w:tc>
        <w:tc>
          <w:tcPr>
            <w:tcW w:w="880" w:type="pct"/>
            <w:vAlign w:val="center"/>
          </w:tcPr>
          <w:p w14:paraId="7869550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0.001</w:t>
            </w:r>
          </w:p>
        </w:tc>
        <w:tc>
          <w:tcPr>
            <w:tcW w:w="630" w:type="pct"/>
            <w:vAlign w:val="center"/>
          </w:tcPr>
          <w:p w14:paraId="7BBF5ED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w:t>
            </w:r>
          </w:p>
        </w:tc>
        <w:tc>
          <w:tcPr>
            <w:tcW w:w="563" w:type="pct"/>
            <w:vAlign w:val="center"/>
          </w:tcPr>
          <w:p w14:paraId="0B59EA0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r>
      <w:tr w14:paraId="2F428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7F7B918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496" w:type="pct"/>
            <w:vMerge w:val="continue"/>
            <w:vAlign w:val="center"/>
          </w:tcPr>
          <w:p w14:paraId="5E402AA9">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867" w:type="pct"/>
            <w:vAlign w:val="center"/>
          </w:tcPr>
          <w:p w14:paraId="285A587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氨气</w:t>
            </w:r>
          </w:p>
        </w:tc>
        <w:tc>
          <w:tcPr>
            <w:tcW w:w="880" w:type="pct"/>
            <w:vAlign w:val="center"/>
          </w:tcPr>
          <w:p w14:paraId="553FC91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0.0012</w:t>
            </w:r>
          </w:p>
        </w:tc>
        <w:tc>
          <w:tcPr>
            <w:tcW w:w="630" w:type="pct"/>
            <w:vAlign w:val="center"/>
          </w:tcPr>
          <w:p w14:paraId="7662E50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w:t>
            </w:r>
          </w:p>
        </w:tc>
        <w:tc>
          <w:tcPr>
            <w:tcW w:w="563" w:type="pct"/>
            <w:vAlign w:val="center"/>
          </w:tcPr>
          <w:p w14:paraId="0E9653C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r>
      <w:tr w14:paraId="1F079E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5DF5F50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496" w:type="pct"/>
            <w:vMerge w:val="continue"/>
            <w:vAlign w:val="center"/>
          </w:tcPr>
          <w:p w14:paraId="15BC747F">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867" w:type="pct"/>
            <w:vAlign w:val="center"/>
          </w:tcPr>
          <w:p w14:paraId="7DF1434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臭味</w:t>
            </w:r>
          </w:p>
        </w:tc>
        <w:tc>
          <w:tcPr>
            <w:tcW w:w="880" w:type="pct"/>
            <w:vAlign w:val="center"/>
          </w:tcPr>
          <w:p w14:paraId="432AF84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w:t>
            </w:r>
          </w:p>
        </w:tc>
        <w:tc>
          <w:tcPr>
            <w:tcW w:w="630" w:type="pct"/>
            <w:vAlign w:val="center"/>
          </w:tcPr>
          <w:p w14:paraId="74FC6BA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1.0</w:t>
            </w:r>
          </w:p>
        </w:tc>
        <w:tc>
          <w:tcPr>
            <w:tcW w:w="563" w:type="pct"/>
            <w:vAlign w:val="center"/>
          </w:tcPr>
          <w:p w14:paraId="5E63D43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r>
      <w:tr w14:paraId="44D0D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restart"/>
            <w:vAlign w:val="center"/>
          </w:tcPr>
          <w:p w14:paraId="301E29D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DA002</w:t>
            </w:r>
          </w:p>
        </w:tc>
        <w:tc>
          <w:tcPr>
            <w:tcW w:w="1496" w:type="pct"/>
            <w:vMerge w:val="restart"/>
            <w:vAlign w:val="center"/>
          </w:tcPr>
          <w:p w14:paraId="1D6C709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三级喷淋塔</w:t>
            </w:r>
            <w:r>
              <w:rPr>
                <w:rFonts w:hint="default" w:ascii="Times New Roman" w:hAnsi="Times New Roman" w:eastAsia="宋体" w:cs="Times New Roman"/>
                <w:color w:val="auto"/>
                <w:sz w:val="21"/>
                <w:szCs w:val="21"/>
                <w:highlight w:val="none"/>
                <w:u w:val="single" w:color="auto"/>
              </w:rPr>
              <w:t>发生故障</w:t>
            </w:r>
          </w:p>
        </w:tc>
        <w:tc>
          <w:tcPr>
            <w:tcW w:w="867" w:type="pct"/>
            <w:vAlign w:val="center"/>
          </w:tcPr>
          <w:p w14:paraId="69AD4B2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氯化氢</w:t>
            </w:r>
          </w:p>
        </w:tc>
        <w:tc>
          <w:tcPr>
            <w:tcW w:w="880" w:type="pct"/>
            <w:vAlign w:val="center"/>
          </w:tcPr>
          <w:p w14:paraId="3D83B06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0.0005</w:t>
            </w:r>
          </w:p>
        </w:tc>
        <w:tc>
          <w:tcPr>
            <w:tcW w:w="630" w:type="pct"/>
            <w:vAlign w:val="center"/>
          </w:tcPr>
          <w:p w14:paraId="10F305E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2.0</w:t>
            </w:r>
          </w:p>
        </w:tc>
        <w:tc>
          <w:tcPr>
            <w:tcW w:w="563" w:type="pct"/>
            <w:vAlign w:val="center"/>
          </w:tcPr>
          <w:p w14:paraId="5365049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p>
        </w:tc>
      </w:tr>
      <w:tr w14:paraId="057BF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7835BF88">
            <w:pPr>
              <w:spacing w:line="240" w:lineRule="auto"/>
              <w:jc w:val="center"/>
              <w:rPr>
                <w:rFonts w:hint="default" w:ascii="Times New Roman" w:hAnsi="Times New Roman" w:eastAsia="宋体" w:cs="Times New Roman"/>
                <w:color w:val="auto"/>
                <w:sz w:val="21"/>
                <w:szCs w:val="21"/>
                <w:highlight w:val="none"/>
                <w:u w:val="single" w:color="auto"/>
              </w:rPr>
            </w:pPr>
          </w:p>
        </w:tc>
        <w:tc>
          <w:tcPr>
            <w:tcW w:w="1496" w:type="pct"/>
            <w:vMerge w:val="continue"/>
            <w:vAlign w:val="center"/>
          </w:tcPr>
          <w:p w14:paraId="6DD46321">
            <w:pPr>
              <w:spacing w:line="240" w:lineRule="auto"/>
              <w:jc w:val="center"/>
              <w:rPr>
                <w:rFonts w:hint="default" w:ascii="Times New Roman" w:hAnsi="Times New Roman" w:eastAsia="宋体" w:cs="Times New Roman"/>
                <w:color w:val="auto"/>
                <w:sz w:val="21"/>
                <w:szCs w:val="21"/>
                <w:highlight w:val="none"/>
                <w:u w:val="single" w:color="auto"/>
              </w:rPr>
            </w:pPr>
          </w:p>
        </w:tc>
        <w:tc>
          <w:tcPr>
            <w:tcW w:w="867" w:type="pct"/>
            <w:vAlign w:val="center"/>
          </w:tcPr>
          <w:p w14:paraId="419DF20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硫酸雾</w:t>
            </w:r>
          </w:p>
        </w:tc>
        <w:tc>
          <w:tcPr>
            <w:tcW w:w="880" w:type="pct"/>
            <w:vAlign w:val="center"/>
          </w:tcPr>
          <w:p w14:paraId="4ED1B39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0.0345</w:t>
            </w:r>
          </w:p>
        </w:tc>
        <w:tc>
          <w:tcPr>
            <w:tcW w:w="630" w:type="pct"/>
            <w:vAlign w:val="center"/>
          </w:tcPr>
          <w:p w14:paraId="1B097B6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w:t>
            </w:r>
          </w:p>
        </w:tc>
        <w:tc>
          <w:tcPr>
            <w:tcW w:w="563" w:type="pct"/>
            <w:vAlign w:val="center"/>
          </w:tcPr>
          <w:p w14:paraId="449A265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r>
      <w:tr w14:paraId="52556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Align w:val="center"/>
          </w:tcPr>
          <w:p w14:paraId="72143C5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DA007</w:t>
            </w:r>
          </w:p>
        </w:tc>
        <w:tc>
          <w:tcPr>
            <w:tcW w:w="1496" w:type="pct"/>
            <w:vAlign w:val="center"/>
          </w:tcPr>
          <w:p w14:paraId="59913BD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eastAsia" w:ascii="Times New Roman" w:hAnsi="Times New Roman" w:eastAsia="宋体" w:cs="Times New Roman"/>
                <w:color w:val="auto"/>
                <w:sz w:val="21"/>
                <w:szCs w:val="21"/>
                <w:highlight w:val="none"/>
                <w:u w:val="single" w:color="auto"/>
                <w:lang w:eastAsia="zh-CN"/>
              </w:rPr>
              <w:t>冷却塔</w:t>
            </w:r>
            <w:r>
              <w:rPr>
                <w:rFonts w:hint="eastAsia" w:ascii="Times New Roman" w:hAnsi="Times New Roman" w:eastAsia="宋体" w:cs="Times New Roman"/>
                <w:color w:val="auto"/>
                <w:sz w:val="21"/>
                <w:szCs w:val="21"/>
                <w:highlight w:val="none"/>
                <w:u w:val="single" w:color="auto"/>
                <w:lang w:val="en-US" w:eastAsia="zh-CN"/>
              </w:rPr>
              <w:t>+干湿过滤器+</w:t>
            </w:r>
            <w:r>
              <w:rPr>
                <w:rFonts w:hint="default" w:ascii="Times New Roman" w:hAnsi="Times New Roman" w:eastAsia="宋体" w:cs="Times New Roman"/>
                <w:color w:val="auto"/>
                <w:sz w:val="21"/>
                <w:szCs w:val="21"/>
                <w:highlight w:val="none"/>
                <w:u w:val="single" w:color="auto"/>
                <w:lang w:eastAsia="zh-CN"/>
              </w:rPr>
              <w:t>一级活性炭</w:t>
            </w:r>
            <w:r>
              <w:rPr>
                <w:rFonts w:hint="eastAsia" w:ascii="Times New Roman" w:hAnsi="Times New Roman" w:eastAsia="宋体" w:cs="Times New Roman"/>
                <w:color w:val="auto"/>
                <w:sz w:val="21"/>
                <w:szCs w:val="21"/>
                <w:highlight w:val="none"/>
                <w:u w:val="single" w:color="auto"/>
                <w:lang w:eastAsia="zh-CN"/>
              </w:rPr>
              <w:t>故障</w:t>
            </w:r>
          </w:p>
        </w:tc>
        <w:tc>
          <w:tcPr>
            <w:tcW w:w="867" w:type="pct"/>
            <w:vAlign w:val="center"/>
          </w:tcPr>
          <w:p w14:paraId="170D781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非甲烷总烃</w:t>
            </w:r>
          </w:p>
        </w:tc>
        <w:tc>
          <w:tcPr>
            <w:tcW w:w="880" w:type="pct"/>
            <w:vAlign w:val="center"/>
          </w:tcPr>
          <w:p w14:paraId="7B658EB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0.032</w:t>
            </w:r>
          </w:p>
        </w:tc>
        <w:tc>
          <w:tcPr>
            <w:tcW w:w="630" w:type="pct"/>
            <w:vAlign w:val="center"/>
          </w:tcPr>
          <w:p w14:paraId="19DA27D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w:t>
            </w:r>
          </w:p>
        </w:tc>
        <w:tc>
          <w:tcPr>
            <w:tcW w:w="563" w:type="pct"/>
            <w:vAlign w:val="center"/>
          </w:tcPr>
          <w:p w14:paraId="25E8C20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w:t>
            </w:r>
          </w:p>
        </w:tc>
      </w:tr>
    </w:tbl>
    <w:p w14:paraId="6273CD01">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4.4.2运营期废水</w:t>
      </w:r>
    </w:p>
    <w:p w14:paraId="7F3E9344">
      <w:pPr>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4.4.2.1运营期废水产排量</w:t>
      </w:r>
    </w:p>
    <w:p w14:paraId="34D866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项目运营期废水主要包括各</w:t>
      </w:r>
      <w:r>
        <w:rPr>
          <w:rFonts w:hint="eastAsia" w:ascii="Times New Roman" w:hAnsi="Times New Roman" w:eastAsia="宋体" w:cs="Times New Roman"/>
          <w:color w:val="auto"/>
          <w:sz w:val="24"/>
          <w:szCs w:val="24"/>
          <w:highlight w:val="none"/>
          <w:u w:val="none" w:color="auto"/>
          <w:lang w:val="en-US" w:eastAsia="zh-CN"/>
        </w:rPr>
        <w:t>电镀</w:t>
      </w:r>
      <w:r>
        <w:rPr>
          <w:rFonts w:hint="default" w:ascii="Times New Roman" w:hAnsi="Times New Roman" w:eastAsia="宋体" w:cs="Times New Roman"/>
          <w:color w:val="auto"/>
          <w:sz w:val="24"/>
          <w:szCs w:val="24"/>
          <w:highlight w:val="none"/>
          <w:u w:val="none" w:color="auto"/>
        </w:rPr>
        <w:t>生产工艺废水（包括酸碱</w:t>
      </w:r>
      <w:r>
        <w:rPr>
          <w:rFonts w:hint="default" w:ascii="Times New Roman" w:hAnsi="Times New Roman" w:eastAsia="宋体" w:cs="Times New Roman"/>
          <w:color w:val="auto"/>
          <w:sz w:val="24"/>
          <w:szCs w:val="24"/>
          <w:highlight w:val="none"/>
          <w:u w:val="none" w:color="auto"/>
          <w:lang w:eastAsia="zh-CN"/>
        </w:rPr>
        <w:t>废水、</w:t>
      </w:r>
      <w:r>
        <w:rPr>
          <w:rFonts w:hint="default" w:ascii="Times New Roman" w:hAnsi="Times New Roman" w:eastAsia="宋体" w:cs="Times New Roman"/>
          <w:color w:val="auto"/>
          <w:sz w:val="24"/>
          <w:szCs w:val="24"/>
          <w:highlight w:val="none"/>
          <w:u w:val="none" w:color="auto"/>
        </w:rPr>
        <w:t>含油废水、含镍废水、含铜废水、含锌</w:t>
      </w:r>
      <w:r>
        <w:rPr>
          <w:rFonts w:hint="default" w:ascii="Times New Roman" w:hAnsi="Times New Roman" w:eastAsia="宋体" w:cs="Times New Roman"/>
          <w:color w:val="auto"/>
          <w:sz w:val="24"/>
          <w:szCs w:val="24"/>
          <w:highlight w:val="none"/>
          <w:u w:val="none" w:color="auto"/>
          <w:lang w:eastAsia="zh-CN"/>
        </w:rPr>
        <w:t>镍</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退镀</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实验室废水（</w:t>
      </w:r>
      <w:r>
        <w:rPr>
          <w:rFonts w:hint="default" w:ascii="Times New Roman" w:hAnsi="Times New Roman" w:eastAsia="宋体" w:cs="Times New Roman"/>
          <w:color w:val="auto"/>
          <w:sz w:val="24"/>
          <w:szCs w:val="24"/>
          <w:highlight w:val="none"/>
          <w:u w:val="none" w:color="auto"/>
        </w:rPr>
        <w:t>包括酸碱</w:t>
      </w:r>
      <w:r>
        <w:rPr>
          <w:rFonts w:hint="default" w:ascii="Times New Roman" w:hAnsi="Times New Roman" w:eastAsia="宋体" w:cs="Times New Roman"/>
          <w:color w:val="auto"/>
          <w:sz w:val="24"/>
          <w:szCs w:val="24"/>
          <w:highlight w:val="none"/>
          <w:u w:val="none" w:color="auto"/>
          <w:lang w:eastAsia="zh-CN"/>
        </w:rPr>
        <w:t>废水、</w:t>
      </w:r>
      <w:r>
        <w:rPr>
          <w:rFonts w:hint="default" w:ascii="Times New Roman" w:hAnsi="Times New Roman" w:eastAsia="宋体" w:cs="Times New Roman"/>
          <w:color w:val="auto"/>
          <w:sz w:val="24"/>
          <w:szCs w:val="24"/>
          <w:highlight w:val="none"/>
          <w:u w:val="none" w:color="auto"/>
        </w:rPr>
        <w:t>含油废水</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含镍废水</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电镀</w:t>
      </w:r>
      <w:r>
        <w:rPr>
          <w:rFonts w:hint="default" w:ascii="Times New Roman" w:hAnsi="Times New Roman" w:eastAsia="宋体" w:cs="Times New Roman"/>
          <w:color w:val="auto"/>
          <w:sz w:val="24"/>
          <w:szCs w:val="24"/>
          <w:highlight w:val="none"/>
          <w:u w:val="none" w:color="auto"/>
        </w:rPr>
        <w:t>车间地面</w:t>
      </w:r>
      <w:r>
        <w:rPr>
          <w:rFonts w:hint="eastAsia" w:ascii="Times New Roman" w:hAnsi="Times New Roman" w:eastAsia="宋体" w:cs="Times New Roman"/>
          <w:color w:val="auto"/>
          <w:sz w:val="24"/>
          <w:szCs w:val="24"/>
          <w:highlight w:val="none"/>
          <w:u w:val="none" w:color="auto"/>
          <w:lang w:val="en-US" w:eastAsia="zh-CN"/>
        </w:rPr>
        <w:t>清洗</w:t>
      </w:r>
      <w:r>
        <w:rPr>
          <w:rFonts w:hint="default" w:ascii="Times New Roman" w:hAnsi="Times New Roman" w:eastAsia="宋体" w:cs="Times New Roman"/>
          <w:color w:val="auto"/>
          <w:sz w:val="24"/>
          <w:szCs w:val="24"/>
          <w:highlight w:val="none"/>
          <w:u w:val="none" w:color="auto"/>
        </w:rPr>
        <w:t>废水、</w:t>
      </w:r>
      <w:r>
        <w:rPr>
          <w:rFonts w:hint="eastAsia" w:ascii="Times New Roman" w:hAnsi="Times New Roman" w:eastAsia="宋体" w:cs="Times New Roman"/>
          <w:color w:val="auto"/>
          <w:sz w:val="24"/>
          <w:szCs w:val="24"/>
          <w:highlight w:val="none"/>
          <w:u w:val="none" w:color="auto"/>
          <w:lang w:val="en-US" w:eastAsia="zh-CN"/>
        </w:rPr>
        <w:t>机加工车间卫生废水、容器清洗废水、直接冷却废水、</w:t>
      </w:r>
      <w:r>
        <w:rPr>
          <w:rFonts w:hint="default" w:ascii="Times New Roman" w:hAnsi="Times New Roman" w:eastAsia="宋体" w:cs="Times New Roman"/>
          <w:color w:val="auto"/>
          <w:sz w:val="24"/>
          <w:szCs w:val="24"/>
          <w:highlight w:val="none"/>
          <w:u w:val="none" w:color="auto"/>
        </w:rPr>
        <w:t>废气处理设施废水、生活污水及初期雨水。</w:t>
      </w:r>
    </w:p>
    <w:p w14:paraId="5508F9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本项目酸碱</w:t>
      </w:r>
      <w:r>
        <w:rPr>
          <w:rFonts w:hint="default" w:ascii="Times New Roman" w:hAnsi="Times New Roman" w:eastAsia="宋体" w:cs="Times New Roman"/>
          <w:color w:val="auto"/>
          <w:sz w:val="24"/>
          <w:szCs w:val="24"/>
          <w:highlight w:val="none"/>
          <w:u w:val="none" w:color="auto"/>
          <w:lang w:eastAsia="zh-CN"/>
        </w:rPr>
        <w:t>废水</w:t>
      </w:r>
      <w:r>
        <w:rPr>
          <w:rFonts w:hint="default" w:ascii="Times New Roman" w:hAnsi="Times New Roman" w:eastAsia="宋体" w:cs="Times New Roman"/>
          <w:color w:val="auto"/>
          <w:sz w:val="24"/>
          <w:szCs w:val="24"/>
          <w:highlight w:val="none"/>
          <w:u w:val="none" w:color="auto"/>
        </w:rPr>
        <w:t>废水主要污染物为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、COD、SS、氯化物</w:t>
      </w:r>
      <w:r>
        <w:rPr>
          <w:rFonts w:hint="default" w:ascii="Times New Roman" w:hAnsi="Times New Roman" w:eastAsia="宋体" w:cs="Times New Roman"/>
          <w:color w:val="auto"/>
          <w:sz w:val="24"/>
          <w:szCs w:val="24"/>
          <w:highlight w:val="none"/>
          <w:u w:val="none" w:color="auto"/>
          <w:lang w:eastAsia="zh-CN"/>
        </w:rPr>
        <w:t>等，</w:t>
      </w:r>
      <w:r>
        <w:rPr>
          <w:rFonts w:hint="default" w:ascii="Times New Roman" w:hAnsi="Times New Roman" w:eastAsia="宋体" w:cs="Times New Roman"/>
          <w:color w:val="auto"/>
          <w:sz w:val="24"/>
          <w:szCs w:val="24"/>
          <w:highlight w:val="none"/>
          <w:u w:val="none" w:color="auto"/>
        </w:rPr>
        <w:t>含油废水主要污染物为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、COD、SS、石油类</w:t>
      </w:r>
      <w:r>
        <w:rPr>
          <w:rFonts w:hint="default" w:ascii="Times New Roman" w:hAnsi="Times New Roman" w:eastAsia="宋体" w:cs="Times New Roman"/>
          <w:color w:val="auto"/>
          <w:sz w:val="24"/>
          <w:szCs w:val="24"/>
          <w:highlight w:val="none"/>
          <w:u w:val="none" w:color="auto"/>
          <w:lang w:eastAsia="zh-CN"/>
        </w:rPr>
        <w:t>等</w:t>
      </w:r>
      <w:r>
        <w:rPr>
          <w:rFonts w:hint="default" w:ascii="Times New Roman" w:hAnsi="Times New Roman" w:eastAsia="宋体" w:cs="Times New Roman"/>
          <w:color w:val="auto"/>
          <w:sz w:val="24"/>
          <w:szCs w:val="24"/>
          <w:highlight w:val="none"/>
          <w:u w:val="none" w:color="auto"/>
        </w:rPr>
        <w:t>，含镍废水主要污染物为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、COD、SS、总镍、氨氮、</w:t>
      </w:r>
      <w:r>
        <w:rPr>
          <w:rFonts w:hint="default" w:ascii="Times New Roman" w:hAnsi="Times New Roman" w:eastAsia="宋体" w:cs="Times New Roman"/>
          <w:color w:val="auto"/>
          <w:sz w:val="24"/>
          <w:szCs w:val="24"/>
          <w:highlight w:val="none"/>
          <w:u w:val="none" w:color="auto"/>
          <w:lang w:eastAsia="zh-CN"/>
        </w:rPr>
        <w:t>氯化物、硫酸盐等，含铜废水</w:t>
      </w:r>
      <w:r>
        <w:rPr>
          <w:rFonts w:hint="default" w:ascii="Times New Roman" w:hAnsi="Times New Roman" w:eastAsia="宋体" w:cs="Times New Roman"/>
          <w:color w:val="auto"/>
          <w:sz w:val="24"/>
          <w:szCs w:val="24"/>
          <w:highlight w:val="none"/>
          <w:u w:val="none" w:color="auto"/>
        </w:rPr>
        <w:t>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w:t>
      </w:r>
      <w:r>
        <w:rPr>
          <w:rFonts w:hint="default" w:ascii="Times New Roman" w:hAnsi="Times New Roman" w:eastAsia="宋体" w:cs="Times New Roman"/>
          <w:color w:val="auto"/>
          <w:sz w:val="24"/>
          <w:szCs w:val="24"/>
          <w:highlight w:val="none"/>
          <w:u w:val="none" w:color="auto"/>
          <w:lang w:eastAsia="zh-CN"/>
        </w:rPr>
        <w:t>总铜</w:t>
      </w:r>
      <w:r>
        <w:rPr>
          <w:rFonts w:hint="default" w:ascii="Times New Roman" w:hAnsi="Times New Roman" w:eastAsia="宋体" w:cs="Times New Roman"/>
          <w:color w:val="auto"/>
          <w:sz w:val="24"/>
          <w:szCs w:val="24"/>
          <w:highlight w:val="none"/>
          <w:u w:val="none" w:color="auto"/>
        </w:rPr>
        <w:t>、硫酸盐等，含锌</w:t>
      </w:r>
      <w:r>
        <w:rPr>
          <w:rFonts w:hint="default" w:ascii="Times New Roman" w:hAnsi="Times New Roman" w:eastAsia="宋体" w:cs="Times New Roman"/>
          <w:color w:val="auto"/>
          <w:sz w:val="24"/>
          <w:szCs w:val="24"/>
          <w:highlight w:val="none"/>
          <w:u w:val="none" w:color="auto"/>
          <w:lang w:eastAsia="zh-CN"/>
        </w:rPr>
        <w:t>镍</w:t>
      </w:r>
      <w:r>
        <w:rPr>
          <w:rFonts w:hint="default" w:ascii="Times New Roman" w:hAnsi="Times New Roman" w:eastAsia="宋体" w:cs="Times New Roman"/>
          <w:color w:val="auto"/>
          <w:sz w:val="24"/>
          <w:szCs w:val="24"/>
          <w:highlight w:val="none"/>
          <w:u w:val="none" w:color="auto"/>
        </w:rPr>
        <w:t>废水主要污染物为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w:t>
      </w:r>
      <w:r>
        <w:rPr>
          <w:rFonts w:hint="default" w:ascii="Times New Roman" w:hAnsi="Times New Roman" w:eastAsia="宋体" w:cs="Times New Roman"/>
          <w:color w:val="auto"/>
          <w:sz w:val="24"/>
          <w:szCs w:val="24"/>
          <w:highlight w:val="none"/>
          <w:u w:val="none" w:color="auto"/>
          <w:lang w:eastAsia="zh-CN"/>
        </w:rPr>
        <w:t>总锌</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总镍、</w:t>
      </w:r>
      <w:r>
        <w:rPr>
          <w:rFonts w:hint="default" w:ascii="Times New Roman" w:hAnsi="Times New Roman" w:eastAsia="宋体" w:cs="Times New Roman"/>
          <w:color w:val="auto"/>
          <w:sz w:val="24"/>
          <w:szCs w:val="24"/>
          <w:highlight w:val="none"/>
          <w:u w:val="none" w:color="auto"/>
        </w:rPr>
        <w:t>硫酸盐</w:t>
      </w:r>
      <w:r>
        <w:rPr>
          <w:rFonts w:hint="default" w:ascii="Times New Roman" w:hAnsi="Times New Roman" w:eastAsia="宋体" w:cs="Times New Roman"/>
          <w:color w:val="auto"/>
          <w:sz w:val="24"/>
          <w:szCs w:val="24"/>
          <w:highlight w:val="none"/>
          <w:u w:val="none" w:color="auto"/>
          <w:lang w:eastAsia="zh-CN"/>
        </w:rPr>
        <w:t>、氯化物</w:t>
      </w:r>
      <w:r>
        <w:rPr>
          <w:rFonts w:hint="default" w:ascii="Times New Roman" w:hAnsi="Times New Roman" w:eastAsia="宋体" w:cs="Times New Roman"/>
          <w:color w:val="auto"/>
          <w:sz w:val="24"/>
          <w:szCs w:val="24"/>
          <w:highlight w:val="none"/>
          <w:u w:val="none" w:color="auto"/>
        </w:rPr>
        <w:t>等</w:t>
      </w:r>
      <w:r>
        <w:rPr>
          <w:rFonts w:hint="default" w:ascii="Times New Roman" w:hAnsi="Times New Roman" w:eastAsia="宋体" w:cs="Times New Roman"/>
          <w:color w:val="auto"/>
          <w:sz w:val="24"/>
          <w:szCs w:val="24"/>
          <w:highlight w:val="none"/>
          <w:u w:val="none" w:color="auto"/>
          <w:lang w:eastAsia="zh-CN"/>
        </w:rPr>
        <w:t>，退镀</w:t>
      </w:r>
      <w:r>
        <w:rPr>
          <w:rFonts w:hint="default" w:ascii="Times New Roman" w:hAnsi="Times New Roman" w:eastAsia="宋体" w:cs="Times New Roman"/>
          <w:color w:val="auto"/>
          <w:sz w:val="24"/>
          <w:szCs w:val="24"/>
          <w:highlight w:val="none"/>
          <w:u w:val="none" w:color="auto"/>
        </w:rPr>
        <w:t>废水主要污染物为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w:t>
      </w:r>
      <w:r>
        <w:rPr>
          <w:rFonts w:hint="default" w:ascii="Times New Roman" w:hAnsi="Times New Roman" w:eastAsia="宋体" w:cs="Times New Roman"/>
          <w:color w:val="auto"/>
          <w:sz w:val="24"/>
          <w:szCs w:val="24"/>
          <w:highlight w:val="none"/>
          <w:u w:val="none" w:color="auto"/>
          <w:lang w:eastAsia="zh-CN"/>
        </w:rPr>
        <w:t>总铜</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总镍、</w:t>
      </w:r>
      <w:r>
        <w:rPr>
          <w:rFonts w:hint="default" w:ascii="Times New Roman" w:hAnsi="Times New Roman" w:eastAsia="宋体" w:cs="Times New Roman"/>
          <w:color w:val="auto"/>
          <w:sz w:val="24"/>
          <w:szCs w:val="24"/>
          <w:highlight w:val="none"/>
          <w:u w:val="none" w:color="auto"/>
        </w:rPr>
        <w:t>硫酸盐</w:t>
      </w:r>
      <w:r>
        <w:rPr>
          <w:rFonts w:hint="default" w:ascii="Times New Roman" w:hAnsi="Times New Roman" w:eastAsia="宋体" w:cs="Times New Roman"/>
          <w:color w:val="auto"/>
          <w:sz w:val="24"/>
          <w:szCs w:val="24"/>
          <w:highlight w:val="none"/>
          <w:u w:val="none" w:color="auto"/>
          <w:lang w:eastAsia="zh-CN"/>
        </w:rPr>
        <w:t>、氯化物，</w:t>
      </w:r>
      <w:r>
        <w:rPr>
          <w:rFonts w:hint="default" w:ascii="Times New Roman" w:hAnsi="Times New Roman" w:eastAsia="宋体" w:cs="Times New Roman"/>
          <w:color w:val="auto"/>
          <w:sz w:val="24"/>
          <w:szCs w:val="24"/>
          <w:highlight w:val="none"/>
          <w:u w:val="none" w:color="auto"/>
        </w:rPr>
        <w:t>车间地面清洁废水主要污染物为浓度较低的COD</w:t>
      </w:r>
      <w:r>
        <w:rPr>
          <w:rFonts w:hint="default" w:ascii="Times New Roman" w:hAnsi="Times New Roman" w:eastAsia="宋体" w:cs="Times New Roman"/>
          <w:color w:val="auto"/>
          <w:sz w:val="24"/>
          <w:szCs w:val="24"/>
          <w:highlight w:val="none"/>
          <w:u w:val="none" w:color="auto"/>
          <w:lang w:eastAsia="zh-CN"/>
        </w:rPr>
        <w:t>、氨氮、</w:t>
      </w:r>
      <w:r>
        <w:rPr>
          <w:rFonts w:hint="default" w:ascii="Times New Roman" w:hAnsi="Times New Roman" w:eastAsia="宋体" w:cs="Times New Roman"/>
          <w:color w:val="auto"/>
          <w:sz w:val="24"/>
          <w:szCs w:val="24"/>
          <w:highlight w:val="none"/>
          <w:u w:val="none" w:color="auto"/>
          <w:lang w:val="en-US" w:eastAsia="zh-CN"/>
        </w:rPr>
        <w:t>SS、</w:t>
      </w:r>
      <w:r>
        <w:rPr>
          <w:rFonts w:hint="default" w:ascii="Times New Roman" w:hAnsi="Times New Roman" w:eastAsia="宋体" w:cs="Times New Roman"/>
          <w:color w:val="auto"/>
          <w:sz w:val="24"/>
          <w:szCs w:val="24"/>
          <w:highlight w:val="none"/>
          <w:u w:val="none" w:color="auto"/>
          <w:lang w:eastAsia="zh-CN"/>
        </w:rPr>
        <w:t>总铜、总锌、总镍等，</w:t>
      </w:r>
      <w:r>
        <w:rPr>
          <w:rFonts w:hint="default" w:ascii="Times New Roman" w:hAnsi="Times New Roman" w:eastAsia="宋体" w:cs="Times New Roman"/>
          <w:color w:val="auto"/>
          <w:sz w:val="24"/>
          <w:szCs w:val="24"/>
          <w:highlight w:val="none"/>
          <w:u w:val="none" w:color="auto"/>
        </w:rPr>
        <w:t>废气处理设施废水主要污染物为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w:t>
      </w:r>
      <w:r>
        <w:rPr>
          <w:rFonts w:hint="default" w:ascii="Times New Roman" w:hAnsi="Times New Roman" w:eastAsia="宋体" w:cs="Times New Roman"/>
          <w:color w:val="auto"/>
          <w:sz w:val="24"/>
          <w:szCs w:val="24"/>
          <w:highlight w:val="none"/>
          <w:u w:val="none" w:color="auto"/>
          <w:lang w:eastAsia="zh-CN"/>
        </w:rPr>
        <w:t>、氨氮、氯化物、硫酸盐、硝酸盐等</w:t>
      </w:r>
      <w:r>
        <w:rPr>
          <w:rFonts w:hint="default" w:ascii="Times New Roman" w:hAnsi="Times New Roman" w:eastAsia="宋体" w:cs="Times New Roman"/>
          <w:color w:val="auto"/>
          <w:sz w:val="24"/>
          <w:szCs w:val="24"/>
          <w:highlight w:val="none"/>
          <w:u w:val="none" w:color="auto"/>
        </w:rPr>
        <w:t>，生活污水主要污染物有COD、SS、BOD5、氨氮、动植物油、总磷等。</w:t>
      </w:r>
    </w:p>
    <w:p w14:paraId="553169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（1）</w:t>
      </w:r>
      <w:r>
        <w:rPr>
          <w:rFonts w:hint="default" w:ascii="Times New Roman" w:hAnsi="Times New Roman" w:eastAsia="宋体" w:cs="Times New Roman"/>
          <w:color w:val="auto"/>
          <w:sz w:val="24"/>
          <w:szCs w:val="24"/>
          <w:highlight w:val="none"/>
          <w:u w:val="single" w:color="auto"/>
          <w:lang w:eastAsia="zh-CN"/>
        </w:rPr>
        <w:t>含油</w:t>
      </w:r>
      <w:r>
        <w:rPr>
          <w:rFonts w:hint="default" w:ascii="Times New Roman" w:hAnsi="Times New Roman" w:eastAsia="宋体" w:cs="Times New Roman"/>
          <w:color w:val="auto"/>
          <w:sz w:val="24"/>
          <w:szCs w:val="24"/>
          <w:highlight w:val="none"/>
          <w:u w:val="single" w:color="auto"/>
        </w:rPr>
        <w:t>废水</w:t>
      </w:r>
    </w:p>
    <w:p w14:paraId="674449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根据前述水平衡分析，</w:t>
      </w:r>
      <w:r>
        <w:rPr>
          <w:rFonts w:hint="default" w:ascii="Times New Roman" w:hAnsi="Times New Roman" w:eastAsia="宋体" w:cs="Times New Roman"/>
          <w:color w:val="auto"/>
          <w:sz w:val="24"/>
          <w:szCs w:val="24"/>
          <w:highlight w:val="none"/>
          <w:u w:val="single" w:color="auto"/>
          <w:lang w:eastAsia="zh-CN"/>
        </w:rPr>
        <w:t>含油</w:t>
      </w:r>
      <w:r>
        <w:rPr>
          <w:rFonts w:hint="default" w:ascii="Times New Roman" w:hAnsi="Times New Roman" w:eastAsia="宋体" w:cs="Times New Roman"/>
          <w:color w:val="auto"/>
          <w:sz w:val="24"/>
          <w:szCs w:val="24"/>
          <w:highlight w:val="none"/>
          <w:u w:val="single" w:color="auto"/>
        </w:rPr>
        <w:t>废水产生量为</w:t>
      </w:r>
      <w:r>
        <w:rPr>
          <w:rFonts w:hint="default" w:ascii="Times New Roman" w:hAnsi="Times New Roman" w:eastAsia="宋体" w:cs="Times New Roman"/>
          <w:color w:val="auto"/>
          <w:sz w:val="24"/>
          <w:szCs w:val="24"/>
          <w:highlight w:val="none"/>
          <w:u w:val="single" w:color="auto"/>
          <w:lang w:val="en-US" w:eastAsia="zh-CN"/>
        </w:rPr>
        <w:t>1733.1</w:t>
      </w:r>
      <w:r>
        <w:rPr>
          <w:rFonts w:hint="default" w:ascii="Times New Roman" w:hAnsi="Times New Roman" w:eastAsia="宋体" w:cs="Times New Roman"/>
          <w:color w:val="auto"/>
          <w:sz w:val="24"/>
          <w:szCs w:val="24"/>
          <w:highlight w:val="none"/>
          <w:u w:val="single" w:color="auto"/>
        </w:rPr>
        <w:t>m</w:t>
      </w:r>
      <w:r>
        <w:rPr>
          <w:rFonts w:hint="default" w:ascii="Times New Roman" w:hAnsi="Times New Roman" w:eastAsia="宋体" w:cs="Times New Roman"/>
          <w:color w:val="auto"/>
          <w:sz w:val="24"/>
          <w:szCs w:val="24"/>
          <w:highlight w:val="none"/>
          <w:u w:val="single" w:color="auto"/>
          <w:vertAlign w:val="superscript"/>
        </w:rPr>
        <w:t>3</w:t>
      </w:r>
      <w:r>
        <w:rPr>
          <w:rFonts w:hint="default" w:ascii="Times New Roman" w:hAnsi="Times New Roman" w:eastAsia="宋体" w:cs="Times New Roman"/>
          <w:color w:val="auto"/>
          <w:sz w:val="24"/>
          <w:szCs w:val="24"/>
          <w:highlight w:val="none"/>
          <w:u w:val="single" w:color="auto"/>
        </w:rPr>
        <w:t>/a（</w:t>
      </w:r>
      <w:r>
        <w:rPr>
          <w:rFonts w:hint="default" w:ascii="Times New Roman" w:hAnsi="Times New Roman" w:eastAsia="宋体" w:cs="Times New Roman"/>
          <w:color w:val="auto"/>
          <w:sz w:val="24"/>
          <w:szCs w:val="24"/>
          <w:highlight w:val="none"/>
          <w:u w:val="single" w:color="auto"/>
          <w:lang w:val="en-US" w:eastAsia="zh-CN"/>
        </w:rPr>
        <w:t>5.777</w:t>
      </w:r>
      <w:r>
        <w:rPr>
          <w:rFonts w:hint="default" w:ascii="Times New Roman" w:hAnsi="Times New Roman" w:eastAsia="宋体" w:cs="Times New Roman"/>
          <w:color w:val="auto"/>
          <w:sz w:val="24"/>
          <w:szCs w:val="24"/>
          <w:highlight w:val="none"/>
          <w:u w:val="single" w:color="auto"/>
        </w:rPr>
        <w:t>m</w:t>
      </w:r>
      <w:r>
        <w:rPr>
          <w:rFonts w:hint="default" w:ascii="Times New Roman" w:hAnsi="Times New Roman" w:eastAsia="宋体" w:cs="Times New Roman"/>
          <w:color w:val="auto"/>
          <w:sz w:val="24"/>
          <w:szCs w:val="24"/>
          <w:highlight w:val="none"/>
          <w:u w:val="single" w:color="auto"/>
          <w:vertAlign w:val="superscript"/>
        </w:rPr>
        <w:t>3</w:t>
      </w:r>
      <w:r>
        <w:rPr>
          <w:rFonts w:hint="default" w:ascii="Times New Roman" w:hAnsi="Times New Roman" w:eastAsia="宋体" w:cs="Times New Roman"/>
          <w:color w:val="auto"/>
          <w:sz w:val="24"/>
          <w:szCs w:val="24"/>
          <w:highlight w:val="none"/>
          <w:u w:val="single" w:color="auto"/>
        </w:rPr>
        <w:t>/d），主要污染物为</w:t>
      </w:r>
      <w:r>
        <w:rPr>
          <w:rFonts w:hint="default" w:ascii="Times New Roman" w:hAnsi="Times New Roman" w:eastAsia="宋体" w:cs="Times New Roman"/>
          <w:color w:val="auto"/>
          <w:sz w:val="24"/>
          <w:szCs w:val="24"/>
          <w:highlight w:val="none"/>
          <w:u w:val="single" w:color="auto"/>
          <w:lang w:val="en-US" w:eastAsia="zh-CN"/>
        </w:rPr>
        <w:t>pH、</w:t>
      </w:r>
      <w:r>
        <w:rPr>
          <w:rFonts w:hint="default" w:ascii="Times New Roman" w:hAnsi="Times New Roman" w:eastAsia="宋体" w:cs="Times New Roman"/>
          <w:color w:val="auto"/>
          <w:sz w:val="24"/>
          <w:szCs w:val="24"/>
          <w:highlight w:val="none"/>
          <w:u w:val="single" w:color="auto"/>
        </w:rPr>
        <w:t>石油类、COD等，经厂内</w:t>
      </w:r>
      <w:r>
        <w:rPr>
          <w:rFonts w:hint="default" w:ascii="Times New Roman" w:hAnsi="Times New Roman" w:eastAsia="宋体" w:cs="Times New Roman"/>
          <w:color w:val="auto"/>
          <w:sz w:val="24"/>
          <w:szCs w:val="24"/>
          <w:highlight w:val="none"/>
          <w:u w:val="single" w:color="auto"/>
          <w:lang w:eastAsia="zh-CN"/>
        </w:rPr>
        <w:t>非重金属废水处理站处理后回用于除油、</w:t>
      </w:r>
      <w:r>
        <w:rPr>
          <w:rFonts w:hint="eastAsia" w:ascii="Times New Roman" w:hAnsi="Times New Roman" w:eastAsia="宋体" w:cs="Times New Roman"/>
          <w:color w:val="auto"/>
          <w:sz w:val="24"/>
          <w:szCs w:val="24"/>
          <w:highlight w:val="none"/>
          <w:u w:val="single" w:color="auto"/>
          <w:lang w:val="en-US" w:eastAsia="zh-CN"/>
        </w:rPr>
        <w:t>电镀车间</w:t>
      </w:r>
      <w:r>
        <w:rPr>
          <w:rFonts w:hint="default" w:ascii="Times New Roman" w:hAnsi="Times New Roman" w:eastAsia="宋体" w:cs="Times New Roman"/>
          <w:color w:val="auto"/>
          <w:sz w:val="24"/>
          <w:szCs w:val="24"/>
          <w:highlight w:val="none"/>
          <w:u w:val="single" w:color="auto"/>
          <w:lang w:eastAsia="zh-CN"/>
        </w:rPr>
        <w:t>地面</w:t>
      </w:r>
      <w:r>
        <w:rPr>
          <w:rFonts w:hint="eastAsia" w:ascii="Times New Roman" w:hAnsi="Times New Roman" w:eastAsia="宋体" w:cs="Times New Roman"/>
          <w:color w:val="auto"/>
          <w:sz w:val="24"/>
          <w:szCs w:val="24"/>
          <w:highlight w:val="none"/>
          <w:u w:val="single" w:color="auto"/>
          <w:lang w:val="en-US" w:eastAsia="zh-CN"/>
        </w:rPr>
        <w:t>清洗</w:t>
      </w:r>
      <w:r>
        <w:rPr>
          <w:rFonts w:hint="default" w:ascii="Times New Roman" w:hAnsi="Times New Roman" w:eastAsia="宋体" w:cs="Times New Roman"/>
          <w:color w:val="auto"/>
          <w:sz w:val="24"/>
          <w:szCs w:val="24"/>
          <w:highlight w:val="none"/>
          <w:u w:val="single" w:color="auto"/>
        </w:rPr>
        <w:t>，</w:t>
      </w:r>
      <w:r>
        <w:rPr>
          <w:rFonts w:hint="eastAsia" w:ascii="Times New Roman" w:hAnsi="Times New Roman" w:eastAsia="宋体" w:cs="Times New Roman"/>
          <w:color w:val="auto"/>
          <w:sz w:val="24"/>
          <w:szCs w:val="24"/>
          <w:highlight w:val="none"/>
          <w:u w:val="single" w:color="auto"/>
          <w:lang w:val="en-US" w:eastAsia="zh-CN"/>
        </w:rPr>
        <w:t>剩余浓水</w:t>
      </w:r>
      <w:r>
        <w:rPr>
          <w:rFonts w:hint="default" w:ascii="Times New Roman" w:hAnsi="Times New Roman" w:eastAsia="宋体" w:cs="Times New Roman"/>
          <w:color w:val="auto"/>
          <w:sz w:val="24"/>
          <w:szCs w:val="24"/>
          <w:highlight w:val="none"/>
          <w:u w:val="single" w:color="auto"/>
          <w:lang w:eastAsia="zh-CN"/>
        </w:rPr>
        <w:t>经</w:t>
      </w:r>
      <w:r>
        <w:rPr>
          <w:rFonts w:hint="default" w:ascii="Times New Roman" w:hAnsi="Times New Roman" w:eastAsia="宋体" w:cs="Times New Roman"/>
          <w:color w:val="auto"/>
          <w:sz w:val="24"/>
          <w:szCs w:val="24"/>
          <w:highlight w:val="none"/>
          <w:u w:val="single" w:color="auto"/>
          <w:lang w:val="en-US" w:eastAsia="zh-CN"/>
        </w:rPr>
        <w:t>三效蒸发器</w:t>
      </w:r>
      <w:r>
        <w:rPr>
          <w:rFonts w:hint="eastAsia" w:ascii="Times New Roman" w:hAnsi="Times New Roman" w:eastAsia="宋体" w:cs="Times New Roman"/>
          <w:color w:val="auto"/>
          <w:sz w:val="24"/>
          <w:szCs w:val="24"/>
          <w:highlight w:val="none"/>
          <w:u w:val="single" w:color="auto"/>
          <w:lang w:val="en-US" w:eastAsia="zh-CN"/>
        </w:rPr>
        <w:t>蒸发后冷凝水</w:t>
      </w:r>
      <w:r>
        <w:rPr>
          <w:rFonts w:hint="default" w:ascii="Times New Roman" w:hAnsi="Times New Roman" w:eastAsia="宋体" w:cs="Times New Roman"/>
          <w:color w:val="auto"/>
          <w:sz w:val="24"/>
          <w:szCs w:val="24"/>
          <w:highlight w:val="none"/>
          <w:u w:val="single" w:color="auto"/>
          <w:lang w:val="en-US" w:eastAsia="zh-CN"/>
        </w:rPr>
        <w:t>回用于退镀及</w:t>
      </w:r>
      <w:r>
        <w:rPr>
          <w:rFonts w:hint="default" w:ascii="Times New Roman" w:hAnsi="Times New Roman" w:eastAsia="宋体" w:cs="Times New Roman"/>
          <w:color w:val="auto"/>
          <w:sz w:val="24"/>
          <w:szCs w:val="24"/>
          <w:highlight w:val="none"/>
          <w:u w:val="single" w:color="auto"/>
          <w:lang w:eastAsia="zh-CN"/>
        </w:rPr>
        <w:t>镀超硬材料后清洗，不外排</w:t>
      </w:r>
      <w:r>
        <w:rPr>
          <w:rFonts w:hint="default" w:ascii="Times New Roman" w:hAnsi="Times New Roman" w:eastAsia="宋体" w:cs="Times New Roman"/>
          <w:color w:val="auto"/>
          <w:sz w:val="24"/>
          <w:szCs w:val="24"/>
          <w:highlight w:val="none"/>
          <w:u w:val="single" w:color="auto"/>
        </w:rPr>
        <w:t>。</w:t>
      </w:r>
    </w:p>
    <w:p w14:paraId="0FDF4D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val="en-US" w:eastAsia="zh-CN"/>
        </w:rPr>
        <w:t>2</w:t>
      </w:r>
      <w:r>
        <w:rPr>
          <w:rFonts w:hint="default" w:ascii="Times New Roman" w:hAnsi="Times New Roman" w:eastAsia="宋体" w:cs="Times New Roman"/>
          <w:color w:val="auto"/>
          <w:sz w:val="24"/>
          <w:szCs w:val="24"/>
          <w:highlight w:val="none"/>
          <w:u w:val="single" w:color="auto"/>
        </w:rPr>
        <w:t>）酸碱废水</w:t>
      </w:r>
    </w:p>
    <w:p w14:paraId="66AC67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根据前述水平衡分析，</w:t>
      </w:r>
      <w:r>
        <w:rPr>
          <w:rFonts w:hint="default" w:ascii="Times New Roman" w:hAnsi="Times New Roman" w:eastAsia="宋体" w:cs="Times New Roman"/>
          <w:color w:val="auto"/>
          <w:sz w:val="24"/>
          <w:szCs w:val="24"/>
          <w:highlight w:val="none"/>
          <w:u w:val="single" w:color="auto"/>
          <w:lang w:eastAsia="zh-CN"/>
        </w:rPr>
        <w:t>酸碱</w:t>
      </w:r>
      <w:r>
        <w:rPr>
          <w:rFonts w:hint="default" w:ascii="Times New Roman" w:hAnsi="Times New Roman" w:eastAsia="宋体" w:cs="Times New Roman"/>
          <w:color w:val="auto"/>
          <w:sz w:val="24"/>
          <w:szCs w:val="24"/>
          <w:highlight w:val="none"/>
          <w:u w:val="single" w:color="auto"/>
        </w:rPr>
        <w:t>废水产生量为</w:t>
      </w:r>
      <w:r>
        <w:rPr>
          <w:rFonts w:hint="default" w:ascii="Times New Roman" w:hAnsi="Times New Roman" w:eastAsia="宋体" w:cs="Times New Roman"/>
          <w:color w:val="auto"/>
          <w:sz w:val="24"/>
          <w:szCs w:val="24"/>
          <w:highlight w:val="none"/>
          <w:u w:val="single" w:color="auto"/>
          <w:lang w:val="en-US" w:eastAsia="zh-CN"/>
        </w:rPr>
        <w:t>5027.7</w:t>
      </w:r>
      <w:r>
        <w:rPr>
          <w:rFonts w:hint="default" w:ascii="Times New Roman" w:hAnsi="Times New Roman" w:eastAsia="宋体" w:cs="Times New Roman"/>
          <w:color w:val="auto"/>
          <w:sz w:val="24"/>
          <w:szCs w:val="24"/>
          <w:highlight w:val="none"/>
          <w:u w:val="single" w:color="auto"/>
        </w:rPr>
        <w:t>m</w:t>
      </w:r>
      <w:r>
        <w:rPr>
          <w:rFonts w:hint="default" w:ascii="Times New Roman" w:hAnsi="Times New Roman" w:eastAsia="宋体" w:cs="Times New Roman"/>
          <w:color w:val="auto"/>
          <w:sz w:val="24"/>
          <w:szCs w:val="24"/>
          <w:highlight w:val="none"/>
          <w:u w:val="single" w:color="auto"/>
          <w:vertAlign w:val="superscript"/>
        </w:rPr>
        <w:t>3</w:t>
      </w:r>
      <w:r>
        <w:rPr>
          <w:rFonts w:hint="default" w:ascii="Times New Roman" w:hAnsi="Times New Roman" w:eastAsia="宋体" w:cs="Times New Roman"/>
          <w:color w:val="auto"/>
          <w:sz w:val="24"/>
          <w:szCs w:val="24"/>
          <w:highlight w:val="none"/>
          <w:u w:val="single" w:color="auto"/>
        </w:rPr>
        <w:t>/a（</w:t>
      </w:r>
      <w:r>
        <w:rPr>
          <w:rFonts w:hint="default" w:ascii="Times New Roman" w:hAnsi="Times New Roman" w:eastAsia="宋体" w:cs="Times New Roman"/>
          <w:color w:val="auto"/>
          <w:sz w:val="24"/>
          <w:szCs w:val="24"/>
          <w:highlight w:val="none"/>
          <w:u w:val="single" w:color="auto"/>
          <w:lang w:val="en-US" w:eastAsia="zh-CN"/>
        </w:rPr>
        <w:t>16.759</w:t>
      </w:r>
      <w:r>
        <w:rPr>
          <w:rFonts w:hint="default" w:ascii="Times New Roman" w:hAnsi="Times New Roman" w:eastAsia="宋体" w:cs="Times New Roman"/>
          <w:color w:val="auto"/>
          <w:sz w:val="24"/>
          <w:szCs w:val="24"/>
          <w:highlight w:val="none"/>
          <w:u w:val="single" w:color="auto"/>
        </w:rPr>
        <w:t>m</w:t>
      </w:r>
      <w:r>
        <w:rPr>
          <w:rFonts w:hint="default" w:ascii="Times New Roman" w:hAnsi="Times New Roman" w:eastAsia="宋体" w:cs="Times New Roman"/>
          <w:color w:val="auto"/>
          <w:sz w:val="24"/>
          <w:szCs w:val="24"/>
          <w:highlight w:val="none"/>
          <w:u w:val="single" w:color="auto"/>
          <w:vertAlign w:val="superscript"/>
        </w:rPr>
        <w:t>3</w:t>
      </w:r>
      <w:r>
        <w:rPr>
          <w:rFonts w:hint="default" w:ascii="Times New Roman" w:hAnsi="Times New Roman" w:eastAsia="宋体" w:cs="Times New Roman"/>
          <w:color w:val="auto"/>
          <w:sz w:val="24"/>
          <w:szCs w:val="24"/>
          <w:highlight w:val="none"/>
          <w:u w:val="single" w:color="auto"/>
        </w:rPr>
        <w:t>/d），主要污染物为</w:t>
      </w:r>
      <w:r>
        <w:rPr>
          <w:rFonts w:hint="default" w:ascii="Times New Roman" w:hAnsi="Times New Roman" w:eastAsia="宋体" w:cs="Times New Roman"/>
          <w:color w:val="auto"/>
          <w:sz w:val="24"/>
          <w:szCs w:val="24"/>
          <w:highlight w:val="none"/>
          <w:u w:val="single" w:color="auto"/>
          <w:lang w:val="en-US" w:eastAsia="zh-CN"/>
        </w:rPr>
        <w:t>pH、</w:t>
      </w:r>
      <w:r>
        <w:rPr>
          <w:rFonts w:hint="default" w:ascii="Times New Roman" w:hAnsi="Times New Roman" w:eastAsia="宋体" w:cs="Times New Roman"/>
          <w:color w:val="auto"/>
          <w:sz w:val="24"/>
          <w:szCs w:val="24"/>
          <w:highlight w:val="none"/>
          <w:u w:val="single" w:color="auto"/>
        </w:rPr>
        <w:t>COD等，经厂内</w:t>
      </w:r>
      <w:r>
        <w:rPr>
          <w:rFonts w:hint="default" w:ascii="Times New Roman" w:hAnsi="Times New Roman" w:eastAsia="宋体" w:cs="Times New Roman"/>
          <w:color w:val="auto"/>
          <w:sz w:val="24"/>
          <w:szCs w:val="24"/>
          <w:highlight w:val="none"/>
          <w:u w:val="single" w:color="auto"/>
          <w:lang w:eastAsia="zh-CN"/>
        </w:rPr>
        <w:t>非重金属废水处理站处理后回用于出光、活化、</w:t>
      </w:r>
      <w:r>
        <w:rPr>
          <w:rFonts w:hint="eastAsia" w:ascii="Times New Roman" w:hAnsi="Times New Roman" w:eastAsia="宋体" w:cs="Times New Roman"/>
          <w:color w:val="auto"/>
          <w:sz w:val="24"/>
          <w:szCs w:val="24"/>
          <w:highlight w:val="none"/>
          <w:u w:val="single" w:color="auto"/>
          <w:lang w:val="en-US" w:eastAsia="zh-CN"/>
        </w:rPr>
        <w:t>电镀车间</w:t>
      </w:r>
      <w:r>
        <w:rPr>
          <w:rFonts w:hint="default" w:ascii="Times New Roman" w:hAnsi="Times New Roman" w:eastAsia="宋体" w:cs="Times New Roman"/>
          <w:color w:val="auto"/>
          <w:sz w:val="24"/>
          <w:szCs w:val="24"/>
          <w:highlight w:val="none"/>
          <w:u w:val="single" w:color="auto"/>
          <w:lang w:eastAsia="zh-CN"/>
        </w:rPr>
        <w:t>地面</w:t>
      </w:r>
      <w:r>
        <w:rPr>
          <w:rFonts w:hint="eastAsia" w:ascii="Times New Roman" w:hAnsi="Times New Roman" w:eastAsia="宋体" w:cs="Times New Roman"/>
          <w:color w:val="auto"/>
          <w:sz w:val="24"/>
          <w:szCs w:val="24"/>
          <w:highlight w:val="none"/>
          <w:u w:val="single" w:color="auto"/>
          <w:lang w:val="en-US" w:eastAsia="zh-CN"/>
        </w:rPr>
        <w:t>清洗</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eastAsia="zh-CN"/>
        </w:rPr>
        <w:t>剩余</w:t>
      </w:r>
      <w:r>
        <w:rPr>
          <w:rFonts w:hint="eastAsia" w:ascii="Times New Roman" w:hAnsi="Times New Roman" w:eastAsia="宋体" w:cs="Times New Roman"/>
          <w:color w:val="auto"/>
          <w:sz w:val="24"/>
          <w:szCs w:val="24"/>
          <w:highlight w:val="none"/>
          <w:u w:val="single" w:color="auto"/>
          <w:lang w:val="en-US" w:eastAsia="zh-CN"/>
        </w:rPr>
        <w:t>浓水</w:t>
      </w:r>
      <w:r>
        <w:rPr>
          <w:rFonts w:hint="default" w:ascii="Times New Roman" w:hAnsi="Times New Roman" w:eastAsia="宋体" w:cs="Times New Roman"/>
          <w:color w:val="auto"/>
          <w:sz w:val="24"/>
          <w:szCs w:val="24"/>
          <w:highlight w:val="none"/>
          <w:u w:val="single" w:color="auto"/>
          <w:lang w:eastAsia="zh-CN"/>
        </w:rPr>
        <w:t>经</w:t>
      </w:r>
      <w:r>
        <w:rPr>
          <w:rFonts w:hint="default" w:ascii="Times New Roman" w:hAnsi="Times New Roman" w:eastAsia="宋体" w:cs="Times New Roman"/>
          <w:color w:val="auto"/>
          <w:sz w:val="24"/>
          <w:szCs w:val="24"/>
          <w:highlight w:val="none"/>
          <w:u w:val="single" w:color="auto"/>
          <w:lang w:val="en-US" w:eastAsia="zh-CN"/>
        </w:rPr>
        <w:t>三效蒸发器</w:t>
      </w:r>
      <w:r>
        <w:rPr>
          <w:rFonts w:hint="eastAsia" w:ascii="Times New Roman" w:hAnsi="Times New Roman" w:eastAsia="宋体" w:cs="Times New Roman"/>
          <w:color w:val="auto"/>
          <w:sz w:val="24"/>
          <w:szCs w:val="24"/>
          <w:highlight w:val="none"/>
          <w:u w:val="single" w:color="auto"/>
          <w:lang w:val="en-US" w:eastAsia="zh-CN"/>
        </w:rPr>
        <w:t>蒸发后冷凝水</w:t>
      </w:r>
      <w:r>
        <w:rPr>
          <w:rFonts w:hint="default" w:ascii="Times New Roman" w:hAnsi="Times New Roman" w:eastAsia="宋体" w:cs="Times New Roman"/>
          <w:color w:val="auto"/>
          <w:sz w:val="24"/>
          <w:szCs w:val="24"/>
          <w:highlight w:val="none"/>
          <w:u w:val="single" w:color="auto"/>
          <w:lang w:val="en-US" w:eastAsia="zh-CN"/>
        </w:rPr>
        <w:t>回用于退镀及</w:t>
      </w:r>
      <w:r>
        <w:rPr>
          <w:rFonts w:hint="default" w:ascii="Times New Roman" w:hAnsi="Times New Roman" w:eastAsia="宋体" w:cs="Times New Roman"/>
          <w:color w:val="auto"/>
          <w:sz w:val="24"/>
          <w:szCs w:val="24"/>
          <w:highlight w:val="none"/>
          <w:u w:val="single" w:color="auto"/>
          <w:lang w:eastAsia="zh-CN"/>
        </w:rPr>
        <w:t>镀超硬材料后清洗，不外排</w:t>
      </w:r>
      <w:r>
        <w:rPr>
          <w:rFonts w:hint="default" w:ascii="Times New Roman" w:hAnsi="Times New Roman" w:eastAsia="宋体" w:cs="Times New Roman"/>
          <w:color w:val="auto"/>
          <w:sz w:val="24"/>
          <w:szCs w:val="24"/>
          <w:highlight w:val="none"/>
          <w:u w:val="single" w:color="auto"/>
        </w:rPr>
        <w:t>。</w:t>
      </w:r>
    </w:p>
    <w:p w14:paraId="4F26CF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rPr>
        <w:t>）含镍废水</w:t>
      </w:r>
    </w:p>
    <w:p w14:paraId="777FE0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根据前述水平衡分析，含镍废水产生量为</w:t>
      </w:r>
      <w:r>
        <w:rPr>
          <w:rFonts w:hint="default" w:ascii="Times New Roman" w:hAnsi="Times New Roman" w:eastAsia="宋体" w:cs="Times New Roman"/>
          <w:color w:val="auto"/>
          <w:sz w:val="24"/>
          <w:szCs w:val="24"/>
          <w:highlight w:val="none"/>
          <w:u w:val="none" w:color="auto"/>
          <w:lang w:val="en-US" w:eastAsia="zh-CN"/>
        </w:rPr>
        <w:t>4311</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default" w:ascii="Times New Roman" w:hAnsi="Times New Roman" w:eastAsia="宋体" w:cs="Times New Roman"/>
          <w:color w:val="auto"/>
          <w:sz w:val="24"/>
          <w:szCs w:val="24"/>
          <w:highlight w:val="none"/>
          <w:u w:val="none" w:color="auto"/>
          <w:lang w:val="en-US" w:eastAsia="zh-CN"/>
        </w:rPr>
        <w:t>14.37</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/d），电镀镍废水主要污染物为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、COD、SS、总镍、氨氮、</w:t>
      </w:r>
      <w:r>
        <w:rPr>
          <w:rFonts w:hint="default" w:ascii="Times New Roman" w:hAnsi="Times New Roman" w:eastAsia="宋体" w:cs="Times New Roman"/>
          <w:color w:val="auto"/>
          <w:sz w:val="24"/>
          <w:szCs w:val="24"/>
          <w:highlight w:val="none"/>
          <w:u w:val="none" w:color="auto"/>
          <w:lang w:eastAsia="zh-CN"/>
        </w:rPr>
        <w:t>氯化物、硫酸盐等，</w:t>
      </w:r>
      <w:r>
        <w:rPr>
          <w:rFonts w:hint="default" w:ascii="Times New Roman" w:hAnsi="Times New Roman" w:eastAsia="宋体" w:cs="Times New Roman"/>
          <w:color w:val="auto"/>
          <w:sz w:val="24"/>
          <w:szCs w:val="24"/>
          <w:highlight w:val="none"/>
          <w:u w:val="none" w:color="auto"/>
        </w:rPr>
        <w:t>经厂内</w:t>
      </w:r>
      <w:r>
        <w:rPr>
          <w:rFonts w:hint="default" w:ascii="Times New Roman" w:hAnsi="Times New Roman" w:eastAsia="宋体" w:cs="Times New Roman"/>
          <w:color w:val="auto"/>
          <w:sz w:val="24"/>
          <w:szCs w:val="24"/>
          <w:highlight w:val="none"/>
          <w:u w:val="none" w:color="auto"/>
          <w:lang w:eastAsia="zh-CN"/>
        </w:rPr>
        <w:t>重金属</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处理站</w:t>
      </w:r>
      <w:r>
        <w:rPr>
          <w:rFonts w:hint="default" w:ascii="Times New Roman" w:hAnsi="Times New Roman" w:eastAsia="宋体" w:cs="Times New Roman"/>
          <w:color w:val="auto"/>
          <w:sz w:val="24"/>
          <w:szCs w:val="24"/>
          <w:highlight w:val="none"/>
          <w:u w:val="none" w:color="auto"/>
        </w:rPr>
        <w:t>预处理</w:t>
      </w:r>
      <w:r>
        <w:rPr>
          <w:rFonts w:hint="default" w:ascii="Times New Roman" w:hAnsi="Times New Roman" w:eastAsia="宋体" w:cs="Times New Roman"/>
          <w:color w:val="auto"/>
          <w:sz w:val="24"/>
          <w:szCs w:val="24"/>
          <w:highlight w:val="none"/>
          <w:u w:val="none" w:color="auto"/>
          <w:lang w:eastAsia="zh-CN"/>
        </w:rPr>
        <w:t>后经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回用于退镀及</w:t>
      </w:r>
      <w:r>
        <w:rPr>
          <w:rFonts w:hint="default" w:ascii="Times New Roman" w:hAnsi="Times New Roman" w:eastAsia="宋体" w:cs="Times New Roman"/>
          <w:color w:val="auto"/>
          <w:sz w:val="24"/>
          <w:szCs w:val="24"/>
          <w:highlight w:val="none"/>
          <w:u w:val="none" w:color="auto"/>
          <w:lang w:eastAsia="zh-CN"/>
        </w:rPr>
        <w:t>镀超硬材料后清洗，不外排</w:t>
      </w:r>
      <w:r>
        <w:rPr>
          <w:rFonts w:hint="default" w:ascii="Times New Roman" w:hAnsi="Times New Roman" w:eastAsia="宋体" w:cs="Times New Roman"/>
          <w:color w:val="auto"/>
          <w:sz w:val="24"/>
          <w:szCs w:val="24"/>
          <w:highlight w:val="none"/>
          <w:u w:val="none" w:color="auto"/>
        </w:rPr>
        <w:t>。</w:t>
      </w:r>
    </w:p>
    <w:p w14:paraId="46F836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）含锌</w:t>
      </w:r>
      <w:r>
        <w:rPr>
          <w:rFonts w:hint="default" w:ascii="Times New Roman" w:hAnsi="Times New Roman" w:eastAsia="宋体" w:cs="Times New Roman"/>
          <w:color w:val="auto"/>
          <w:sz w:val="24"/>
          <w:szCs w:val="24"/>
          <w:highlight w:val="none"/>
          <w:u w:val="none" w:color="auto"/>
          <w:lang w:eastAsia="zh-CN"/>
        </w:rPr>
        <w:t>镍</w:t>
      </w:r>
      <w:r>
        <w:rPr>
          <w:rFonts w:hint="default" w:ascii="Times New Roman" w:hAnsi="Times New Roman" w:eastAsia="宋体" w:cs="Times New Roman"/>
          <w:color w:val="auto"/>
          <w:sz w:val="24"/>
          <w:szCs w:val="24"/>
          <w:highlight w:val="none"/>
          <w:u w:val="none" w:color="auto"/>
        </w:rPr>
        <w:t>废水</w:t>
      </w:r>
    </w:p>
    <w:p w14:paraId="46D50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根据前述水平衡分析，含锌废水产生量为</w:t>
      </w:r>
      <w:r>
        <w:rPr>
          <w:rFonts w:hint="default" w:ascii="Times New Roman" w:hAnsi="Times New Roman" w:eastAsia="宋体" w:cs="Times New Roman"/>
          <w:color w:val="auto"/>
          <w:sz w:val="24"/>
          <w:szCs w:val="24"/>
          <w:highlight w:val="none"/>
          <w:u w:val="none" w:color="auto"/>
          <w:lang w:val="en-US" w:eastAsia="zh-CN"/>
        </w:rPr>
        <w:t>1103.7</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default" w:ascii="Times New Roman" w:hAnsi="Times New Roman" w:eastAsia="宋体" w:cs="Times New Roman"/>
          <w:color w:val="auto"/>
          <w:sz w:val="24"/>
          <w:szCs w:val="24"/>
          <w:highlight w:val="none"/>
          <w:u w:val="none" w:color="auto"/>
          <w:lang w:val="en-US" w:eastAsia="zh-CN"/>
        </w:rPr>
        <w:t>3.679</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w:t>
      </w:r>
      <w:r>
        <w:rPr>
          <w:rFonts w:hint="default" w:ascii="Times New Roman" w:hAnsi="Times New Roman" w:eastAsia="宋体" w:cs="Times New Roman"/>
          <w:color w:val="auto"/>
          <w:sz w:val="24"/>
          <w:szCs w:val="24"/>
          <w:highlight w:val="none"/>
          <w:u w:val="none" w:color="auto"/>
          <w:lang w:eastAsia="zh-CN"/>
        </w:rPr>
        <w:t>总锌</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总镍、</w:t>
      </w:r>
      <w:r>
        <w:rPr>
          <w:rFonts w:hint="default" w:ascii="Times New Roman" w:hAnsi="Times New Roman" w:eastAsia="宋体" w:cs="Times New Roman"/>
          <w:color w:val="auto"/>
          <w:sz w:val="24"/>
          <w:szCs w:val="24"/>
          <w:highlight w:val="none"/>
          <w:u w:val="none" w:color="auto"/>
        </w:rPr>
        <w:t>硫酸盐</w:t>
      </w:r>
      <w:r>
        <w:rPr>
          <w:rFonts w:hint="default" w:ascii="Times New Roman" w:hAnsi="Times New Roman" w:eastAsia="宋体" w:cs="Times New Roman"/>
          <w:color w:val="auto"/>
          <w:sz w:val="24"/>
          <w:szCs w:val="24"/>
          <w:highlight w:val="none"/>
          <w:u w:val="none" w:color="auto"/>
          <w:lang w:eastAsia="zh-CN"/>
        </w:rPr>
        <w:t>、氯化物</w:t>
      </w:r>
      <w:r>
        <w:rPr>
          <w:rFonts w:hint="default" w:ascii="Times New Roman" w:hAnsi="Times New Roman" w:eastAsia="宋体" w:cs="Times New Roman"/>
          <w:color w:val="auto"/>
          <w:sz w:val="24"/>
          <w:szCs w:val="24"/>
          <w:highlight w:val="none"/>
          <w:u w:val="none" w:color="auto"/>
        </w:rPr>
        <w:t>等，经厂内</w:t>
      </w:r>
      <w:r>
        <w:rPr>
          <w:rFonts w:hint="default" w:ascii="Times New Roman" w:hAnsi="Times New Roman" w:eastAsia="宋体" w:cs="Times New Roman"/>
          <w:color w:val="auto"/>
          <w:sz w:val="24"/>
          <w:szCs w:val="24"/>
          <w:highlight w:val="none"/>
          <w:u w:val="none" w:color="auto"/>
          <w:lang w:eastAsia="zh-CN"/>
        </w:rPr>
        <w:t>重金属</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处理站</w:t>
      </w:r>
      <w:r>
        <w:rPr>
          <w:rFonts w:hint="default" w:ascii="Times New Roman" w:hAnsi="Times New Roman" w:eastAsia="宋体" w:cs="Times New Roman"/>
          <w:color w:val="auto"/>
          <w:sz w:val="24"/>
          <w:szCs w:val="24"/>
          <w:highlight w:val="none"/>
          <w:u w:val="none" w:color="auto"/>
        </w:rPr>
        <w:t>预处理</w:t>
      </w:r>
      <w:r>
        <w:rPr>
          <w:rFonts w:hint="default" w:ascii="Times New Roman" w:hAnsi="Times New Roman" w:eastAsia="宋体" w:cs="Times New Roman"/>
          <w:color w:val="auto"/>
          <w:sz w:val="24"/>
          <w:szCs w:val="24"/>
          <w:highlight w:val="none"/>
          <w:u w:val="none" w:color="auto"/>
          <w:lang w:eastAsia="zh-CN"/>
        </w:rPr>
        <w:t>后经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回用于退镀及</w:t>
      </w:r>
      <w:r>
        <w:rPr>
          <w:rFonts w:hint="default" w:ascii="Times New Roman" w:hAnsi="Times New Roman" w:eastAsia="宋体" w:cs="Times New Roman"/>
          <w:color w:val="auto"/>
          <w:sz w:val="24"/>
          <w:szCs w:val="24"/>
          <w:highlight w:val="none"/>
          <w:u w:val="none" w:color="auto"/>
          <w:lang w:eastAsia="zh-CN"/>
        </w:rPr>
        <w:t>镀超硬材料后清洗，不外排</w:t>
      </w:r>
      <w:r>
        <w:rPr>
          <w:rFonts w:hint="default" w:ascii="Times New Roman" w:hAnsi="Times New Roman" w:eastAsia="宋体" w:cs="Times New Roman"/>
          <w:color w:val="auto"/>
          <w:sz w:val="24"/>
          <w:szCs w:val="24"/>
          <w:highlight w:val="none"/>
          <w:u w:val="none" w:color="auto"/>
        </w:rPr>
        <w:t>。</w:t>
      </w:r>
    </w:p>
    <w:p w14:paraId="755DE5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5</w:t>
      </w:r>
      <w:r>
        <w:rPr>
          <w:rFonts w:hint="default" w:ascii="Times New Roman" w:hAnsi="Times New Roman" w:eastAsia="宋体" w:cs="Times New Roman"/>
          <w:color w:val="auto"/>
          <w:sz w:val="24"/>
          <w:szCs w:val="24"/>
          <w:highlight w:val="none"/>
          <w:u w:val="none" w:color="auto"/>
        </w:rPr>
        <w:t>）含铜废水</w:t>
      </w:r>
    </w:p>
    <w:p w14:paraId="708CCC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根据前述水平衡分析，含铜废水产生量为</w:t>
      </w:r>
      <w:r>
        <w:rPr>
          <w:rFonts w:hint="default" w:ascii="Times New Roman" w:hAnsi="Times New Roman" w:eastAsia="宋体" w:cs="Times New Roman"/>
          <w:color w:val="auto"/>
          <w:sz w:val="24"/>
          <w:szCs w:val="24"/>
          <w:highlight w:val="none"/>
          <w:u w:val="none" w:color="auto"/>
          <w:lang w:val="en-US" w:eastAsia="zh-CN"/>
        </w:rPr>
        <w:t>426.3</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default" w:ascii="Times New Roman" w:hAnsi="Times New Roman" w:eastAsia="宋体" w:cs="Times New Roman"/>
          <w:color w:val="auto"/>
          <w:sz w:val="24"/>
          <w:szCs w:val="24"/>
          <w:highlight w:val="none"/>
          <w:u w:val="none" w:color="auto"/>
          <w:lang w:val="en-US" w:eastAsia="zh-CN"/>
        </w:rPr>
        <w:t>1.421</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w:t>
      </w:r>
      <w:r>
        <w:rPr>
          <w:rFonts w:hint="default" w:ascii="Times New Roman" w:hAnsi="Times New Roman" w:eastAsia="宋体" w:cs="Times New Roman"/>
          <w:color w:val="auto"/>
          <w:sz w:val="24"/>
          <w:szCs w:val="24"/>
          <w:highlight w:val="none"/>
          <w:u w:val="none" w:color="auto"/>
          <w:lang w:eastAsia="zh-CN"/>
        </w:rPr>
        <w:t>总铜</w:t>
      </w:r>
      <w:r>
        <w:rPr>
          <w:rFonts w:hint="default" w:ascii="Times New Roman" w:hAnsi="Times New Roman" w:eastAsia="宋体" w:cs="Times New Roman"/>
          <w:color w:val="auto"/>
          <w:sz w:val="24"/>
          <w:szCs w:val="24"/>
          <w:highlight w:val="none"/>
          <w:u w:val="none" w:color="auto"/>
        </w:rPr>
        <w:t>、硫酸盐等，经厂内</w:t>
      </w:r>
      <w:r>
        <w:rPr>
          <w:rFonts w:hint="default" w:ascii="Times New Roman" w:hAnsi="Times New Roman" w:eastAsia="宋体" w:cs="Times New Roman"/>
          <w:color w:val="auto"/>
          <w:sz w:val="24"/>
          <w:szCs w:val="24"/>
          <w:highlight w:val="none"/>
          <w:u w:val="none" w:color="auto"/>
          <w:lang w:eastAsia="zh-CN"/>
        </w:rPr>
        <w:t>重金属</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处理站</w:t>
      </w:r>
      <w:r>
        <w:rPr>
          <w:rFonts w:hint="default" w:ascii="Times New Roman" w:hAnsi="Times New Roman" w:eastAsia="宋体" w:cs="Times New Roman"/>
          <w:color w:val="auto"/>
          <w:sz w:val="24"/>
          <w:szCs w:val="24"/>
          <w:highlight w:val="none"/>
          <w:u w:val="none" w:color="auto"/>
        </w:rPr>
        <w:t>预处理</w:t>
      </w:r>
      <w:r>
        <w:rPr>
          <w:rFonts w:hint="default" w:ascii="Times New Roman" w:hAnsi="Times New Roman" w:eastAsia="宋体" w:cs="Times New Roman"/>
          <w:color w:val="auto"/>
          <w:sz w:val="24"/>
          <w:szCs w:val="24"/>
          <w:highlight w:val="none"/>
          <w:u w:val="none" w:color="auto"/>
          <w:lang w:eastAsia="zh-CN"/>
        </w:rPr>
        <w:t>后经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回用于退镀及</w:t>
      </w:r>
      <w:r>
        <w:rPr>
          <w:rFonts w:hint="default" w:ascii="Times New Roman" w:hAnsi="Times New Roman" w:eastAsia="宋体" w:cs="Times New Roman"/>
          <w:color w:val="auto"/>
          <w:sz w:val="24"/>
          <w:szCs w:val="24"/>
          <w:highlight w:val="none"/>
          <w:u w:val="none" w:color="auto"/>
          <w:lang w:eastAsia="zh-CN"/>
        </w:rPr>
        <w:t>镀超硬材料后清洗，不外排</w:t>
      </w:r>
      <w:r>
        <w:rPr>
          <w:rFonts w:hint="default" w:ascii="Times New Roman" w:hAnsi="Times New Roman" w:eastAsia="宋体" w:cs="Times New Roman"/>
          <w:color w:val="auto"/>
          <w:sz w:val="24"/>
          <w:szCs w:val="24"/>
          <w:highlight w:val="none"/>
          <w:u w:val="none" w:color="auto"/>
        </w:rPr>
        <w:t>。</w:t>
      </w:r>
    </w:p>
    <w:p w14:paraId="7D107F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6</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退镀</w:t>
      </w:r>
      <w:r>
        <w:rPr>
          <w:rFonts w:hint="default" w:ascii="Times New Roman" w:hAnsi="Times New Roman" w:eastAsia="宋体" w:cs="Times New Roman"/>
          <w:color w:val="auto"/>
          <w:sz w:val="24"/>
          <w:szCs w:val="24"/>
          <w:highlight w:val="none"/>
          <w:u w:val="none" w:color="auto"/>
        </w:rPr>
        <w:t>废水</w:t>
      </w:r>
    </w:p>
    <w:p w14:paraId="5DAA92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根据前述水平衡分析，</w:t>
      </w:r>
      <w:r>
        <w:rPr>
          <w:rFonts w:hint="default" w:ascii="Times New Roman" w:hAnsi="Times New Roman" w:eastAsia="宋体" w:cs="Times New Roman"/>
          <w:color w:val="auto"/>
          <w:sz w:val="24"/>
          <w:szCs w:val="24"/>
          <w:highlight w:val="none"/>
          <w:u w:val="none" w:color="auto"/>
          <w:lang w:eastAsia="zh-CN"/>
        </w:rPr>
        <w:t>退镀</w:t>
      </w:r>
      <w:r>
        <w:rPr>
          <w:rFonts w:hint="default" w:ascii="Times New Roman" w:hAnsi="Times New Roman" w:eastAsia="宋体" w:cs="Times New Roman"/>
          <w:color w:val="auto"/>
          <w:sz w:val="24"/>
          <w:szCs w:val="24"/>
          <w:highlight w:val="none"/>
          <w:u w:val="none" w:color="auto"/>
        </w:rPr>
        <w:t>废水产生量为</w:t>
      </w:r>
      <w:r>
        <w:rPr>
          <w:rFonts w:hint="default" w:ascii="Times New Roman" w:hAnsi="Times New Roman" w:eastAsia="宋体" w:cs="Times New Roman"/>
          <w:color w:val="auto"/>
          <w:sz w:val="24"/>
          <w:szCs w:val="24"/>
          <w:highlight w:val="none"/>
          <w:u w:val="none" w:color="auto"/>
          <w:lang w:val="en-US" w:eastAsia="zh-CN"/>
        </w:rPr>
        <w:t>83.4</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default" w:ascii="Times New Roman" w:hAnsi="Times New Roman" w:eastAsia="宋体" w:cs="Times New Roman"/>
          <w:color w:val="auto"/>
          <w:sz w:val="24"/>
          <w:szCs w:val="24"/>
          <w:highlight w:val="none"/>
          <w:u w:val="none" w:color="auto"/>
          <w:lang w:val="en-US" w:eastAsia="zh-CN"/>
        </w:rPr>
        <w:t>0.278</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w:t>
      </w:r>
      <w:r>
        <w:rPr>
          <w:rFonts w:hint="default" w:ascii="Times New Roman" w:hAnsi="Times New Roman" w:eastAsia="宋体" w:cs="Times New Roman"/>
          <w:color w:val="auto"/>
          <w:sz w:val="24"/>
          <w:szCs w:val="24"/>
          <w:highlight w:val="none"/>
          <w:u w:val="none" w:color="auto"/>
          <w:lang w:eastAsia="zh-CN"/>
        </w:rPr>
        <w:t>总铜</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总镍、</w:t>
      </w:r>
      <w:r>
        <w:rPr>
          <w:rFonts w:hint="default" w:ascii="Times New Roman" w:hAnsi="Times New Roman" w:eastAsia="宋体" w:cs="Times New Roman"/>
          <w:color w:val="auto"/>
          <w:sz w:val="24"/>
          <w:szCs w:val="24"/>
          <w:highlight w:val="none"/>
          <w:u w:val="none" w:color="auto"/>
        </w:rPr>
        <w:t>硫酸盐</w:t>
      </w:r>
      <w:r>
        <w:rPr>
          <w:rFonts w:hint="default" w:ascii="Times New Roman" w:hAnsi="Times New Roman" w:eastAsia="宋体" w:cs="Times New Roman"/>
          <w:color w:val="auto"/>
          <w:sz w:val="24"/>
          <w:szCs w:val="24"/>
          <w:highlight w:val="none"/>
          <w:u w:val="none" w:color="auto"/>
          <w:lang w:eastAsia="zh-CN"/>
        </w:rPr>
        <w:t>、氯化物</w:t>
      </w:r>
      <w:r>
        <w:rPr>
          <w:rFonts w:hint="default" w:ascii="Times New Roman" w:hAnsi="Times New Roman" w:eastAsia="宋体" w:cs="Times New Roman"/>
          <w:color w:val="auto"/>
          <w:sz w:val="24"/>
          <w:szCs w:val="24"/>
          <w:highlight w:val="none"/>
          <w:u w:val="none" w:color="auto"/>
        </w:rPr>
        <w:t>，经厂内</w:t>
      </w:r>
      <w:r>
        <w:rPr>
          <w:rFonts w:hint="default" w:ascii="Times New Roman" w:hAnsi="Times New Roman" w:eastAsia="宋体" w:cs="Times New Roman"/>
          <w:color w:val="auto"/>
          <w:sz w:val="24"/>
          <w:szCs w:val="24"/>
          <w:highlight w:val="none"/>
          <w:u w:val="none" w:color="auto"/>
          <w:lang w:eastAsia="zh-CN"/>
        </w:rPr>
        <w:t>重金属</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处理站</w:t>
      </w:r>
      <w:r>
        <w:rPr>
          <w:rFonts w:hint="default" w:ascii="Times New Roman" w:hAnsi="Times New Roman" w:eastAsia="宋体" w:cs="Times New Roman"/>
          <w:color w:val="auto"/>
          <w:sz w:val="24"/>
          <w:szCs w:val="24"/>
          <w:highlight w:val="none"/>
          <w:u w:val="none" w:color="auto"/>
        </w:rPr>
        <w:t>预处理</w:t>
      </w:r>
      <w:r>
        <w:rPr>
          <w:rFonts w:hint="default" w:ascii="Times New Roman" w:hAnsi="Times New Roman" w:eastAsia="宋体" w:cs="Times New Roman"/>
          <w:color w:val="auto"/>
          <w:sz w:val="24"/>
          <w:szCs w:val="24"/>
          <w:highlight w:val="none"/>
          <w:u w:val="none" w:color="auto"/>
          <w:lang w:eastAsia="zh-CN"/>
        </w:rPr>
        <w:t>后经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回用于退镀及</w:t>
      </w:r>
      <w:r>
        <w:rPr>
          <w:rFonts w:hint="default" w:ascii="Times New Roman" w:hAnsi="Times New Roman" w:eastAsia="宋体" w:cs="Times New Roman"/>
          <w:color w:val="auto"/>
          <w:sz w:val="24"/>
          <w:szCs w:val="24"/>
          <w:highlight w:val="none"/>
          <w:u w:val="none" w:color="auto"/>
          <w:lang w:eastAsia="zh-CN"/>
        </w:rPr>
        <w:t>镀超硬材料后清洗，不外排</w:t>
      </w:r>
      <w:r>
        <w:rPr>
          <w:rFonts w:hint="default" w:ascii="Times New Roman" w:hAnsi="Times New Roman" w:eastAsia="宋体" w:cs="Times New Roman"/>
          <w:color w:val="auto"/>
          <w:sz w:val="24"/>
          <w:szCs w:val="24"/>
          <w:highlight w:val="none"/>
          <w:u w:val="none" w:color="auto"/>
        </w:rPr>
        <w:t>。</w:t>
      </w:r>
    </w:p>
    <w:p w14:paraId="5122D0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7</w:t>
      </w:r>
      <w:r>
        <w:rPr>
          <w:rFonts w:hint="default" w:ascii="Times New Roman" w:hAnsi="Times New Roman" w:eastAsia="宋体" w:cs="Times New Roman"/>
          <w:color w:val="auto"/>
          <w:sz w:val="24"/>
          <w:szCs w:val="24"/>
          <w:highlight w:val="none"/>
          <w:u w:val="none" w:color="auto"/>
        </w:rPr>
        <w:t>）废气</w:t>
      </w:r>
      <w:r>
        <w:rPr>
          <w:rFonts w:hint="default" w:ascii="Times New Roman" w:hAnsi="Times New Roman" w:eastAsia="宋体" w:cs="Times New Roman"/>
          <w:color w:val="auto"/>
          <w:sz w:val="24"/>
          <w:szCs w:val="24"/>
          <w:highlight w:val="none"/>
          <w:u w:val="none" w:color="auto"/>
          <w:lang w:eastAsia="zh-CN"/>
        </w:rPr>
        <w:t>处理设施</w:t>
      </w:r>
      <w:r>
        <w:rPr>
          <w:rFonts w:hint="default" w:ascii="Times New Roman" w:hAnsi="Times New Roman" w:eastAsia="宋体" w:cs="Times New Roman"/>
          <w:color w:val="auto"/>
          <w:sz w:val="24"/>
          <w:szCs w:val="24"/>
          <w:highlight w:val="none"/>
          <w:u w:val="none" w:color="auto"/>
        </w:rPr>
        <w:t>处理废水</w:t>
      </w:r>
    </w:p>
    <w:p w14:paraId="5E8243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根据前述水平衡分析，废气处理废水量为</w:t>
      </w:r>
      <w:r>
        <w:rPr>
          <w:rFonts w:hint="default" w:ascii="Times New Roman" w:hAnsi="Times New Roman" w:eastAsia="宋体" w:cs="Times New Roman"/>
          <w:color w:val="auto"/>
          <w:sz w:val="24"/>
          <w:szCs w:val="24"/>
          <w:highlight w:val="none"/>
          <w:u w:val="none" w:color="auto"/>
          <w:lang w:val="en-US" w:eastAsia="zh-CN"/>
        </w:rPr>
        <w:t>480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default" w:ascii="Times New Roman" w:hAnsi="Times New Roman" w:eastAsia="宋体" w:cs="Times New Roman"/>
          <w:color w:val="auto"/>
          <w:sz w:val="24"/>
          <w:szCs w:val="24"/>
          <w:highlight w:val="none"/>
          <w:u w:val="none" w:color="auto"/>
          <w:lang w:val="en-US" w:eastAsia="zh-CN"/>
        </w:rPr>
        <w:t>1.6</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w:t>
      </w:r>
      <w:r>
        <w:rPr>
          <w:rFonts w:hint="default" w:ascii="Times New Roman" w:hAnsi="Times New Roman" w:eastAsia="宋体" w:cs="Times New Roman"/>
          <w:color w:val="auto"/>
          <w:sz w:val="24"/>
          <w:szCs w:val="24"/>
          <w:highlight w:val="none"/>
          <w:u w:val="none" w:color="auto"/>
          <w:lang w:eastAsia="zh-CN"/>
        </w:rPr>
        <w:t>主要污染物为pH</w:t>
      </w:r>
      <w:r>
        <w:rPr>
          <w:rFonts w:hint="default" w:ascii="Times New Roman" w:hAnsi="Times New Roman" w:eastAsia="宋体" w:cs="Times New Roman"/>
          <w:color w:val="auto"/>
          <w:sz w:val="24"/>
          <w:szCs w:val="24"/>
          <w:highlight w:val="none"/>
          <w:u w:val="none" w:color="auto"/>
        </w:rPr>
        <w:t>、COD</w:t>
      </w:r>
      <w:r>
        <w:rPr>
          <w:rFonts w:hint="default" w:ascii="Times New Roman" w:hAnsi="Times New Roman" w:eastAsia="宋体" w:cs="Times New Roman"/>
          <w:color w:val="auto"/>
          <w:sz w:val="24"/>
          <w:szCs w:val="24"/>
          <w:highlight w:val="none"/>
          <w:u w:val="none" w:color="auto"/>
          <w:lang w:eastAsia="zh-CN"/>
        </w:rPr>
        <w:t>、氨氮、氯化物、硫酸盐、硝酸盐等，</w:t>
      </w:r>
      <w:r>
        <w:rPr>
          <w:rFonts w:hint="default" w:ascii="Times New Roman" w:hAnsi="Times New Roman" w:eastAsia="宋体" w:cs="Times New Roman"/>
          <w:color w:val="auto"/>
          <w:sz w:val="24"/>
          <w:szCs w:val="24"/>
          <w:highlight w:val="none"/>
          <w:u w:val="none" w:color="auto"/>
        </w:rPr>
        <w:t>经厂内</w:t>
      </w:r>
      <w:r>
        <w:rPr>
          <w:rFonts w:hint="default" w:ascii="Times New Roman" w:hAnsi="Times New Roman" w:eastAsia="宋体" w:cs="Times New Roman"/>
          <w:color w:val="auto"/>
          <w:sz w:val="24"/>
          <w:szCs w:val="24"/>
          <w:highlight w:val="none"/>
          <w:u w:val="none" w:color="auto"/>
          <w:lang w:eastAsia="zh-CN"/>
        </w:rPr>
        <w:t>非重金属废水处理站处理后优先回用于除油、地面冲洗</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剩余经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回用于退镀及</w:t>
      </w:r>
      <w:r>
        <w:rPr>
          <w:rFonts w:hint="default" w:ascii="Times New Roman" w:hAnsi="Times New Roman" w:eastAsia="宋体" w:cs="Times New Roman"/>
          <w:color w:val="auto"/>
          <w:sz w:val="24"/>
          <w:szCs w:val="24"/>
          <w:highlight w:val="none"/>
          <w:u w:val="none" w:color="auto"/>
          <w:lang w:eastAsia="zh-CN"/>
        </w:rPr>
        <w:t>镀超硬材料后清洗，不外排</w:t>
      </w:r>
      <w:r>
        <w:rPr>
          <w:rFonts w:hint="default" w:ascii="Times New Roman" w:hAnsi="Times New Roman" w:eastAsia="宋体" w:cs="Times New Roman"/>
          <w:color w:val="auto"/>
          <w:sz w:val="24"/>
          <w:szCs w:val="24"/>
          <w:highlight w:val="none"/>
          <w:u w:val="none" w:color="auto"/>
        </w:rPr>
        <w:t>。</w:t>
      </w:r>
    </w:p>
    <w:p w14:paraId="58E68B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8</w:t>
      </w:r>
      <w:r>
        <w:rPr>
          <w:rFonts w:hint="default" w:ascii="Times New Roman" w:hAnsi="Times New Roman" w:eastAsia="宋体" w:cs="Times New Roman"/>
          <w:color w:val="auto"/>
          <w:sz w:val="24"/>
          <w:szCs w:val="24"/>
          <w:highlight w:val="none"/>
          <w:u w:val="none" w:color="auto"/>
        </w:rPr>
        <w:t>）</w:t>
      </w:r>
      <w:r>
        <w:rPr>
          <w:rFonts w:hint="eastAsia" w:ascii="Times New Roman" w:hAnsi="Times New Roman" w:eastAsia="宋体" w:cs="Times New Roman"/>
          <w:color w:val="auto"/>
          <w:sz w:val="24"/>
          <w:szCs w:val="24"/>
          <w:highlight w:val="none"/>
          <w:u w:val="none" w:color="auto"/>
          <w:lang w:val="en-US" w:eastAsia="zh-CN"/>
        </w:rPr>
        <w:t>电镀</w:t>
      </w:r>
      <w:r>
        <w:rPr>
          <w:rFonts w:hint="default" w:ascii="Times New Roman" w:hAnsi="Times New Roman" w:eastAsia="宋体" w:cs="Times New Roman"/>
          <w:color w:val="auto"/>
          <w:sz w:val="24"/>
          <w:szCs w:val="24"/>
          <w:highlight w:val="none"/>
          <w:u w:val="none" w:color="auto"/>
        </w:rPr>
        <w:t>车间地面</w:t>
      </w:r>
      <w:r>
        <w:rPr>
          <w:rFonts w:hint="eastAsia" w:ascii="Times New Roman" w:hAnsi="Times New Roman" w:eastAsia="宋体" w:cs="Times New Roman"/>
          <w:color w:val="auto"/>
          <w:sz w:val="24"/>
          <w:szCs w:val="24"/>
          <w:highlight w:val="none"/>
          <w:u w:val="none" w:color="auto"/>
          <w:lang w:val="en-US" w:eastAsia="zh-CN"/>
        </w:rPr>
        <w:t>清洗</w:t>
      </w:r>
      <w:r>
        <w:rPr>
          <w:rFonts w:hint="default" w:ascii="Times New Roman" w:hAnsi="Times New Roman" w:eastAsia="宋体" w:cs="Times New Roman"/>
          <w:color w:val="auto"/>
          <w:sz w:val="24"/>
          <w:szCs w:val="24"/>
          <w:highlight w:val="none"/>
          <w:u w:val="none" w:color="auto"/>
        </w:rPr>
        <w:t>废水</w:t>
      </w:r>
    </w:p>
    <w:p w14:paraId="2A4639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根据前述水平衡分析，</w:t>
      </w:r>
      <w:r>
        <w:rPr>
          <w:rFonts w:hint="eastAsia" w:ascii="Times New Roman" w:hAnsi="Times New Roman" w:eastAsia="宋体" w:cs="Times New Roman"/>
          <w:color w:val="auto"/>
          <w:sz w:val="24"/>
          <w:szCs w:val="24"/>
          <w:highlight w:val="none"/>
          <w:u w:val="none" w:color="auto"/>
          <w:lang w:val="en-US" w:eastAsia="zh-CN"/>
        </w:rPr>
        <w:t>电镀</w:t>
      </w:r>
      <w:r>
        <w:rPr>
          <w:rFonts w:hint="default" w:ascii="Times New Roman" w:hAnsi="Times New Roman" w:eastAsia="宋体" w:cs="Times New Roman"/>
          <w:color w:val="auto"/>
          <w:sz w:val="24"/>
          <w:szCs w:val="24"/>
          <w:highlight w:val="none"/>
          <w:u w:val="none" w:color="auto"/>
        </w:rPr>
        <w:t>车间地面</w:t>
      </w:r>
      <w:r>
        <w:rPr>
          <w:rFonts w:hint="eastAsia" w:ascii="Times New Roman" w:hAnsi="Times New Roman" w:eastAsia="宋体" w:cs="Times New Roman"/>
          <w:color w:val="auto"/>
          <w:sz w:val="24"/>
          <w:szCs w:val="24"/>
          <w:highlight w:val="none"/>
          <w:u w:val="none" w:color="auto"/>
          <w:lang w:val="en-US" w:eastAsia="zh-CN"/>
        </w:rPr>
        <w:t>清洗</w:t>
      </w:r>
      <w:r>
        <w:rPr>
          <w:rFonts w:hint="default" w:ascii="Times New Roman" w:hAnsi="Times New Roman" w:eastAsia="宋体" w:cs="Times New Roman"/>
          <w:color w:val="auto"/>
          <w:sz w:val="24"/>
          <w:szCs w:val="24"/>
          <w:highlight w:val="none"/>
          <w:u w:val="none" w:color="auto"/>
        </w:rPr>
        <w:t>废水为</w:t>
      </w:r>
      <w:r>
        <w:rPr>
          <w:rFonts w:hint="default" w:ascii="Times New Roman" w:hAnsi="Times New Roman" w:eastAsia="宋体" w:cs="Times New Roman"/>
          <w:color w:val="auto"/>
          <w:sz w:val="24"/>
          <w:szCs w:val="24"/>
          <w:highlight w:val="none"/>
          <w:u w:val="none" w:color="auto"/>
          <w:lang w:val="en-US" w:eastAsia="zh-CN"/>
        </w:rPr>
        <w:t>720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default" w:ascii="Times New Roman" w:hAnsi="Times New Roman" w:eastAsia="宋体" w:cs="Times New Roman"/>
          <w:color w:val="auto"/>
          <w:sz w:val="24"/>
          <w:szCs w:val="24"/>
          <w:highlight w:val="none"/>
          <w:u w:val="none" w:color="auto"/>
          <w:lang w:val="en-US" w:eastAsia="zh-CN"/>
        </w:rPr>
        <w:t>2.4</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w:t>
      </w:r>
      <w:r>
        <w:rPr>
          <w:rFonts w:hint="default" w:ascii="Times New Roman" w:hAnsi="Times New Roman" w:eastAsia="宋体" w:cs="Times New Roman"/>
          <w:color w:val="auto"/>
          <w:sz w:val="24"/>
          <w:szCs w:val="24"/>
          <w:highlight w:val="none"/>
          <w:u w:val="none" w:color="auto"/>
          <w:lang w:eastAsia="zh-CN"/>
        </w:rPr>
        <w:t>主要污染物为</w:t>
      </w:r>
      <w:r>
        <w:rPr>
          <w:rFonts w:hint="default" w:ascii="Times New Roman" w:hAnsi="Times New Roman" w:eastAsia="宋体" w:cs="Times New Roman"/>
          <w:color w:val="auto"/>
          <w:sz w:val="24"/>
          <w:szCs w:val="24"/>
          <w:highlight w:val="none"/>
          <w:u w:val="none" w:color="auto"/>
        </w:rPr>
        <w:t>COD</w:t>
      </w:r>
      <w:r>
        <w:rPr>
          <w:rFonts w:hint="default" w:ascii="Times New Roman" w:hAnsi="Times New Roman" w:eastAsia="宋体" w:cs="Times New Roman"/>
          <w:color w:val="auto"/>
          <w:sz w:val="24"/>
          <w:szCs w:val="24"/>
          <w:highlight w:val="none"/>
          <w:u w:val="none" w:color="auto"/>
          <w:lang w:eastAsia="zh-CN"/>
        </w:rPr>
        <w:t>、氨氮、</w:t>
      </w:r>
      <w:r>
        <w:rPr>
          <w:rFonts w:hint="default" w:ascii="Times New Roman" w:hAnsi="Times New Roman" w:eastAsia="宋体" w:cs="Times New Roman"/>
          <w:color w:val="auto"/>
          <w:sz w:val="24"/>
          <w:szCs w:val="24"/>
          <w:highlight w:val="none"/>
          <w:u w:val="none" w:color="auto"/>
          <w:lang w:val="en-US" w:eastAsia="zh-CN"/>
        </w:rPr>
        <w:t>SS、</w:t>
      </w:r>
      <w:r>
        <w:rPr>
          <w:rFonts w:hint="default" w:ascii="Times New Roman" w:hAnsi="Times New Roman" w:eastAsia="宋体" w:cs="Times New Roman"/>
          <w:color w:val="auto"/>
          <w:sz w:val="24"/>
          <w:szCs w:val="24"/>
          <w:highlight w:val="none"/>
          <w:u w:val="none" w:color="auto"/>
          <w:lang w:eastAsia="zh-CN"/>
        </w:rPr>
        <w:t>总铜、总锌、总镍，</w:t>
      </w:r>
      <w:r>
        <w:rPr>
          <w:rFonts w:hint="default" w:ascii="Times New Roman" w:hAnsi="Times New Roman" w:eastAsia="宋体" w:cs="Times New Roman"/>
          <w:color w:val="auto"/>
          <w:sz w:val="24"/>
          <w:szCs w:val="24"/>
          <w:highlight w:val="none"/>
          <w:u w:val="none" w:color="auto"/>
        </w:rPr>
        <w:t>经厂内</w:t>
      </w:r>
      <w:r>
        <w:rPr>
          <w:rFonts w:hint="default" w:ascii="Times New Roman" w:hAnsi="Times New Roman" w:eastAsia="宋体" w:cs="Times New Roman"/>
          <w:color w:val="auto"/>
          <w:sz w:val="24"/>
          <w:szCs w:val="24"/>
          <w:highlight w:val="none"/>
          <w:u w:val="none" w:color="auto"/>
          <w:lang w:eastAsia="zh-CN"/>
        </w:rPr>
        <w:t>重金属</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处理站</w:t>
      </w:r>
      <w:r>
        <w:rPr>
          <w:rFonts w:hint="default" w:ascii="Times New Roman" w:hAnsi="Times New Roman" w:eastAsia="宋体" w:cs="Times New Roman"/>
          <w:color w:val="auto"/>
          <w:sz w:val="24"/>
          <w:szCs w:val="24"/>
          <w:highlight w:val="none"/>
          <w:u w:val="none" w:color="auto"/>
        </w:rPr>
        <w:t>预处理</w:t>
      </w:r>
      <w:r>
        <w:rPr>
          <w:rFonts w:hint="default" w:ascii="Times New Roman" w:hAnsi="Times New Roman" w:eastAsia="宋体" w:cs="Times New Roman"/>
          <w:color w:val="auto"/>
          <w:sz w:val="24"/>
          <w:szCs w:val="24"/>
          <w:highlight w:val="none"/>
          <w:u w:val="none" w:color="auto"/>
          <w:lang w:eastAsia="zh-CN"/>
        </w:rPr>
        <w:t>后经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回用于退镀及</w:t>
      </w:r>
      <w:r>
        <w:rPr>
          <w:rFonts w:hint="default" w:ascii="Times New Roman" w:hAnsi="Times New Roman" w:eastAsia="宋体" w:cs="Times New Roman"/>
          <w:color w:val="auto"/>
          <w:sz w:val="24"/>
          <w:szCs w:val="24"/>
          <w:highlight w:val="none"/>
          <w:u w:val="none" w:color="auto"/>
          <w:lang w:eastAsia="zh-CN"/>
        </w:rPr>
        <w:t>镀超硬材料后清洗，不外排</w:t>
      </w:r>
      <w:r>
        <w:rPr>
          <w:rFonts w:hint="default" w:ascii="Times New Roman" w:hAnsi="Times New Roman" w:eastAsia="宋体" w:cs="Times New Roman"/>
          <w:color w:val="auto"/>
          <w:sz w:val="24"/>
          <w:szCs w:val="24"/>
          <w:highlight w:val="none"/>
          <w:u w:val="none" w:color="auto"/>
        </w:rPr>
        <w:t>。</w:t>
      </w:r>
    </w:p>
    <w:p w14:paraId="2B6CA4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w:t>
      </w:r>
      <w:r>
        <w:rPr>
          <w:rFonts w:hint="eastAsia" w:ascii="Times New Roman" w:hAnsi="Times New Roman" w:eastAsia="宋体" w:cs="Times New Roman"/>
          <w:color w:val="auto"/>
          <w:sz w:val="24"/>
          <w:szCs w:val="24"/>
          <w:highlight w:val="none"/>
          <w:u w:val="none" w:color="auto"/>
          <w:lang w:val="en-US" w:eastAsia="zh-CN"/>
        </w:rPr>
        <w:t>9</w:t>
      </w:r>
      <w:r>
        <w:rPr>
          <w:rFonts w:hint="default" w:ascii="Times New Roman" w:hAnsi="Times New Roman" w:eastAsia="宋体" w:cs="Times New Roman"/>
          <w:color w:val="auto"/>
          <w:sz w:val="24"/>
          <w:szCs w:val="24"/>
          <w:highlight w:val="none"/>
          <w:u w:val="none" w:color="auto"/>
        </w:rPr>
        <w:t>）</w:t>
      </w:r>
      <w:r>
        <w:rPr>
          <w:rFonts w:hint="eastAsia" w:ascii="Times New Roman" w:hAnsi="Times New Roman" w:eastAsia="宋体" w:cs="Times New Roman"/>
          <w:color w:val="auto"/>
          <w:sz w:val="24"/>
          <w:szCs w:val="24"/>
          <w:highlight w:val="none"/>
          <w:u w:val="none" w:color="auto"/>
          <w:lang w:val="en-US" w:eastAsia="zh-CN"/>
        </w:rPr>
        <w:t>机加工</w:t>
      </w:r>
      <w:r>
        <w:rPr>
          <w:rFonts w:hint="default" w:ascii="Times New Roman" w:hAnsi="Times New Roman" w:eastAsia="宋体" w:cs="Times New Roman"/>
          <w:color w:val="auto"/>
          <w:sz w:val="24"/>
          <w:szCs w:val="24"/>
          <w:highlight w:val="none"/>
          <w:u w:val="none" w:color="auto"/>
        </w:rPr>
        <w:t>车间</w:t>
      </w:r>
      <w:r>
        <w:rPr>
          <w:rFonts w:hint="eastAsia" w:ascii="Times New Roman" w:hAnsi="Times New Roman" w:eastAsia="宋体" w:cs="Times New Roman"/>
          <w:color w:val="auto"/>
          <w:sz w:val="24"/>
          <w:szCs w:val="24"/>
          <w:highlight w:val="none"/>
          <w:u w:val="none" w:color="auto"/>
          <w:lang w:val="en-US" w:eastAsia="zh-CN"/>
        </w:rPr>
        <w:t>废水</w:t>
      </w:r>
    </w:p>
    <w:p w14:paraId="613180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根据前述水平衡分析，</w:t>
      </w:r>
      <w:r>
        <w:rPr>
          <w:rFonts w:hint="eastAsia" w:ascii="Times New Roman" w:hAnsi="Times New Roman" w:eastAsia="宋体" w:cs="Times New Roman"/>
          <w:color w:val="auto"/>
          <w:sz w:val="24"/>
          <w:szCs w:val="21"/>
          <w:highlight w:val="none"/>
          <w:u w:val="none" w:color="auto"/>
          <w:lang w:val="en-US" w:eastAsia="zh-CN"/>
        </w:rPr>
        <w:t>机加工</w:t>
      </w:r>
      <w:r>
        <w:rPr>
          <w:rFonts w:hint="default" w:ascii="Times New Roman" w:hAnsi="Times New Roman" w:eastAsia="宋体" w:cs="Times New Roman"/>
          <w:color w:val="auto"/>
          <w:sz w:val="24"/>
          <w:szCs w:val="21"/>
          <w:highlight w:val="none"/>
          <w:u w:val="none" w:color="auto"/>
        </w:rPr>
        <w:t>车间</w:t>
      </w:r>
      <w:r>
        <w:rPr>
          <w:rFonts w:hint="eastAsia" w:ascii="Times New Roman" w:hAnsi="Times New Roman" w:eastAsia="宋体" w:cs="Times New Roman"/>
          <w:color w:val="auto"/>
          <w:sz w:val="24"/>
          <w:szCs w:val="21"/>
          <w:highlight w:val="none"/>
          <w:u w:val="none" w:color="auto"/>
          <w:lang w:val="en-US" w:eastAsia="zh-CN"/>
        </w:rPr>
        <w:t>废水</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包含卫生废水、容器清洗废水、直接冷却废水</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1"/>
          <w:highlight w:val="none"/>
          <w:u w:val="none" w:color="auto"/>
          <w:lang w:val="en-US" w:eastAsia="zh-CN"/>
        </w:rPr>
        <w:t>产生量为</w:t>
      </w:r>
      <w:r>
        <w:rPr>
          <w:rFonts w:hint="eastAsia" w:ascii="Times New Roman" w:hAnsi="Times New Roman" w:eastAsia="宋体" w:cs="Times New Roman"/>
          <w:color w:val="auto"/>
          <w:sz w:val="24"/>
          <w:szCs w:val="24"/>
          <w:highlight w:val="none"/>
          <w:u w:val="none" w:color="auto"/>
          <w:lang w:val="en-US" w:eastAsia="zh-CN"/>
        </w:rPr>
        <w:t>24</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1"/>
          <w:highlight w:val="none"/>
          <w:u w:val="none" w:color="auto"/>
          <w:lang w:val="en-US" w:eastAsia="zh-CN"/>
        </w:rPr>
        <w:t>0.8</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w:t>
      </w:r>
      <w:r>
        <w:rPr>
          <w:rFonts w:hint="eastAsia" w:ascii="Times New Roman" w:hAnsi="Times New Roman" w:eastAsia="宋体" w:cs="Times New Roman"/>
          <w:color w:val="auto"/>
          <w:sz w:val="24"/>
          <w:szCs w:val="21"/>
          <w:highlight w:val="none"/>
          <w:u w:val="none" w:color="auto"/>
          <w:lang w:eastAsia="zh-CN"/>
        </w:rPr>
        <w:t>）</w:t>
      </w:r>
      <w:r>
        <w:rPr>
          <w:rFonts w:hint="eastAsia" w:ascii="Times New Roman" w:hAnsi="Times New Roman" w:eastAsia="宋体" w:cs="Times New Roman"/>
          <w:color w:val="auto"/>
          <w:sz w:val="24"/>
          <w:szCs w:val="21"/>
          <w:highlight w:val="none"/>
          <w:u w:val="none" w:color="auto"/>
          <w:lang w:val="en-US" w:eastAsia="zh-CN"/>
        </w:rPr>
        <w:t>、容器清洗废水产生量为</w:t>
      </w:r>
      <w:r>
        <w:rPr>
          <w:rFonts w:hint="eastAsia" w:ascii="Times New Roman" w:hAnsi="Times New Roman" w:eastAsia="宋体" w:cs="Times New Roman"/>
          <w:color w:val="auto"/>
          <w:sz w:val="24"/>
          <w:szCs w:val="24"/>
          <w:highlight w:val="none"/>
          <w:u w:val="none" w:color="auto"/>
          <w:lang w:val="en-US" w:eastAsia="zh-CN"/>
        </w:rPr>
        <w:t>810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1"/>
          <w:highlight w:val="none"/>
          <w:u w:val="none" w:color="auto"/>
          <w:lang w:val="en-US" w:eastAsia="zh-CN"/>
        </w:rPr>
        <w:t>2.7</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w:t>
      </w:r>
      <w:r>
        <w:rPr>
          <w:rFonts w:hint="eastAsia" w:ascii="Times New Roman" w:hAnsi="Times New Roman" w:eastAsia="宋体" w:cs="Times New Roman"/>
          <w:color w:val="auto"/>
          <w:sz w:val="24"/>
          <w:szCs w:val="21"/>
          <w:highlight w:val="none"/>
          <w:u w:val="none" w:color="auto"/>
          <w:lang w:eastAsia="zh-CN"/>
        </w:rPr>
        <w:t>）</w:t>
      </w:r>
      <w:r>
        <w:rPr>
          <w:rFonts w:hint="eastAsia" w:ascii="Times New Roman" w:hAnsi="Times New Roman" w:eastAsia="宋体" w:cs="Times New Roman"/>
          <w:color w:val="auto"/>
          <w:sz w:val="24"/>
          <w:szCs w:val="21"/>
          <w:highlight w:val="none"/>
          <w:u w:val="none" w:color="auto"/>
          <w:lang w:val="en-US" w:eastAsia="zh-CN"/>
        </w:rPr>
        <w:t>、直接冷却废水产生量为1100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1"/>
          <w:highlight w:val="none"/>
          <w:u w:val="none" w:color="auto"/>
          <w:lang w:val="en-US" w:eastAsia="zh-CN"/>
        </w:rPr>
        <w:t>3.7</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w:t>
      </w:r>
      <w:r>
        <w:rPr>
          <w:rFonts w:hint="eastAsia" w:ascii="Times New Roman" w:hAnsi="Times New Roman" w:eastAsia="宋体" w:cs="Times New Roman"/>
          <w:color w:val="auto"/>
          <w:sz w:val="24"/>
          <w:szCs w:val="21"/>
          <w:highlight w:val="none"/>
          <w:u w:val="none" w:color="auto"/>
          <w:lang w:eastAsia="zh-CN"/>
        </w:rPr>
        <w:t>）</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主要污染物为</w:t>
      </w:r>
      <w:r>
        <w:rPr>
          <w:rFonts w:hint="eastAsia" w:ascii="Times New Roman" w:hAnsi="Times New Roman" w:eastAsia="宋体" w:cs="Times New Roman"/>
          <w:color w:val="auto"/>
          <w:sz w:val="24"/>
          <w:szCs w:val="24"/>
          <w:highlight w:val="none"/>
          <w:u w:val="none" w:color="auto"/>
          <w:lang w:val="en-US" w:eastAsia="zh-CN"/>
        </w:rPr>
        <w:t>COD、</w:t>
      </w:r>
      <w:r>
        <w:rPr>
          <w:rFonts w:hint="default" w:ascii="Times New Roman" w:hAnsi="Times New Roman" w:eastAsia="宋体" w:cs="Times New Roman"/>
          <w:color w:val="auto"/>
          <w:sz w:val="24"/>
          <w:szCs w:val="24"/>
          <w:highlight w:val="none"/>
          <w:u w:val="none" w:color="auto"/>
          <w:lang w:val="en-US" w:eastAsia="zh-CN"/>
        </w:rPr>
        <w:t>SS</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经</w:t>
      </w:r>
      <w:r>
        <w:rPr>
          <w:rFonts w:hint="eastAsia" w:ascii="Times New Roman" w:hAnsi="Times New Roman" w:eastAsia="宋体" w:cs="Times New Roman"/>
          <w:color w:val="auto"/>
          <w:sz w:val="24"/>
          <w:szCs w:val="24"/>
          <w:highlight w:val="none"/>
          <w:u w:val="none" w:color="auto"/>
          <w:lang w:val="en-US" w:eastAsia="zh-CN"/>
        </w:rPr>
        <w:t>独立沉淀池收集处理后</w:t>
      </w:r>
      <w:r>
        <w:rPr>
          <w:rFonts w:hint="default" w:ascii="Times New Roman" w:hAnsi="Times New Roman" w:eastAsia="宋体" w:cs="Times New Roman"/>
          <w:color w:val="auto"/>
          <w:sz w:val="24"/>
          <w:szCs w:val="24"/>
          <w:highlight w:val="none"/>
          <w:u w:val="none" w:color="auto"/>
        </w:rPr>
        <w:t>排至松木污水处理厂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r>
        <w:rPr>
          <w:rFonts w:hint="default" w:ascii="Times New Roman" w:hAnsi="Times New Roman" w:eastAsia="宋体" w:cs="Times New Roman"/>
          <w:color w:val="auto"/>
          <w:sz w:val="24"/>
          <w:szCs w:val="24"/>
          <w:highlight w:val="none"/>
          <w:u w:val="none" w:color="auto"/>
        </w:rPr>
        <w:t>。</w:t>
      </w:r>
    </w:p>
    <w:p w14:paraId="51C948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9</w:t>
      </w:r>
      <w:r>
        <w:rPr>
          <w:rFonts w:hint="default" w:ascii="Times New Roman" w:hAnsi="Times New Roman" w:eastAsia="宋体" w:cs="Times New Roman"/>
          <w:color w:val="auto"/>
          <w:sz w:val="24"/>
          <w:szCs w:val="24"/>
          <w:highlight w:val="none"/>
          <w:u w:val="none" w:color="auto"/>
        </w:rPr>
        <w:t>）纯水站</w:t>
      </w:r>
      <w:r>
        <w:rPr>
          <w:rFonts w:hint="default" w:ascii="Times New Roman" w:hAnsi="Times New Roman" w:eastAsia="宋体" w:cs="Times New Roman"/>
          <w:color w:val="auto"/>
          <w:sz w:val="24"/>
          <w:szCs w:val="24"/>
          <w:highlight w:val="none"/>
          <w:u w:val="none" w:color="auto"/>
          <w:lang w:eastAsia="zh-CN"/>
        </w:rPr>
        <w:t>浓水</w:t>
      </w:r>
    </w:p>
    <w:p w14:paraId="40FAF1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根据前述水平衡分析，纯水站</w:t>
      </w:r>
      <w:r>
        <w:rPr>
          <w:rFonts w:hint="default" w:ascii="Times New Roman" w:hAnsi="Times New Roman" w:eastAsia="宋体" w:cs="Times New Roman"/>
          <w:color w:val="auto"/>
          <w:sz w:val="24"/>
          <w:szCs w:val="24"/>
          <w:highlight w:val="none"/>
          <w:u w:val="none" w:color="auto"/>
          <w:lang w:eastAsia="zh-CN"/>
        </w:rPr>
        <w:t>浓水产生量</w:t>
      </w:r>
      <w:r>
        <w:rPr>
          <w:rFonts w:hint="default" w:ascii="Times New Roman" w:hAnsi="Times New Roman" w:eastAsia="宋体" w:cs="Times New Roman"/>
          <w:color w:val="auto"/>
          <w:sz w:val="24"/>
          <w:szCs w:val="24"/>
          <w:highlight w:val="none"/>
          <w:u w:val="none" w:color="auto"/>
        </w:rPr>
        <w:t>为</w:t>
      </w:r>
      <w:r>
        <w:rPr>
          <w:rFonts w:hint="default" w:ascii="Times New Roman" w:hAnsi="Times New Roman" w:eastAsia="宋体" w:cs="Times New Roman"/>
          <w:color w:val="auto"/>
          <w:sz w:val="24"/>
          <w:szCs w:val="24"/>
          <w:highlight w:val="none"/>
          <w:u w:val="none" w:color="auto"/>
          <w:lang w:val="en-US" w:eastAsia="zh-CN"/>
        </w:rPr>
        <w:t>2901.9</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default" w:ascii="Times New Roman" w:hAnsi="Times New Roman" w:eastAsia="宋体" w:cs="Times New Roman"/>
          <w:color w:val="auto"/>
          <w:sz w:val="24"/>
          <w:szCs w:val="24"/>
          <w:highlight w:val="none"/>
          <w:u w:val="none" w:color="auto"/>
          <w:lang w:val="en-US" w:eastAsia="zh-CN"/>
        </w:rPr>
        <w:t>9.673</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u w:val="single" w:color="auto"/>
        </w:rPr>
        <w:t>纯水站浓水作</w:t>
      </w:r>
      <w:r>
        <w:rPr>
          <w:rFonts w:hint="default" w:ascii="Times New Roman" w:hAnsi="Times New Roman" w:eastAsia="宋体" w:cs="Times New Roman"/>
          <w:color w:val="auto"/>
          <w:sz w:val="24"/>
          <w:szCs w:val="24"/>
          <w:u w:val="single" w:color="auto"/>
          <w:lang w:eastAsia="zh-CN"/>
        </w:rPr>
        <w:t>回用于生产，用于除油等前处理工序槽液配制、补充水及地面冲洗</w:t>
      </w:r>
      <w:r>
        <w:rPr>
          <w:rFonts w:hint="default" w:ascii="Times New Roman" w:hAnsi="Times New Roman" w:eastAsia="宋体" w:cs="Times New Roman"/>
          <w:color w:val="auto"/>
          <w:sz w:val="24"/>
          <w:szCs w:val="24"/>
          <w:highlight w:val="none"/>
          <w:u w:val="none" w:color="auto"/>
          <w:lang w:eastAsia="zh-CN"/>
        </w:rPr>
        <w:t>，不外排</w:t>
      </w:r>
      <w:r>
        <w:rPr>
          <w:rFonts w:hint="default" w:ascii="Times New Roman" w:hAnsi="Times New Roman" w:eastAsia="宋体" w:cs="Times New Roman"/>
          <w:color w:val="auto"/>
          <w:sz w:val="24"/>
          <w:szCs w:val="24"/>
          <w:highlight w:val="none"/>
          <w:u w:val="none" w:color="auto"/>
        </w:rPr>
        <w:t>。</w:t>
      </w:r>
    </w:p>
    <w:p w14:paraId="54F38C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10</w:t>
      </w:r>
      <w:r>
        <w:rPr>
          <w:rFonts w:hint="default" w:ascii="Times New Roman" w:hAnsi="Times New Roman" w:eastAsia="宋体" w:cs="Times New Roman"/>
          <w:color w:val="auto"/>
          <w:sz w:val="24"/>
          <w:szCs w:val="24"/>
          <w:highlight w:val="none"/>
          <w:u w:val="none" w:color="auto"/>
        </w:rPr>
        <w:t>）生活污水</w:t>
      </w:r>
    </w:p>
    <w:p w14:paraId="0043E7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项目运营期</w:t>
      </w:r>
      <w:r>
        <w:rPr>
          <w:rFonts w:hint="default" w:ascii="Times New Roman" w:hAnsi="Times New Roman" w:eastAsia="宋体" w:cs="Times New Roman"/>
          <w:color w:val="auto"/>
          <w:sz w:val="24"/>
          <w:szCs w:val="24"/>
          <w:highlight w:val="none"/>
          <w:u w:val="none" w:color="auto"/>
          <w:lang w:eastAsia="zh-CN"/>
        </w:rPr>
        <w:t>生活污水</w:t>
      </w:r>
      <w:r>
        <w:rPr>
          <w:rFonts w:hint="default" w:ascii="Times New Roman" w:hAnsi="Times New Roman" w:eastAsia="宋体" w:cs="Times New Roman"/>
          <w:color w:val="auto"/>
          <w:sz w:val="24"/>
          <w:szCs w:val="24"/>
          <w:highlight w:val="none"/>
          <w:u w:val="none" w:color="auto"/>
        </w:rPr>
        <w:t>量为</w:t>
      </w:r>
      <w:r>
        <w:rPr>
          <w:rFonts w:hint="eastAsia" w:ascii="Times New Roman" w:hAnsi="Times New Roman" w:eastAsia="宋体" w:cs="Times New Roman"/>
          <w:color w:val="auto"/>
          <w:sz w:val="24"/>
          <w:szCs w:val="24"/>
          <w:highlight w:val="none"/>
          <w:u w:val="none" w:color="auto"/>
          <w:lang w:val="en-US" w:eastAsia="zh-CN"/>
        </w:rPr>
        <w:t>40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/d（</w:t>
      </w:r>
      <w:r>
        <w:rPr>
          <w:rFonts w:hint="eastAsia" w:ascii="Times New Roman" w:hAnsi="Times New Roman" w:eastAsia="宋体" w:cs="Times New Roman"/>
          <w:color w:val="auto"/>
          <w:sz w:val="24"/>
          <w:szCs w:val="24"/>
          <w:highlight w:val="none"/>
          <w:u w:val="none" w:color="auto"/>
          <w:lang w:val="en-US" w:eastAsia="zh-CN"/>
        </w:rPr>
        <w:t>12000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w:t>
      </w:r>
      <w:r>
        <w:rPr>
          <w:rFonts w:hint="default" w:ascii="Times New Roman" w:hAnsi="Times New Roman" w:eastAsia="宋体" w:cs="Times New Roman"/>
          <w:color w:val="auto"/>
          <w:sz w:val="24"/>
          <w:szCs w:val="24"/>
          <w:highlight w:val="none"/>
          <w:u w:val="none" w:color="auto"/>
          <w:lang w:eastAsia="zh-CN"/>
        </w:rPr>
        <w:t>生活污水</w:t>
      </w:r>
      <w:r>
        <w:rPr>
          <w:rFonts w:hint="default" w:ascii="Times New Roman" w:hAnsi="Times New Roman" w:eastAsia="宋体" w:cs="Times New Roman"/>
          <w:color w:val="auto"/>
          <w:sz w:val="24"/>
          <w:szCs w:val="24"/>
          <w:highlight w:val="none"/>
          <w:u w:val="none" w:color="auto"/>
        </w:rPr>
        <w:t>中的污染物主要为SS、COD、BOD</w:t>
      </w:r>
      <w:r>
        <w:rPr>
          <w:rFonts w:hint="default" w:ascii="Times New Roman" w:hAnsi="Times New Roman" w:eastAsia="宋体" w:cs="Times New Roman"/>
          <w:color w:val="auto"/>
          <w:sz w:val="24"/>
          <w:szCs w:val="24"/>
          <w:highlight w:val="none"/>
          <w:u w:val="none" w:color="auto"/>
          <w:vertAlign w:val="subscript"/>
        </w:rPr>
        <w:t>5</w:t>
      </w:r>
      <w:r>
        <w:rPr>
          <w:rFonts w:hint="default" w:ascii="Times New Roman" w:hAnsi="Times New Roman" w:eastAsia="宋体" w:cs="Times New Roman"/>
          <w:color w:val="auto"/>
          <w:sz w:val="24"/>
          <w:szCs w:val="24"/>
          <w:highlight w:val="none"/>
          <w:u w:val="none" w:color="auto"/>
        </w:rPr>
        <w:t>、NH</w:t>
      </w:r>
      <w:r>
        <w:rPr>
          <w:rFonts w:hint="default" w:ascii="Times New Roman" w:hAnsi="Times New Roman" w:eastAsia="宋体" w:cs="Times New Roman"/>
          <w:color w:val="auto"/>
          <w:sz w:val="24"/>
          <w:szCs w:val="24"/>
          <w:highlight w:val="none"/>
          <w:u w:val="none" w:color="auto"/>
          <w:vertAlign w:val="subscript"/>
        </w:rPr>
        <w:t>3</w:t>
      </w:r>
      <w:r>
        <w:rPr>
          <w:rFonts w:hint="default" w:ascii="Times New Roman" w:hAnsi="Times New Roman" w:eastAsia="宋体" w:cs="Times New Roman"/>
          <w:color w:val="auto"/>
          <w:sz w:val="24"/>
          <w:szCs w:val="24"/>
          <w:highlight w:val="none"/>
          <w:u w:val="none" w:color="auto"/>
        </w:rPr>
        <w:t>-N。生活污水经厂内化粪池预处理后排至松木污水处理厂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p>
    <w:p w14:paraId="63E518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w:t>
      </w: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rPr>
        <w:t>）初期雨水</w:t>
      </w:r>
    </w:p>
    <w:p w14:paraId="3F4B5F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厂内初期雨水经初期雨水收集池收集后泵至厂区废水处理站处理</w:t>
      </w:r>
      <w:r>
        <w:rPr>
          <w:rFonts w:hint="default" w:ascii="Times New Roman" w:hAnsi="Times New Roman" w:eastAsia="宋体" w:cs="Times New Roman"/>
          <w:color w:val="auto"/>
          <w:sz w:val="24"/>
          <w:szCs w:val="24"/>
          <w:highlight w:val="none"/>
          <w:u w:val="none" w:color="auto"/>
          <w:lang w:eastAsia="zh-CN"/>
        </w:rPr>
        <w:t>，处理后回用于生产</w:t>
      </w:r>
      <w:r>
        <w:rPr>
          <w:rFonts w:hint="default" w:ascii="Times New Roman" w:hAnsi="Times New Roman" w:eastAsia="宋体" w:cs="Times New Roman"/>
          <w:color w:val="auto"/>
          <w:sz w:val="24"/>
          <w:szCs w:val="24"/>
          <w:highlight w:val="none"/>
          <w:u w:val="none" w:color="auto"/>
        </w:rPr>
        <w:t>。</w:t>
      </w:r>
    </w:p>
    <w:p w14:paraId="331CEC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）废水量达标情况分析</w:t>
      </w:r>
    </w:p>
    <w:p w14:paraId="215FA6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根据《电镀污染物排放标准》（GB21900-2018）中表2单位产品基准排水量单层镀200L/m</w:t>
      </w:r>
      <w:r>
        <w:rPr>
          <w:rFonts w:hint="default" w:ascii="Times New Roman" w:hAnsi="Times New Roman" w:eastAsia="宋体" w:cs="Times New Roman"/>
          <w:color w:val="auto"/>
          <w:sz w:val="24"/>
          <w:szCs w:val="24"/>
          <w:highlight w:val="none"/>
          <w:u w:val="none" w:color="auto"/>
          <w:vertAlign w:val="superscript"/>
        </w:rPr>
        <w:t>2</w:t>
      </w:r>
      <w:r>
        <w:rPr>
          <w:rFonts w:hint="default" w:ascii="Times New Roman" w:hAnsi="Times New Roman" w:eastAsia="宋体" w:cs="Times New Roman"/>
          <w:color w:val="auto"/>
          <w:sz w:val="24"/>
          <w:szCs w:val="24"/>
          <w:highlight w:val="none"/>
          <w:u w:val="none" w:color="auto"/>
        </w:rPr>
        <w:t>、多层镀500L/m</w:t>
      </w:r>
      <w:r>
        <w:rPr>
          <w:rFonts w:hint="default" w:ascii="Times New Roman" w:hAnsi="Times New Roman" w:eastAsia="宋体" w:cs="Times New Roman"/>
          <w:color w:val="auto"/>
          <w:sz w:val="24"/>
          <w:szCs w:val="24"/>
          <w:highlight w:val="none"/>
          <w:u w:val="none" w:color="auto"/>
          <w:vertAlign w:val="superscript"/>
        </w:rPr>
        <w:t>2</w:t>
      </w:r>
      <w:r>
        <w:rPr>
          <w:rFonts w:hint="default" w:ascii="Times New Roman" w:hAnsi="Times New Roman" w:eastAsia="宋体" w:cs="Times New Roman"/>
          <w:color w:val="auto"/>
          <w:sz w:val="24"/>
          <w:szCs w:val="24"/>
          <w:highlight w:val="none"/>
          <w:u w:val="none" w:color="auto"/>
        </w:rPr>
        <w:t>。</w:t>
      </w:r>
    </w:p>
    <w:p w14:paraId="5B0D78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项目运营期废水</w:t>
      </w:r>
      <w:r>
        <w:rPr>
          <w:rFonts w:hint="eastAsia" w:ascii="Times New Roman" w:hAnsi="Times New Roman" w:eastAsia="宋体" w:cs="Times New Roman"/>
          <w:color w:val="auto"/>
          <w:sz w:val="24"/>
          <w:szCs w:val="24"/>
          <w:highlight w:val="none"/>
          <w:u w:val="none" w:color="auto"/>
          <w:lang w:val="en-US" w:eastAsia="zh-CN"/>
        </w:rPr>
        <w:t>电镀工序及其辅助生产废水</w:t>
      </w:r>
      <w:r>
        <w:rPr>
          <w:rFonts w:hint="default" w:ascii="Times New Roman" w:hAnsi="Times New Roman" w:eastAsia="宋体" w:cs="Times New Roman"/>
          <w:color w:val="auto"/>
          <w:sz w:val="24"/>
          <w:szCs w:val="24"/>
          <w:highlight w:val="none"/>
          <w:u w:val="none" w:color="auto"/>
        </w:rPr>
        <w:t>排放量为</w:t>
      </w:r>
      <w:r>
        <w:rPr>
          <w:rFonts w:hint="default" w:ascii="Times New Roman" w:hAnsi="Times New Roman" w:eastAsia="宋体" w:cs="Times New Roman"/>
          <w:color w:val="auto"/>
          <w:sz w:val="24"/>
          <w:szCs w:val="24"/>
          <w:highlight w:val="none"/>
          <w:u w:val="none" w:color="auto"/>
          <w:lang w:val="en-US" w:eastAsia="zh-CN"/>
        </w:rPr>
        <w:t>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/a，基准排水量为</w:t>
      </w:r>
      <w:r>
        <w:rPr>
          <w:rFonts w:hint="default" w:ascii="Times New Roman" w:hAnsi="Times New Roman" w:eastAsia="宋体" w:cs="Times New Roman"/>
          <w:color w:val="auto"/>
          <w:sz w:val="24"/>
          <w:szCs w:val="24"/>
          <w:highlight w:val="none"/>
          <w:u w:val="none" w:color="auto"/>
          <w:lang w:val="en-US" w:eastAsia="zh-CN"/>
        </w:rPr>
        <w:t>0</w:t>
      </w:r>
      <w:r>
        <w:rPr>
          <w:rFonts w:hint="default" w:ascii="Times New Roman" w:hAnsi="Times New Roman" w:eastAsia="宋体" w:cs="Times New Roman"/>
          <w:color w:val="auto"/>
          <w:sz w:val="24"/>
          <w:szCs w:val="24"/>
          <w:highlight w:val="none"/>
          <w:u w:val="none" w:color="auto"/>
        </w:rPr>
        <w:t>L/m</w:t>
      </w:r>
      <w:r>
        <w:rPr>
          <w:rFonts w:hint="default" w:ascii="Times New Roman" w:hAnsi="Times New Roman" w:eastAsia="宋体" w:cs="Times New Roman"/>
          <w:color w:val="auto"/>
          <w:sz w:val="24"/>
          <w:szCs w:val="24"/>
          <w:highlight w:val="none"/>
          <w:u w:val="none" w:color="auto"/>
          <w:vertAlign w:val="superscript"/>
        </w:rPr>
        <w:t>2</w:t>
      </w:r>
      <w:r>
        <w:rPr>
          <w:rFonts w:hint="default" w:ascii="Times New Roman" w:hAnsi="Times New Roman" w:eastAsia="宋体" w:cs="Times New Roman"/>
          <w:color w:val="auto"/>
          <w:sz w:val="24"/>
          <w:szCs w:val="24"/>
          <w:highlight w:val="none"/>
          <w:u w:val="none" w:color="auto"/>
        </w:rPr>
        <w:t>，满足《电镀污染物排放标准》（GB21900-2018）中表2基准排水量要求。</w:t>
      </w:r>
    </w:p>
    <w:p w14:paraId="091077CF">
      <w:pPr>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4.4.2.2运营期废水产排源强</w:t>
      </w:r>
    </w:p>
    <w:p w14:paraId="3FC900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参照《排放源统计调查产排污核算方法和系数手册》中“ 3360 电镀行业（不含电子元器件和线路板）系数手册”中滚镀工艺，详见下表：</w:t>
      </w:r>
    </w:p>
    <w:p w14:paraId="4A386496">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4</w:t>
      </w:r>
      <w:r>
        <w:rPr>
          <w:rFonts w:hint="default" w:ascii="Times New Roman" w:hAnsi="Times New Roman" w:eastAsia="宋体" w:cs="Times New Roman"/>
          <w:b/>
          <w:color w:val="auto"/>
          <w:sz w:val="21"/>
          <w:szCs w:val="18"/>
          <w:highlight w:val="none"/>
          <w:u w:val="none" w:color="auto"/>
        </w:rPr>
        <w:t>.4-</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 xml:space="preserve"> 电镀工业的废水产污系数</w:t>
      </w:r>
    </w:p>
    <w:tbl>
      <w:tblPr>
        <w:tblStyle w:val="22"/>
        <w:tblW w:w="88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2"/>
        <w:gridCol w:w="956"/>
        <w:gridCol w:w="1234"/>
        <w:gridCol w:w="1013"/>
        <w:gridCol w:w="1630"/>
        <w:gridCol w:w="1507"/>
        <w:gridCol w:w="1565"/>
      </w:tblGrid>
      <w:tr w14:paraId="6D09B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992" w:type="dxa"/>
            <w:vAlign w:val="center"/>
          </w:tcPr>
          <w:p w14:paraId="426B548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eastAsia="zh-CN"/>
              </w:rPr>
              <w:t>工序</w:t>
            </w:r>
            <w:r>
              <w:rPr>
                <w:rFonts w:hint="default" w:ascii="Times New Roman" w:hAnsi="Times New Roman" w:eastAsia="宋体" w:cs="Times New Roman"/>
                <w:color w:val="auto"/>
                <w:sz w:val="21"/>
                <w:szCs w:val="21"/>
                <w:highlight w:val="none"/>
                <w:u w:val="none" w:color="auto"/>
                <w:lang w:eastAsia="zh-CN"/>
              </w:rPr>
              <w:t>名称</w:t>
            </w:r>
          </w:p>
        </w:tc>
        <w:tc>
          <w:tcPr>
            <w:tcW w:w="956" w:type="dxa"/>
            <w:vAlign w:val="center"/>
          </w:tcPr>
          <w:p w14:paraId="4544966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工艺名称</w:t>
            </w:r>
          </w:p>
        </w:tc>
        <w:tc>
          <w:tcPr>
            <w:tcW w:w="1234" w:type="dxa"/>
            <w:vAlign w:val="center"/>
          </w:tcPr>
          <w:p w14:paraId="24B05AF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废水类型</w:t>
            </w:r>
          </w:p>
        </w:tc>
        <w:tc>
          <w:tcPr>
            <w:tcW w:w="1013" w:type="dxa"/>
            <w:vAlign w:val="center"/>
          </w:tcPr>
          <w:p w14:paraId="60C4D05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规模</w:t>
            </w:r>
          </w:p>
          <w:p w14:paraId="67A0129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等级</w:t>
            </w:r>
          </w:p>
        </w:tc>
        <w:tc>
          <w:tcPr>
            <w:tcW w:w="1630" w:type="dxa"/>
            <w:vAlign w:val="center"/>
          </w:tcPr>
          <w:p w14:paraId="255FBE0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w:t>
            </w:r>
          </w:p>
          <w:p w14:paraId="18F263E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指标</w:t>
            </w:r>
          </w:p>
        </w:tc>
        <w:tc>
          <w:tcPr>
            <w:tcW w:w="1507" w:type="dxa"/>
            <w:vAlign w:val="center"/>
          </w:tcPr>
          <w:p w14:paraId="59A5F12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单位</w:t>
            </w:r>
          </w:p>
        </w:tc>
        <w:tc>
          <w:tcPr>
            <w:tcW w:w="1565" w:type="dxa"/>
            <w:vAlign w:val="center"/>
          </w:tcPr>
          <w:p w14:paraId="0D28828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产污</w:t>
            </w:r>
          </w:p>
          <w:p w14:paraId="6F1A193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系数</w:t>
            </w:r>
          </w:p>
        </w:tc>
      </w:tr>
      <w:tr w14:paraId="45EB2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restart"/>
            <w:vAlign w:val="center"/>
          </w:tcPr>
          <w:p w14:paraId="7248637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电镀</w:t>
            </w:r>
          </w:p>
        </w:tc>
        <w:tc>
          <w:tcPr>
            <w:tcW w:w="956" w:type="dxa"/>
            <w:vMerge w:val="restart"/>
            <w:vAlign w:val="center"/>
          </w:tcPr>
          <w:p w14:paraId="791DAEA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浸锌镍</w:t>
            </w:r>
          </w:p>
        </w:tc>
        <w:tc>
          <w:tcPr>
            <w:tcW w:w="1234" w:type="dxa"/>
            <w:vMerge w:val="restart"/>
            <w:vAlign w:val="center"/>
          </w:tcPr>
          <w:p w14:paraId="15EEF6C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含锌镍废水</w:t>
            </w:r>
          </w:p>
        </w:tc>
        <w:tc>
          <w:tcPr>
            <w:tcW w:w="1013" w:type="dxa"/>
            <w:vMerge w:val="restart"/>
            <w:vAlign w:val="center"/>
          </w:tcPr>
          <w:p w14:paraId="574522A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所有规模</w:t>
            </w:r>
          </w:p>
        </w:tc>
        <w:tc>
          <w:tcPr>
            <w:tcW w:w="1630" w:type="dxa"/>
            <w:vAlign w:val="center"/>
          </w:tcPr>
          <w:p w14:paraId="081FD0E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总锌</w:t>
            </w:r>
          </w:p>
        </w:tc>
        <w:tc>
          <w:tcPr>
            <w:tcW w:w="1507" w:type="dxa"/>
            <w:vAlign w:val="center"/>
          </w:tcPr>
          <w:p w14:paraId="3FEF56F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779A033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2.82</w:t>
            </w:r>
          </w:p>
        </w:tc>
      </w:tr>
      <w:tr w14:paraId="7EECA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329272EC">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956" w:type="dxa"/>
            <w:vMerge w:val="continue"/>
            <w:vAlign w:val="center"/>
          </w:tcPr>
          <w:p w14:paraId="37AE360E">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234" w:type="dxa"/>
            <w:vMerge w:val="continue"/>
            <w:vAlign w:val="center"/>
          </w:tcPr>
          <w:p w14:paraId="33BC118F">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010DBB94">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7C60518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总镍</w:t>
            </w:r>
          </w:p>
        </w:tc>
        <w:tc>
          <w:tcPr>
            <w:tcW w:w="1507" w:type="dxa"/>
            <w:vAlign w:val="center"/>
          </w:tcPr>
          <w:p w14:paraId="0A0B57B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604442B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3.15</w:t>
            </w:r>
          </w:p>
        </w:tc>
      </w:tr>
      <w:tr w14:paraId="404D2A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5C0C0F95">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42DC049D">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03109A99">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449ABF0B">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37D440F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1507" w:type="dxa"/>
            <w:vAlign w:val="center"/>
          </w:tcPr>
          <w:p w14:paraId="1563861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7D94C58A">
            <w:pPr>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0.52</w:t>
            </w:r>
          </w:p>
        </w:tc>
      </w:tr>
      <w:tr w14:paraId="3E146E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6FEE56A9">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0D8922F6">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72E49351">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5115A2A2">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7983180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氨氮</w:t>
            </w:r>
          </w:p>
        </w:tc>
        <w:tc>
          <w:tcPr>
            <w:tcW w:w="1507" w:type="dxa"/>
            <w:vAlign w:val="center"/>
          </w:tcPr>
          <w:p w14:paraId="38D9A9E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40C2EB7F">
            <w:pPr>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0.064</w:t>
            </w:r>
          </w:p>
        </w:tc>
      </w:tr>
      <w:tr w14:paraId="465C7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71A08C9E">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31C1DAA0">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270E1C76">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7D36D5A4">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7D29354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总氮</w:t>
            </w:r>
          </w:p>
        </w:tc>
        <w:tc>
          <w:tcPr>
            <w:tcW w:w="1507" w:type="dxa"/>
            <w:vAlign w:val="center"/>
          </w:tcPr>
          <w:p w14:paraId="1D5AAAD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3FE93497">
            <w:pPr>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0.28</w:t>
            </w:r>
          </w:p>
        </w:tc>
      </w:tr>
      <w:tr w14:paraId="27B3D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2DC71196">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1D87DBA1">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60567816">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40975848">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20252F2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总磷</w:t>
            </w:r>
          </w:p>
        </w:tc>
        <w:tc>
          <w:tcPr>
            <w:tcW w:w="1507" w:type="dxa"/>
            <w:vAlign w:val="center"/>
          </w:tcPr>
          <w:p w14:paraId="7024DAC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5C4ECF8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0.014</w:t>
            </w:r>
          </w:p>
        </w:tc>
      </w:tr>
      <w:tr w14:paraId="36FFE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restart"/>
            <w:vAlign w:val="center"/>
          </w:tcPr>
          <w:p w14:paraId="2376F06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电镀</w:t>
            </w:r>
          </w:p>
        </w:tc>
        <w:tc>
          <w:tcPr>
            <w:tcW w:w="956" w:type="dxa"/>
            <w:vMerge w:val="restart"/>
            <w:vAlign w:val="center"/>
          </w:tcPr>
          <w:p w14:paraId="16F4703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电镀镍</w:t>
            </w:r>
          </w:p>
        </w:tc>
        <w:tc>
          <w:tcPr>
            <w:tcW w:w="1234" w:type="dxa"/>
            <w:vMerge w:val="restart"/>
            <w:vAlign w:val="center"/>
          </w:tcPr>
          <w:p w14:paraId="18BF865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含镍废水</w:t>
            </w:r>
          </w:p>
        </w:tc>
        <w:tc>
          <w:tcPr>
            <w:tcW w:w="1013" w:type="dxa"/>
            <w:vMerge w:val="restart"/>
            <w:vAlign w:val="center"/>
          </w:tcPr>
          <w:p w14:paraId="7BFFF5D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所有规模</w:t>
            </w:r>
          </w:p>
        </w:tc>
        <w:tc>
          <w:tcPr>
            <w:tcW w:w="1630" w:type="dxa"/>
            <w:vAlign w:val="center"/>
          </w:tcPr>
          <w:p w14:paraId="1109E0A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总镍</w:t>
            </w:r>
          </w:p>
        </w:tc>
        <w:tc>
          <w:tcPr>
            <w:tcW w:w="1507" w:type="dxa"/>
            <w:vAlign w:val="center"/>
          </w:tcPr>
          <w:p w14:paraId="119F361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0089407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3.15</w:t>
            </w:r>
          </w:p>
        </w:tc>
      </w:tr>
      <w:tr w14:paraId="12632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4BA140B7">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7962EC2A">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2DD4B597">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6ADFDBA0">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3920E68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1507" w:type="dxa"/>
            <w:vAlign w:val="center"/>
          </w:tcPr>
          <w:p w14:paraId="2238DCF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27F43BC4">
            <w:pPr>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0.69</w:t>
            </w:r>
          </w:p>
        </w:tc>
      </w:tr>
      <w:tr w14:paraId="78849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162ACDA7">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426A7895">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433F22B0">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0ACF2321">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6903816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氨氮</w:t>
            </w:r>
          </w:p>
        </w:tc>
        <w:tc>
          <w:tcPr>
            <w:tcW w:w="1507" w:type="dxa"/>
            <w:vAlign w:val="center"/>
          </w:tcPr>
          <w:p w14:paraId="0452AFF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14D9B56D">
            <w:pPr>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0.007</w:t>
            </w:r>
          </w:p>
        </w:tc>
      </w:tr>
      <w:tr w14:paraId="3F42B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6EDCF78F">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58655B3F">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63C828C5">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0081AE77">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11D3721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总氮</w:t>
            </w:r>
          </w:p>
        </w:tc>
        <w:tc>
          <w:tcPr>
            <w:tcW w:w="1507" w:type="dxa"/>
            <w:vAlign w:val="center"/>
          </w:tcPr>
          <w:p w14:paraId="2BE5C5F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21EE764E">
            <w:pPr>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0.11</w:t>
            </w:r>
          </w:p>
        </w:tc>
      </w:tr>
      <w:tr w14:paraId="6BE152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178EF8B1">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579874AF">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7FE6A33F">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3FEB2070">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2D46441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总磷</w:t>
            </w:r>
          </w:p>
        </w:tc>
        <w:tc>
          <w:tcPr>
            <w:tcW w:w="1507" w:type="dxa"/>
            <w:vAlign w:val="center"/>
          </w:tcPr>
          <w:p w14:paraId="08E4E78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35A9D2A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0.024</w:t>
            </w:r>
          </w:p>
        </w:tc>
      </w:tr>
      <w:tr w14:paraId="57708D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restart"/>
            <w:vAlign w:val="center"/>
          </w:tcPr>
          <w:p w14:paraId="1D2669C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电镀</w:t>
            </w:r>
          </w:p>
        </w:tc>
        <w:tc>
          <w:tcPr>
            <w:tcW w:w="956" w:type="dxa"/>
            <w:vMerge w:val="restart"/>
            <w:vAlign w:val="center"/>
          </w:tcPr>
          <w:p w14:paraId="7563320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电镀铜</w:t>
            </w:r>
          </w:p>
        </w:tc>
        <w:tc>
          <w:tcPr>
            <w:tcW w:w="1234" w:type="dxa"/>
            <w:vMerge w:val="restart"/>
            <w:vAlign w:val="center"/>
          </w:tcPr>
          <w:p w14:paraId="2C5C834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含铜废水</w:t>
            </w:r>
          </w:p>
        </w:tc>
        <w:tc>
          <w:tcPr>
            <w:tcW w:w="1013" w:type="dxa"/>
            <w:vMerge w:val="restart"/>
            <w:vAlign w:val="center"/>
          </w:tcPr>
          <w:p w14:paraId="194932D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所有规模</w:t>
            </w:r>
          </w:p>
        </w:tc>
        <w:tc>
          <w:tcPr>
            <w:tcW w:w="1630" w:type="dxa"/>
            <w:vAlign w:val="center"/>
          </w:tcPr>
          <w:p w14:paraId="4EC1DB49">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总铜</w:t>
            </w:r>
          </w:p>
        </w:tc>
        <w:tc>
          <w:tcPr>
            <w:tcW w:w="1507" w:type="dxa"/>
            <w:vAlign w:val="center"/>
          </w:tcPr>
          <w:p w14:paraId="7E96E1C2">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7E1F61B5">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2.54</w:t>
            </w:r>
          </w:p>
        </w:tc>
      </w:tr>
      <w:tr w14:paraId="673B63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0033AF06">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78DFA2BF">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33A3E0E5">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1BC4B3B5">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0928750F">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化学需氧量</w:t>
            </w:r>
          </w:p>
        </w:tc>
        <w:tc>
          <w:tcPr>
            <w:tcW w:w="1507" w:type="dxa"/>
            <w:vAlign w:val="center"/>
          </w:tcPr>
          <w:p w14:paraId="0EA0EEF7">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2D2881C7">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0.39</w:t>
            </w:r>
          </w:p>
        </w:tc>
      </w:tr>
      <w:tr w14:paraId="62AEA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5E6600B5">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62F88C09">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0A5D258C">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2FD5F47D">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2A5C3D46">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氨氮</w:t>
            </w:r>
          </w:p>
        </w:tc>
        <w:tc>
          <w:tcPr>
            <w:tcW w:w="1507" w:type="dxa"/>
            <w:vAlign w:val="center"/>
          </w:tcPr>
          <w:p w14:paraId="7A36CAEF">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43A30C07">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0.027</w:t>
            </w:r>
          </w:p>
        </w:tc>
      </w:tr>
      <w:tr w14:paraId="04015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992" w:type="dxa"/>
            <w:vMerge w:val="continue"/>
            <w:vAlign w:val="center"/>
          </w:tcPr>
          <w:p w14:paraId="1949FEA3">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51CFFF18">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4DA4457D">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1DD26EB0">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128A1C47">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总氮</w:t>
            </w:r>
          </w:p>
        </w:tc>
        <w:tc>
          <w:tcPr>
            <w:tcW w:w="1507" w:type="dxa"/>
            <w:vAlign w:val="center"/>
          </w:tcPr>
          <w:p w14:paraId="1FB0AA4C">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27496CBA">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0.13</w:t>
            </w:r>
          </w:p>
        </w:tc>
      </w:tr>
      <w:tr w14:paraId="7ED24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992" w:type="dxa"/>
            <w:vMerge w:val="continue"/>
            <w:vAlign w:val="center"/>
          </w:tcPr>
          <w:p w14:paraId="479D47C8">
            <w:pPr>
              <w:spacing w:line="240" w:lineRule="auto"/>
              <w:jc w:val="center"/>
              <w:rPr>
                <w:rFonts w:hint="default" w:ascii="Times New Roman" w:hAnsi="Times New Roman" w:eastAsia="宋体" w:cs="Times New Roman"/>
                <w:color w:val="auto"/>
                <w:sz w:val="21"/>
                <w:szCs w:val="21"/>
                <w:highlight w:val="none"/>
                <w:u w:val="none" w:color="auto"/>
              </w:rPr>
            </w:pPr>
          </w:p>
        </w:tc>
        <w:tc>
          <w:tcPr>
            <w:tcW w:w="956" w:type="dxa"/>
            <w:vMerge w:val="continue"/>
            <w:vAlign w:val="center"/>
          </w:tcPr>
          <w:p w14:paraId="0C5758A6">
            <w:pPr>
              <w:spacing w:line="240" w:lineRule="auto"/>
              <w:jc w:val="center"/>
              <w:rPr>
                <w:rFonts w:hint="default" w:ascii="Times New Roman" w:hAnsi="Times New Roman" w:eastAsia="宋体" w:cs="Times New Roman"/>
                <w:color w:val="auto"/>
                <w:sz w:val="21"/>
                <w:szCs w:val="21"/>
                <w:highlight w:val="none"/>
                <w:u w:val="none" w:color="auto"/>
              </w:rPr>
            </w:pPr>
          </w:p>
        </w:tc>
        <w:tc>
          <w:tcPr>
            <w:tcW w:w="1234" w:type="dxa"/>
            <w:vMerge w:val="continue"/>
            <w:vAlign w:val="center"/>
          </w:tcPr>
          <w:p w14:paraId="1222A530">
            <w:pPr>
              <w:spacing w:line="240" w:lineRule="auto"/>
              <w:jc w:val="center"/>
              <w:rPr>
                <w:rFonts w:hint="default" w:ascii="Times New Roman" w:hAnsi="Times New Roman" w:eastAsia="宋体" w:cs="Times New Roman"/>
                <w:color w:val="auto"/>
                <w:sz w:val="21"/>
                <w:szCs w:val="21"/>
                <w:highlight w:val="none"/>
                <w:u w:val="none" w:color="auto"/>
              </w:rPr>
            </w:pPr>
          </w:p>
        </w:tc>
        <w:tc>
          <w:tcPr>
            <w:tcW w:w="1013" w:type="dxa"/>
            <w:vMerge w:val="continue"/>
            <w:vAlign w:val="center"/>
          </w:tcPr>
          <w:p w14:paraId="50B5757E">
            <w:pPr>
              <w:spacing w:line="240" w:lineRule="auto"/>
              <w:jc w:val="center"/>
              <w:rPr>
                <w:rFonts w:hint="default" w:ascii="Times New Roman" w:hAnsi="Times New Roman" w:eastAsia="宋体" w:cs="Times New Roman"/>
                <w:color w:val="auto"/>
                <w:sz w:val="21"/>
                <w:szCs w:val="21"/>
                <w:highlight w:val="none"/>
                <w:u w:val="none" w:color="auto"/>
              </w:rPr>
            </w:pPr>
          </w:p>
        </w:tc>
        <w:tc>
          <w:tcPr>
            <w:tcW w:w="1630" w:type="dxa"/>
            <w:vAlign w:val="center"/>
          </w:tcPr>
          <w:p w14:paraId="58166312">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总磷</w:t>
            </w:r>
          </w:p>
        </w:tc>
        <w:tc>
          <w:tcPr>
            <w:tcW w:w="1507" w:type="dxa"/>
            <w:vAlign w:val="center"/>
          </w:tcPr>
          <w:p w14:paraId="0FEBF6FF">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g/m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-产品</w:t>
            </w:r>
          </w:p>
        </w:tc>
        <w:tc>
          <w:tcPr>
            <w:tcW w:w="1565" w:type="dxa"/>
            <w:vAlign w:val="center"/>
          </w:tcPr>
          <w:p w14:paraId="1F08EF95">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0.21</w:t>
            </w:r>
          </w:p>
        </w:tc>
      </w:tr>
    </w:tbl>
    <w:p w14:paraId="2EA27D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本项目酸碱含油废水主要污染物为</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、COD、SS、石油类，类比同类工程，电镀预处理工序的酸、碱废水混合和相互中和后，</w:t>
      </w:r>
      <w:r>
        <w:rPr>
          <w:rFonts w:hint="default" w:ascii="Times New Roman" w:hAnsi="Times New Roman" w:eastAsia="宋体" w:cs="Times New Roman"/>
          <w:color w:val="auto"/>
          <w:sz w:val="24"/>
          <w:szCs w:val="24"/>
          <w:highlight w:val="none"/>
          <w:u w:val="none" w:color="auto"/>
          <w:lang w:eastAsia="zh-CN"/>
        </w:rPr>
        <w:t>pH</w:t>
      </w:r>
      <w:r>
        <w:rPr>
          <w:rFonts w:hint="default" w:ascii="Times New Roman" w:hAnsi="Times New Roman" w:eastAsia="宋体" w:cs="Times New Roman"/>
          <w:color w:val="auto"/>
          <w:sz w:val="24"/>
          <w:szCs w:val="24"/>
          <w:highlight w:val="none"/>
          <w:u w:val="none" w:color="auto"/>
        </w:rPr>
        <w:t xml:space="preserve"> 值为5-6；经在线油水分离后COD 产生浓度约为400mg/L、SS 产生浓度约为200mg/L</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石油类产生浓度约为80mg/L。</w:t>
      </w:r>
    </w:p>
    <w:p w14:paraId="0571FB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rPr>
        <w:t>本次评价根据污染源源强核算技术指南、同类工程确定本项目废水产生浓度，项目运营期污废水产生、排放情况详见下表：</w:t>
      </w:r>
    </w:p>
    <w:p w14:paraId="6D3C6478">
      <w:pPr>
        <w:rPr>
          <w:rFonts w:hint="default" w:ascii="Times New Roman" w:hAnsi="Times New Roman" w:cs="Times New Roman"/>
          <w:color w:val="auto"/>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D2E4787">
      <w:pPr>
        <w:jc w:val="center"/>
        <w:rPr>
          <w:rFonts w:hint="default" w:ascii="Times New Roman" w:hAnsi="Times New Roman" w:eastAsia="宋体" w:cs="Times New Roman"/>
          <w:b/>
          <w:color w:val="auto"/>
          <w:sz w:val="21"/>
          <w:szCs w:val="18"/>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4</w:t>
      </w:r>
      <w:r>
        <w:rPr>
          <w:rFonts w:hint="default" w:ascii="Times New Roman" w:hAnsi="Times New Roman" w:eastAsia="宋体" w:cs="Times New Roman"/>
          <w:b/>
          <w:color w:val="auto"/>
          <w:sz w:val="21"/>
          <w:szCs w:val="18"/>
          <w:highlight w:val="none"/>
          <w:u w:val="single" w:color="auto"/>
        </w:rPr>
        <w:t>.4-</w:t>
      </w:r>
      <w:r>
        <w:rPr>
          <w:rFonts w:hint="default" w:ascii="Times New Roman" w:hAnsi="Times New Roman" w:eastAsia="宋体" w:cs="Times New Roman"/>
          <w:b/>
          <w:color w:val="auto"/>
          <w:sz w:val="21"/>
          <w:szCs w:val="18"/>
          <w:highlight w:val="none"/>
          <w:u w:val="single" w:color="auto"/>
          <w:lang w:val="en-US" w:eastAsia="zh-CN"/>
        </w:rPr>
        <w:t>9</w:t>
      </w:r>
      <w:r>
        <w:rPr>
          <w:rFonts w:hint="default" w:ascii="Times New Roman" w:hAnsi="Times New Roman" w:eastAsia="宋体" w:cs="Times New Roman"/>
          <w:b/>
          <w:color w:val="auto"/>
          <w:sz w:val="21"/>
          <w:szCs w:val="18"/>
          <w:highlight w:val="none"/>
          <w:u w:val="single" w:color="auto"/>
        </w:rPr>
        <w:t>本项目废水污染物产生浓度一览表</w:t>
      </w:r>
    </w:p>
    <w:tbl>
      <w:tblPr>
        <w:tblStyle w:val="22"/>
        <w:tblW w:w="490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3"/>
        <w:gridCol w:w="1138"/>
        <w:gridCol w:w="1135"/>
        <w:gridCol w:w="928"/>
        <w:gridCol w:w="964"/>
        <w:gridCol w:w="953"/>
        <w:gridCol w:w="953"/>
        <w:gridCol w:w="953"/>
        <w:gridCol w:w="948"/>
        <w:gridCol w:w="953"/>
        <w:gridCol w:w="957"/>
        <w:gridCol w:w="957"/>
        <w:gridCol w:w="966"/>
      </w:tblGrid>
      <w:tr w14:paraId="4495A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9" w:hRule="atLeast"/>
          <w:jc w:val="center"/>
        </w:trPr>
        <w:tc>
          <w:tcPr>
            <w:tcW w:w="752" w:type="pct"/>
            <w:vMerge w:val="restart"/>
            <w:shd w:val="clear" w:color="auto" w:fill="auto"/>
            <w:vAlign w:val="center"/>
          </w:tcPr>
          <w:p w14:paraId="653807B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废水类别</w:t>
            </w:r>
          </w:p>
        </w:tc>
        <w:tc>
          <w:tcPr>
            <w:tcW w:w="409" w:type="pct"/>
            <w:vMerge w:val="restart"/>
            <w:shd w:val="clear" w:color="auto" w:fill="auto"/>
            <w:vAlign w:val="center"/>
          </w:tcPr>
          <w:p w14:paraId="42B64ED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废水</w:t>
            </w:r>
          </w:p>
          <w:p w14:paraId="2B9C20F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产生量</w:t>
            </w:r>
          </w:p>
          <w:p w14:paraId="21A8F7B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（m</w:t>
            </w:r>
            <w:r>
              <w:rPr>
                <w:rFonts w:hint="default" w:ascii="Times New Roman" w:hAnsi="Times New Roman" w:eastAsia="宋体" w:cs="Times New Roman"/>
                <w:bCs/>
                <w:color w:val="auto"/>
                <w:sz w:val="21"/>
                <w:szCs w:val="21"/>
                <w:highlight w:val="none"/>
                <w:u w:val="single" w:color="auto"/>
                <w:vertAlign w:val="superscript"/>
              </w:rPr>
              <w:t>3</w:t>
            </w:r>
            <w:r>
              <w:rPr>
                <w:rFonts w:hint="default" w:ascii="Times New Roman" w:hAnsi="Times New Roman" w:eastAsia="宋体" w:cs="Times New Roman"/>
                <w:bCs/>
                <w:color w:val="auto"/>
                <w:sz w:val="21"/>
                <w:szCs w:val="21"/>
                <w:highlight w:val="none"/>
                <w:u w:val="single" w:color="auto"/>
              </w:rPr>
              <w:t>/d）</w:t>
            </w:r>
          </w:p>
        </w:tc>
        <w:tc>
          <w:tcPr>
            <w:tcW w:w="3837" w:type="pct"/>
            <w:gridSpan w:val="11"/>
            <w:tcBorders>
              <w:right w:val="single" w:color="auto" w:sz="4" w:space="0"/>
            </w:tcBorders>
            <w:shd w:val="clear" w:color="auto" w:fill="auto"/>
            <w:vAlign w:val="center"/>
          </w:tcPr>
          <w:p w14:paraId="2D77F6D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污染物产生浓度（mg/L、</w:t>
            </w:r>
            <w:r>
              <w:rPr>
                <w:rFonts w:hint="default" w:ascii="Times New Roman" w:hAnsi="Times New Roman" w:eastAsia="宋体" w:cs="Times New Roman"/>
                <w:bCs/>
                <w:color w:val="auto"/>
                <w:sz w:val="21"/>
                <w:szCs w:val="21"/>
                <w:highlight w:val="none"/>
                <w:u w:val="single" w:color="auto"/>
                <w:lang w:eastAsia="zh-CN"/>
              </w:rPr>
              <w:t>pH</w:t>
            </w:r>
            <w:r>
              <w:rPr>
                <w:rFonts w:hint="default" w:ascii="Times New Roman" w:hAnsi="Times New Roman" w:eastAsia="宋体" w:cs="Times New Roman"/>
                <w:bCs/>
                <w:color w:val="auto"/>
                <w:sz w:val="21"/>
                <w:szCs w:val="21"/>
                <w:highlight w:val="none"/>
                <w:u w:val="single" w:color="auto"/>
              </w:rPr>
              <w:t>无量纲）</w:t>
            </w:r>
          </w:p>
        </w:tc>
      </w:tr>
      <w:tr w14:paraId="014B1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0" w:hRule="atLeast"/>
          <w:jc w:val="center"/>
        </w:trPr>
        <w:tc>
          <w:tcPr>
            <w:tcW w:w="752" w:type="pct"/>
            <w:vMerge w:val="continue"/>
            <w:shd w:val="clear" w:color="auto" w:fill="auto"/>
            <w:vAlign w:val="center"/>
          </w:tcPr>
          <w:p w14:paraId="57F2B3E5">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409" w:type="pct"/>
            <w:vMerge w:val="continue"/>
            <w:shd w:val="clear" w:color="auto" w:fill="auto"/>
            <w:vAlign w:val="center"/>
          </w:tcPr>
          <w:p w14:paraId="60DC2BCD">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408" w:type="pct"/>
            <w:shd w:val="clear" w:color="auto" w:fill="auto"/>
            <w:vAlign w:val="center"/>
          </w:tcPr>
          <w:p w14:paraId="1F0EC00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eastAsia="zh-CN"/>
              </w:rPr>
              <w:t>pH</w:t>
            </w:r>
            <w:r>
              <w:rPr>
                <w:rFonts w:hint="default" w:ascii="Times New Roman" w:hAnsi="Times New Roman" w:eastAsia="宋体" w:cs="Times New Roman"/>
                <w:bCs/>
                <w:color w:val="auto"/>
                <w:sz w:val="21"/>
                <w:szCs w:val="21"/>
                <w:highlight w:val="none"/>
                <w:u w:val="single" w:color="auto"/>
              </w:rPr>
              <w:t>值</w:t>
            </w:r>
          </w:p>
        </w:tc>
        <w:tc>
          <w:tcPr>
            <w:tcW w:w="333" w:type="pct"/>
            <w:shd w:val="clear" w:color="auto" w:fill="auto"/>
            <w:vAlign w:val="center"/>
          </w:tcPr>
          <w:p w14:paraId="4553082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SS</w:t>
            </w:r>
          </w:p>
        </w:tc>
        <w:tc>
          <w:tcPr>
            <w:tcW w:w="346" w:type="pct"/>
            <w:shd w:val="clear" w:color="auto" w:fill="auto"/>
            <w:vAlign w:val="center"/>
          </w:tcPr>
          <w:p w14:paraId="3B2CAC9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COD</w:t>
            </w:r>
          </w:p>
        </w:tc>
        <w:tc>
          <w:tcPr>
            <w:tcW w:w="342" w:type="pct"/>
            <w:shd w:val="clear" w:color="auto" w:fill="auto"/>
            <w:vAlign w:val="center"/>
          </w:tcPr>
          <w:p w14:paraId="29B5081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氨氮</w:t>
            </w:r>
          </w:p>
        </w:tc>
        <w:tc>
          <w:tcPr>
            <w:tcW w:w="342" w:type="pct"/>
            <w:shd w:val="clear" w:color="auto" w:fill="auto"/>
            <w:vAlign w:val="center"/>
          </w:tcPr>
          <w:p w14:paraId="0B753E3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总磷</w:t>
            </w:r>
          </w:p>
        </w:tc>
        <w:tc>
          <w:tcPr>
            <w:tcW w:w="342" w:type="pct"/>
            <w:shd w:val="clear" w:color="auto" w:fill="auto"/>
            <w:vAlign w:val="center"/>
          </w:tcPr>
          <w:p w14:paraId="5E1E576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石油类</w:t>
            </w:r>
          </w:p>
        </w:tc>
        <w:tc>
          <w:tcPr>
            <w:tcW w:w="341" w:type="pct"/>
            <w:shd w:val="clear" w:color="auto" w:fill="auto"/>
            <w:vAlign w:val="center"/>
          </w:tcPr>
          <w:p w14:paraId="046C4DC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总镍</w:t>
            </w:r>
          </w:p>
        </w:tc>
        <w:tc>
          <w:tcPr>
            <w:tcW w:w="342" w:type="pct"/>
            <w:shd w:val="clear" w:color="auto" w:fill="auto"/>
            <w:vAlign w:val="center"/>
          </w:tcPr>
          <w:p w14:paraId="0312ACD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总铜</w:t>
            </w:r>
          </w:p>
        </w:tc>
        <w:tc>
          <w:tcPr>
            <w:tcW w:w="344" w:type="pct"/>
            <w:shd w:val="clear" w:color="auto" w:fill="auto"/>
            <w:vAlign w:val="center"/>
          </w:tcPr>
          <w:p w14:paraId="544DA5B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总锌</w:t>
            </w:r>
          </w:p>
        </w:tc>
        <w:tc>
          <w:tcPr>
            <w:tcW w:w="344" w:type="pct"/>
            <w:shd w:val="clear" w:color="auto" w:fill="auto"/>
            <w:vAlign w:val="center"/>
          </w:tcPr>
          <w:p w14:paraId="17733D8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氯化物</w:t>
            </w:r>
          </w:p>
        </w:tc>
        <w:tc>
          <w:tcPr>
            <w:tcW w:w="347" w:type="pct"/>
            <w:shd w:val="clear" w:color="auto" w:fill="auto"/>
            <w:vAlign w:val="center"/>
          </w:tcPr>
          <w:p w14:paraId="2EF92A7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硫酸盐</w:t>
            </w:r>
          </w:p>
        </w:tc>
      </w:tr>
      <w:tr w14:paraId="62955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52" w:type="pct"/>
            <w:shd w:val="clear" w:color="auto" w:fill="auto"/>
            <w:vAlign w:val="center"/>
          </w:tcPr>
          <w:p w14:paraId="75CD0B7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含油废水</w:t>
            </w:r>
          </w:p>
        </w:tc>
        <w:tc>
          <w:tcPr>
            <w:tcW w:w="409" w:type="pct"/>
            <w:shd w:val="clear" w:color="auto" w:fill="auto"/>
            <w:vAlign w:val="center"/>
          </w:tcPr>
          <w:p w14:paraId="0445EFD9">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5.777</w:t>
            </w:r>
          </w:p>
        </w:tc>
        <w:tc>
          <w:tcPr>
            <w:tcW w:w="408" w:type="pct"/>
            <w:shd w:val="clear" w:color="auto" w:fill="auto"/>
            <w:vAlign w:val="center"/>
          </w:tcPr>
          <w:p w14:paraId="01F1E788">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6~8</w:t>
            </w:r>
          </w:p>
        </w:tc>
        <w:tc>
          <w:tcPr>
            <w:tcW w:w="333" w:type="pct"/>
            <w:shd w:val="clear" w:color="auto" w:fill="auto"/>
            <w:vAlign w:val="center"/>
          </w:tcPr>
          <w:p w14:paraId="6390AA1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200</w:t>
            </w:r>
          </w:p>
        </w:tc>
        <w:tc>
          <w:tcPr>
            <w:tcW w:w="346" w:type="pct"/>
            <w:shd w:val="clear" w:color="auto" w:fill="auto"/>
            <w:vAlign w:val="center"/>
          </w:tcPr>
          <w:p w14:paraId="3ADBC14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400</w:t>
            </w:r>
          </w:p>
        </w:tc>
        <w:tc>
          <w:tcPr>
            <w:tcW w:w="342" w:type="pct"/>
            <w:shd w:val="clear" w:color="auto" w:fill="auto"/>
            <w:vAlign w:val="center"/>
          </w:tcPr>
          <w:p w14:paraId="6769DFA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w:t>
            </w:r>
          </w:p>
        </w:tc>
        <w:tc>
          <w:tcPr>
            <w:tcW w:w="342" w:type="pct"/>
            <w:shd w:val="clear" w:color="auto" w:fill="auto"/>
            <w:vAlign w:val="center"/>
          </w:tcPr>
          <w:p w14:paraId="70A87A0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5BEC1293">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w:t>
            </w:r>
          </w:p>
        </w:tc>
        <w:tc>
          <w:tcPr>
            <w:tcW w:w="341" w:type="pct"/>
            <w:shd w:val="clear" w:color="auto" w:fill="auto"/>
            <w:vAlign w:val="center"/>
          </w:tcPr>
          <w:p w14:paraId="59A9BAE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3F9CBF4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755BF48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227C5CD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504</w:t>
            </w:r>
          </w:p>
        </w:tc>
        <w:tc>
          <w:tcPr>
            <w:tcW w:w="347" w:type="pct"/>
            <w:shd w:val="clear" w:color="auto" w:fill="auto"/>
            <w:vAlign w:val="center"/>
          </w:tcPr>
          <w:p w14:paraId="18366A0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50</w:t>
            </w:r>
          </w:p>
        </w:tc>
      </w:tr>
      <w:tr w14:paraId="0CFCD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52" w:type="pct"/>
            <w:shd w:val="clear" w:color="auto" w:fill="auto"/>
            <w:vAlign w:val="center"/>
          </w:tcPr>
          <w:p w14:paraId="2CF1A20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酸碱废水</w:t>
            </w:r>
          </w:p>
        </w:tc>
        <w:tc>
          <w:tcPr>
            <w:tcW w:w="409" w:type="pct"/>
            <w:shd w:val="clear" w:color="auto" w:fill="auto"/>
            <w:vAlign w:val="center"/>
          </w:tcPr>
          <w:p w14:paraId="06461BC4">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16.759</w:t>
            </w:r>
          </w:p>
        </w:tc>
        <w:tc>
          <w:tcPr>
            <w:tcW w:w="408" w:type="pct"/>
            <w:shd w:val="clear" w:color="auto" w:fill="auto"/>
            <w:vAlign w:val="center"/>
          </w:tcPr>
          <w:p w14:paraId="574F07C9">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5~6</w:t>
            </w:r>
          </w:p>
        </w:tc>
        <w:tc>
          <w:tcPr>
            <w:tcW w:w="333" w:type="pct"/>
            <w:shd w:val="clear" w:color="auto" w:fill="auto"/>
            <w:vAlign w:val="center"/>
          </w:tcPr>
          <w:p w14:paraId="614DDE6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200</w:t>
            </w:r>
          </w:p>
        </w:tc>
        <w:tc>
          <w:tcPr>
            <w:tcW w:w="346" w:type="pct"/>
            <w:shd w:val="clear" w:color="auto" w:fill="auto"/>
            <w:vAlign w:val="center"/>
          </w:tcPr>
          <w:p w14:paraId="71C5AAD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400</w:t>
            </w:r>
          </w:p>
        </w:tc>
        <w:tc>
          <w:tcPr>
            <w:tcW w:w="342" w:type="pct"/>
            <w:shd w:val="clear" w:color="auto" w:fill="auto"/>
            <w:vAlign w:val="center"/>
          </w:tcPr>
          <w:p w14:paraId="4746429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w:t>
            </w:r>
          </w:p>
        </w:tc>
        <w:tc>
          <w:tcPr>
            <w:tcW w:w="342" w:type="pct"/>
            <w:shd w:val="clear" w:color="auto" w:fill="auto"/>
            <w:vAlign w:val="center"/>
          </w:tcPr>
          <w:p w14:paraId="6346B14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555A177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80</w:t>
            </w:r>
          </w:p>
        </w:tc>
        <w:tc>
          <w:tcPr>
            <w:tcW w:w="341" w:type="pct"/>
            <w:shd w:val="clear" w:color="auto" w:fill="auto"/>
            <w:vAlign w:val="center"/>
          </w:tcPr>
          <w:p w14:paraId="4D35F79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2475D7B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0BE5721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017D054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504</w:t>
            </w:r>
          </w:p>
        </w:tc>
        <w:tc>
          <w:tcPr>
            <w:tcW w:w="347" w:type="pct"/>
            <w:shd w:val="clear" w:color="auto" w:fill="auto"/>
            <w:vAlign w:val="center"/>
          </w:tcPr>
          <w:p w14:paraId="6B4A36B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50</w:t>
            </w:r>
          </w:p>
        </w:tc>
      </w:tr>
      <w:tr w14:paraId="32592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52" w:type="pct"/>
            <w:shd w:val="clear" w:color="auto" w:fill="auto"/>
            <w:vAlign w:val="center"/>
          </w:tcPr>
          <w:p w14:paraId="47F07F6C">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含锌镍废水</w:t>
            </w:r>
          </w:p>
        </w:tc>
        <w:tc>
          <w:tcPr>
            <w:tcW w:w="409" w:type="pct"/>
            <w:shd w:val="clear" w:color="auto" w:fill="auto"/>
            <w:vAlign w:val="center"/>
          </w:tcPr>
          <w:p w14:paraId="56F48FB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3.679</w:t>
            </w:r>
          </w:p>
        </w:tc>
        <w:tc>
          <w:tcPr>
            <w:tcW w:w="408" w:type="pct"/>
            <w:shd w:val="clear" w:color="auto" w:fill="auto"/>
            <w:vAlign w:val="center"/>
          </w:tcPr>
          <w:p w14:paraId="2250D7C8">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8</w:t>
            </w:r>
            <w:r>
              <w:rPr>
                <w:rFonts w:hint="default" w:ascii="Times New Roman" w:hAnsi="Times New Roman" w:eastAsia="宋体" w:cs="Times New Roman"/>
                <w:bCs/>
                <w:color w:val="auto"/>
                <w:sz w:val="21"/>
                <w:szCs w:val="21"/>
                <w:highlight w:val="none"/>
                <w:u w:val="single" w:color="auto"/>
              </w:rPr>
              <w:t>～</w:t>
            </w:r>
            <w:r>
              <w:rPr>
                <w:rFonts w:hint="default" w:ascii="Times New Roman" w:hAnsi="Times New Roman" w:eastAsia="宋体" w:cs="Times New Roman"/>
                <w:bCs/>
                <w:color w:val="auto"/>
                <w:sz w:val="21"/>
                <w:szCs w:val="21"/>
                <w:highlight w:val="none"/>
                <w:u w:val="single" w:color="auto"/>
                <w:lang w:val="en-US" w:eastAsia="zh-CN"/>
              </w:rPr>
              <w:t>10</w:t>
            </w:r>
          </w:p>
        </w:tc>
        <w:tc>
          <w:tcPr>
            <w:tcW w:w="333" w:type="pct"/>
            <w:shd w:val="clear" w:color="auto" w:fill="auto"/>
            <w:vAlign w:val="center"/>
          </w:tcPr>
          <w:p w14:paraId="4B37FD6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6" w:type="pct"/>
            <w:shd w:val="clear" w:color="auto" w:fill="auto"/>
            <w:vAlign w:val="center"/>
          </w:tcPr>
          <w:p w14:paraId="47C104F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150</w:t>
            </w:r>
          </w:p>
        </w:tc>
        <w:tc>
          <w:tcPr>
            <w:tcW w:w="342" w:type="pct"/>
            <w:shd w:val="clear" w:color="auto" w:fill="auto"/>
            <w:vAlign w:val="center"/>
          </w:tcPr>
          <w:p w14:paraId="6E7B771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1F2A8C6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w:t>
            </w:r>
          </w:p>
        </w:tc>
        <w:tc>
          <w:tcPr>
            <w:tcW w:w="342" w:type="pct"/>
            <w:shd w:val="clear" w:color="auto" w:fill="auto"/>
            <w:vAlign w:val="center"/>
          </w:tcPr>
          <w:p w14:paraId="481AFFD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1" w:type="pct"/>
            <w:shd w:val="clear" w:color="auto" w:fill="auto"/>
            <w:vAlign w:val="center"/>
          </w:tcPr>
          <w:p w14:paraId="35B4911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2" w:type="pct"/>
            <w:shd w:val="clear" w:color="auto" w:fill="auto"/>
            <w:vAlign w:val="center"/>
          </w:tcPr>
          <w:p w14:paraId="73773A6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132FE2FE">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100</w:t>
            </w:r>
          </w:p>
        </w:tc>
        <w:tc>
          <w:tcPr>
            <w:tcW w:w="344" w:type="pct"/>
            <w:shd w:val="clear" w:color="auto" w:fill="auto"/>
            <w:vAlign w:val="center"/>
          </w:tcPr>
          <w:p w14:paraId="724312D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7" w:type="pct"/>
            <w:shd w:val="clear" w:color="auto" w:fill="auto"/>
            <w:vAlign w:val="center"/>
          </w:tcPr>
          <w:p w14:paraId="223AA9A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400</w:t>
            </w:r>
          </w:p>
        </w:tc>
      </w:tr>
      <w:tr w14:paraId="2CB1B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52" w:type="pct"/>
            <w:shd w:val="clear" w:color="auto" w:fill="auto"/>
            <w:vAlign w:val="center"/>
          </w:tcPr>
          <w:p w14:paraId="14BC379E">
            <w:pPr>
              <w:pStyle w:val="49"/>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含镍废水</w:t>
            </w:r>
          </w:p>
        </w:tc>
        <w:tc>
          <w:tcPr>
            <w:tcW w:w="409" w:type="pct"/>
            <w:shd w:val="clear" w:color="auto" w:fill="auto"/>
            <w:vAlign w:val="center"/>
          </w:tcPr>
          <w:p w14:paraId="59798A40">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14.370</w:t>
            </w:r>
          </w:p>
        </w:tc>
        <w:tc>
          <w:tcPr>
            <w:tcW w:w="408" w:type="pct"/>
            <w:shd w:val="clear" w:color="auto" w:fill="auto"/>
            <w:vAlign w:val="center"/>
          </w:tcPr>
          <w:p w14:paraId="4D664EC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3～5</w:t>
            </w:r>
          </w:p>
        </w:tc>
        <w:tc>
          <w:tcPr>
            <w:tcW w:w="333" w:type="pct"/>
            <w:shd w:val="clear" w:color="auto" w:fill="auto"/>
            <w:vAlign w:val="center"/>
          </w:tcPr>
          <w:p w14:paraId="1DD1EF7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6" w:type="pct"/>
            <w:shd w:val="clear" w:color="auto" w:fill="auto"/>
            <w:vAlign w:val="center"/>
          </w:tcPr>
          <w:p w14:paraId="6C0AE35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150</w:t>
            </w:r>
          </w:p>
        </w:tc>
        <w:tc>
          <w:tcPr>
            <w:tcW w:w="342" w:type="pct"/>
            <w:shd w:val="clear" w:color="auto" w:fill="auto"/>
            <w:vAlign w:val="center"/>
          </w:tcPr>
          <w:p w14:paraId="3F92CBE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2EE604A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w:t>
            </w:r>
          </w:p>
        </w:tc>
        <w:tc>
          <w:tcPr>
            <w:tcW w:w="342" w:type="pct"/>
            <w:shd w:val="clear" w:color="auto" w:fill="auto"/>
            <w:vAlign w:val="center"/>
          </w:tcPr>
          <w:p w14:paraId="68557C3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1" w:type="pct"/>
            <w:shd w:val="clear" w:color="auto" w:fill="auto"/>
            <w:vAlign w:val="center"/>
          </w:tcPr>
          <w:p w14:paraId="7B17D26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2" w:type="pct"/>
            <w:shd w:val="clear" w:color="auto" w:fill="auto"/>
            <w:vAlign w:val="center"/>
          </w:tcPr>
          <w:p w14:paraId="27BE678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1AC69FF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3388BD8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7" w:type="pct"/>
            <w:shd w:val="clear" w:color="auto" w:fill="auto"/>
            <w:vAlign w:val="center"/>
          </w:tcPr>
          <w:p w14:paraId="43AD330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400</w:t>
            </w:r>
          </w:p>
        </w:tc>
      </w:tr>
      <w:tr w14:paraId="51CF0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52" w:type="pct"/>
            <w:shd w:val="clear" w:color="auto" w:fill="auto"/>
            <w:vAlign w:val="center"/>
          </w:tcPr>
          <w:p w14:paraId="720A94C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含铜废水</w:t>
            </w:r>
          </w:p>
        </w:tc>
        <w:tc>
          <w:tcPr>
            <w:tcW w:w="409" w:type="pct"/>
            <w:shd w:val="clear" w:color="auto" w:fill="auto"/>
            <w:vAlign w:val="center"/>
          </w:tcPr>
          <w:p w14:paraId="3B6FE38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1.421</w:t>
            </w:r>
          </w:p>
        </w:tc>
        <w:tc>
          <w:tcPr>
            <w:tcW w:w="408" w:type="pct"/>
            <w:shd w:val="clear" w:color="auto" w:fill="auto"/>
            <w:vAlign w:val="center"/>
          </w:tcPr>
          <w:p w14:paraId="36DDA80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3～5</w:t>
            </w:r>
          </w:p>
        </w:tc>
        <w:tc>
          <w:tcPr>
            <w:tcW w:w="333" w:type="pct"/>
            <w:shd w:val="clear" w:color="auto" w:fill="auto"/>
            <w:vAlign w:val="center"/>
          </w:tcPr>
          <w:p w14:paraId="312BD49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6" w:type="pct"/>
            <w:shd w:val="clear" w:color="auto" w:fill="auto"/>
            <w:vAlign w:val="center"/>
          </w:tcPr>
          <w:p w14:paraId="535EBD3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150</w:t>
            </w:r>
          </w:p>
        </w:tc>
        <w:tc>
          <w:tcPr>
            <w:tcW w:w="342" w:type="pct"/>
            <w:shd w:val="clear" w:color="auto" w:fill="auto"/>
            <w:vAlign w:val="center"/>
          </w:tcPr>
          <w:p w14:paraId="36D11C2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738385E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20</w:t>
            </w:r>
          </w:p>
        </w:tc>
        <w:tc>
          <w:tcPr>
            <w:tcW w:w="342" w:type="pct"/>
            <w:shd w:val="clear" w:color="auto" w:fill="auto"/>
            <w:vAlign w:val="center"/>
          </w:tcPr>
          <w:p w14:paraId="78E2663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1" w:type="pct"/>
            <w:shd w:val="clear" w:color="auto" w:fill="auto"/>
            <w:vAlign w:val="center"/>
          </w:tcPr>
          <w:p w14:paraId="38847A4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76B5C46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4" w:type="pct"/>
            <w:shd w:val="clear" w:color="auto" w:fill="auto"/>
            <w:vAlign w:val="center"/>
          </w:tcPr>
          <w:p w14:paraId="25B3279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0ADD3FA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7" w:type="pct"/>
            <w:shd w:val="clear" w:color="auto" w:fill="auto"/>
            <w:vAlign w:val="center"/>
          </w:tcPr>
          <w:p w14:paraId="5A9D2DE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300</w:t>
            </w:r>
          </w:p>
        </w:tc>
      </w:tr>
      <w:tr w14:paraId="73902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52" w:type="pct"/>
            <w:shd w:val="clear" w:color="auto" w:fill="auto"/>
            <w:vAlign w:val="center"/>
          </w:tcPr>
          <w:p w14:paraId="3E305F7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eastAsia="zh-CN"/>
              </w:rPr>
              <w:t>退镀</w:t>
            </w:r>
            <w:r>
              <w:rPr>
                <w:rFonts w:hint="default" w:ascii="Times New Roman" w:hAnsi="Times New Roman" w:eastAsia="宋体" w:cs="Times New Roman"/>
                <w:bCs/>
                <w:color w:val="auto"/>
                <w:sz w:val="21"/>
                <w:szCs w:val="21"/>
                <w:highlight w:val="none"/>
                <w:u w:val="single" w:color="auto"/>
              </w:rPr>
              <w:t>废水</w:t>
            </w:r>
          </w:p>
        </w:tc>
        <w:tc>
          <w:tcPr>
            <w:tcW w:w="409" w:type="pct"/>
            <w:shd w:val="clear" w:color="auto" w:fill="auto"/>
            <w:vAlign w:val="center"/>
          </w:tcPr>
          <w:p w14:paraId="0A7BC322">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0.27</w:t>
            </w:r>
            <w:r>
              <w:rPr>
                <w:rFonts w:hint="default" w:ascii="Times New Roman" w:hAnsi="Times New Roman" w:cs="Times New Roman"/>
                <w:color w:val="auto"/>
                <w:sz w:val="21"/>
                <w:szCs w:val="21"/>
                <w:highlight w:val="none"/>
                <w:u w:val="single" w:color="auto"/>
                <w:lang w:val="en-US" w:eastAsia="zh-CN"/>
              </w:rPr>
              <w:t>8</w:t>
            </w:r>
          </w:p>
        </w:tc>
        <w:tc>
          <w:tcPr>
            <w:tcW w:w="408" w:type="pct"/>
            <w:shd w:val="clear" w:color="auto" w:fill="auto"/>
            <w:vAlign w:val="center"/>
          </w:tcPr>
          <w:p w14:paraId="159C67F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3～5</w:t>
            </w:r>
          </w:p>
        </w:tc>
        <w:tc>
          <w:tcPr>
            <w:tcW w:w="333" w:type="pct"/>
            <w:shd w:val="clear" w:color="auto" w:fill="auto"/>
            <w:vAlign w:val="center"/>
          </w:tcPr>
          <w:p w14:paraId="3222D58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6" w:type="pct"/>
            <w:shd w:val="clear" w:color="auto" w:fill="auto"/>
            <w:vAlign w:val="center"/>
          </w:tcPr>
          <w:p w14:paraId="2B0B744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150</w:t>
            </w:r>
          </w:p>
        </w:tc>
        <w:tc>
          <w:tcPr>
            <w:tcW w:w="342" w:type="pct"/>
            <w:shd w:val="clear" w:color="auto" w:fill="auto"/>
            <w:vAlign w:val="center"/>
          </w:tcPr>
          <w:p w14:paraId="5B3D20C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268BBFC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w:t>
            </w:r>
          </w:p>
        </w:tc>
        <w:tc>
          <w:tcPr>
            <w:tcW w:w="342" w:type="pct"/>
            <w:shd w:val="clear" w:color="auto" w:fill="auto"/>
            <w:vAlign w:val="center"/>
          </w:tcPr>
          <w:p w14:paraId="5878CFF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1" w:type="pct"/>
            <w:shd w:val="clear" w:color="auto" w:fill="auto"/>
            <w:vAlign w:val="center"/>
          </w:tcPr>
          <w:p w14:paraId="28920941">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100</w:t>
            </w:r>
          </w:p>
        </w:tc>
        <w:tc>
          <w:tcPr>
            <w:tcW w:w="342" w:type="pct"/>
            <w:shd w:val="clear" w:color="auto" w:fill="auto"/>
            <w:vAlign w:val="center"/>
          </w:tcPr>
          <w:p w14:paraId="09C9994D">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100</w:t>
            </w:r>
          </w:p>
        </w:tc>
        <w:tc>
          <w:tcPr>
            <w:tcW w:w="344" w:type="pct"/>
            <w:shd w:val="clear" w:color="auto" w:fill="auto"/>
            <w:vAlign w:val="center"/>
          </w:tcPr>
          <w:p w14:paraId="2DA63883">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w:t>
            </w:r>
          </w:p>
        </w:tc>
        <w:tc>
          <w:tcPr>
            <w:tcW w:w="344" w:type="pct"/>
            <w:shd w:val="clear" w:color="auto" w:fill="auto"/>
            <w:vAlign w:val="center"/>
          </w:tcPr>
          <w:p w14:paraId="5FD43DE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200</w:t>
            </w:r>
          </w:p>
        </w:tc>
        <w:tc>
          <w:tcPr>
            <w:tcW w:w="347" w:type="pct"/>
            <w:shd w:val="clear" w:color="auto" w:fill="auto"/>
            <w:vAlign w:val="center"/>
          </w:tcPr>
          <w:p w14:paraId="433842D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50</w:t>
            </w:r>
          </w:p>
        </w:tc>
      </w:tr>
      <w:tr w14:paraId="21BFB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52" w:type="pct"/>
            <w:shd w:val="clear" w:color="auto" w:fill="auto"/>
            <w:vAlign w:val="center"/>
          </w:tcPr>
          <w:p w14:paraId="1AAB62D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废气处理废水</w:t>
            </w:r>
          </w:p>
        </w:tc>
        <w:tc>
          <w:tcPr>
            <w:tcW w:w="409" w:type="pct"/>
            <w:shd w:val="clear" w:color="auto" w:fill="auto"/>
            <w:vAlign w:val="center"/>
          </w:tcPr>
          <w:p w14:paraId="28CB6CD2">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1.6</w:t>
            </w:r>
          </w:p>
        </w:tc>
        <w:tc>
          <w:tcPr>
            <w:tcW w:w="408" w:type="pct"/>
            <w:shd w:val="clear" w:color="auto" w:fill="auto"/>
            <w:vAlign w:val="center"/>
          </w:tcPr>
          <w:p w14:paraId="14641EF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6～9</w:t>
            </w:r>
          </w:p>
        </w:tc>
        <w:tc>
          <w:tcPr>
            <w:tcW w:w="333" w:type="pct"/>
            <w:shd w:val="clear" w:color="auto" w:fill="auto"/>
            <w:vAlign w:val="center"/>
          </w:tcPr>
          <w:p w14:paraId="3C7AB11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6" w:type="pct"/>
            <w:shd w:val="clear" w:color="auto" w:fill="auto"/>
            <w:vAlign w:val="center"/>
          </w:tcPr>
          <w:p w14:paraId="6828527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2" w:type="pct"/>
            <w:shd w:val="clear" w:color="auto" w:fill="auto"/>
            <w:vAlign w:val="center"/>
          </w:tcPr>
          <w:p w14:paraId="349D312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77E7996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02D0B42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1" w:type="pct"/>
            <w:shd w:val="clear" w:color="auto" w:fill="auto"/>
            <w:vAlign w:val="center"/>
          </w:tcPr>
          <w:p w14:paraId="12DF10C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27CD232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47E9FBC5">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30A87EB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1000</w:t>
            </w:r>
          </w:p>
        </w:tc>
        <w:tc>
          <w:tcPr>
            <w:tcW w:w="347" w:type="pct"/>
            <w:shd w:val="clear" w:color="auto" w:fill="auto"/>
            <w:vAlign w:val="center"/>
          </w:tcPr>
          <w:p w14:paraId="3AA6DBE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200</w:t>
            </w:r>
          </w:p>
        </w:tc>
      </w:tr>
      <w:tr w14:paraId="6709D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52" w:type="pct"/>
            <w:shd w:val="clear" w:color="auto" w:fill="auto"/>
            <w:vAlign w:val="center"/>
          </w:tcPr>
          <w:p w14:paraId="35A5B937">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eastAsia" w:ascii="Times New Roman" w:hAnsi="Times New Roman" w:eastAsia="宋体" w:cs="Times New Roman"/>
                <w:bCs/>
                <w:color w:val="auto"/>
                <w:sz w:val="21"/>
                <w:szCs w:val="21"/>
                <w:highlight w:val="none"/>
                <w:u w:val="single" w:color="auto"/>
                <w:lang w:val="en-US" w:eastAsia="zh-CN"/>
              </w:rPr>
              <w:t>电镀车间地面清洗废水</w:t>
            </w:r>
          </w:p>
        </w:tc>
        <w:tc>
          <w:tcPr>
            <w:tcW w:w="409" w:type="pct"/>
            <w:shd w:val="clear" w:color="auto" w:fill="auto"/>
            <w:vAlign w:val="center"/>
          </w:tcPr>
          <w:p w14:paraId="603969E0">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2.4</w:t>
            </w:r>
          </w:p>
        </w:tc>
        <w:tc>
          <w:tcPr>
            <w:tcW w:w="408" w:type="pct"/>
            <w:shd w:val="clear" w:color="auto" w:fill="auto"/>
            <w:vAlign w:val="center"/>
          </w:tcPr>
          <w:p w14:paraId="4D23860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6～9</w:t>
            </w:r>
          </w:p>
        </w:tc>
        <w:tc>
          <w:tcPr>
            <w:tcW w:w="333" w:type="pct"/>
            <w:shd w:val="clear" w:color="auto" w:fill="auto"/>
            <w:vAlign w:val="center"/>
          </w:tcPr>
          <w:p w14:paraId="3BE94A4E">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300</w:t>
            </w:r>
          </w:p>
        </w:tc>
        <w:tc>
          <w:tcPr>
            <w:tcW w:w="346" w:type="pct"/>
            <w:shd w:val="clear" w:color="auto" w:fill="auto"/>
            <w:vAlign w:val="center"/>
          </w:tcPr>
          <w:p w14:paraId="7DB17582">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50</w:t>
            </w:r>
          </w:p>
        </w:tc>
        <w:tc>
          <w:tcPr>
            <w:tcW w:w="342" w:type="pct"/>
            <w:shd w:val="clear" w:color="auto" w:fill="auto"/>
            <w:vAlign w:val="center"/>
          </w:tcPr>
          <w:p w14:paraId="7E65C1A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425775B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w:t>
            </w:r>
          </w:p>
        </w:tc>
        <w:tc>
          <w:tcPr>
            <w:tcW w:w="342" w:type="pct"/>
            <w:shd w:val="clear" w:color="auto" w:fill="auto"/>
            <w:vAlign w:val="center"/>
          </w:tcPr>
          <w:p w14:paraId="0C03BF1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1" w:type="pct"/>
            <w:shd w:val="clear" w:color="auto" w:fill="auto"/>
            <w:vAlign w:val="center"/>
          </w:tcPr>
          <w:p w14:paraId="0860AB2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w:t>
            </w:r>
          </w:p>
        </w:tc>
        <w:tc>
          <w:tcPr>
            <w:tcW w:w="342" w:type="pct"/>
            <w:shd w:val="clear" w:color="auto" w:fill="auto"/>
            <w:vAlign w:val="center"/>
          </w:tcPr>
          <w:p w14:paraId="6BF179D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w:t>
            </w:r>
          </w:p>
        </w:tc>
        <w:tc>
          <w:tcPr>
            <w:tcW w:w="344" w:type="pct"/>
            <w:shd w:val="clear" w:color="auto" w:fill="auto"/>
            <w:vAlign w:val="center"/>
          </w:tcPr>
          <w:p w14:paraId="387C8FA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2.0</w:t>
            </w:r>
          </w:p>
        </w:tc>
        <w:tc>
          <w:tcPr>
            <w:tcW w:w="344" w:type="pct"/>
            <w:shd w:val="clear" w:color="auto" w:fill="auto"/>
            <w:vAlign w:val="center"/>
          </w:tcPr>
          <w:p w14:paraId="1162DD19">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50</w:t>
            </w:r>
          </w:p>
        </w:tc>
        <w:tc>
          <w:tcPr>
            <w:tcW w:w="347" w:type="pct"/>
            <w:shd w:val="clear" w:color="auto" w:fill="auto"/>
            <w:vAlign w:val="center"/>
          </w:tcPr>
          <w:p w14:paraId="0DCF7AE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50</w:t>
            </w:r>
          </w:p>
        </w:tc>
      </w:tr>
      <w:tr w14:paraId="0C9CC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752" w:type="pct"/>
            <w:shd w:val="clear" w:color="auto" w:fill="auto"/>
            <w:vAlign w:val="center"/>
          </w:tcPr>
          <w:p w14:paraId="69084304">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机加工车间卫生废水、容器清洗废水、直接冷却废水</w:t>
            </w:r>
          </w:p>
        </w:tc>
        <w:tc>
          <w:tcPr>
            <w:tcW w:w="409" w:type="pct"/>
            <w:shd w:val="clear" w:color="auto" w:fill="auto"/>
            <w:vAlign w:val="center"/>
          </w:tcPr>
          <w:p w14:paraId="2BCDFFA7">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7.2</w:t>
            </w:r>
          </w:p>
        </w:tc>
        <w:tc>
          <w:tcPr>
            <w:tcW w:w="408" w:type="pct"/>
            <w:shd w:val="clear" w:color="auto" w:fill="auto"/>
            <w:vAlign w:val="center"/>
          </w:tcPr>
          <w:p w14:paraId="32804EB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6～9</w:t>
            </w:r>
          </w:p>
        </w:tc>
        <w:tc>
          <w:tcPr>
            <w:tcW w:w="333" w:type="pct"/>
            <w:shd w:val="clear" w:color="auto" w:fill="auto"/>
            <w:vAlign w:val="center"/>
          </w:tcPr>
          <w:p w14:paraId="37EC307F">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800</w:t>
            </w:r>
          </w:p>
        </w:tc>
        <w:tc>
          <w:tcPr>
            <w:tcW w:w="346" w:type="pct"/>
            <w:shd w:val="clear" w:color="auto" w:fill="auto"/>
            <w:vAlign w:val="center"/>
          </w:tcPr>
          <w:p w14:paraId="04E9D93E">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80</w:t>
            </w:r>
          </w:p>
        </w:tc>
        <w:tc>
          <w:tcPr>
            <w:tcW w:w="342" w:type="pct"/>
            <w:shd w:val="clear" w:color="auto" w:fill="auto"/>
            <w:vAlign w:val="center"/>
          </w:tcPr>
          <w:p w14:paraId="524948E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03E6C7B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6A9959F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1" w:type="pct"/>
            <w:shd w:val="clear" w:color="auto" w:fill="auto"/>
            <w:vAlign w:val="center"/>
          </w:tcPr>
          <w:p w14:paraId="19F9604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382345B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28E7E0D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289E26A4">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rPr>
              <w:t>/</w:t>
            </w:r>
          </w:p>
        </w:tc>
        <w:tc>
          <w:tcPr>
            <w:tcW w:w="347" w:type="pct"/>
            <w:shd w:val="clear" w:color="auto" w:fill="auto"/>
            <w:vAlign w:val="center"/>
          </w:tcPr>
          <w:p w14:paraId="1A343AF6">
            <w:pPr>
              <w:snapToGrid w:val="0"/>
              <w:spacing w:line="240" w:lineRule="auto"/>
              <w:jc w:val="center"/>
              <w:rPr>
                <w:rFonts w:hint="eastAsia"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w:t>
            </w:r>
          </w:p>
        </w:tc>
      </w:tr>
      <w:tr w14:paraId="631C54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752" w:type="pct"/>
            <w:shd w:val="clear" w:color="auto" w:fill="auto"/>
            <w:vAlign w:val="center"/>
          </w:tcPr>
          <w:p w14:paraId="710B6869">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rPr>
              <w:t>纯水站</w:t>
            </w:r>
            <w:r>
              <w:rPr>
                <w:rFonts w:hint="default" w:ascii="Times New Roman" w:hAnsi="Times New Roman" w:eastAsia="宋体" w:cs="Times New Roman"/>
                <w:bCs/>
                <w:color w:val="auto"/>
                <w:sz w:val="21"/>
                <w:szCs w:val="21"/>
                <w:highlight w:val="none"/>
                <w:u w:val="single" w:color="auto"/>
                <w:lang w:eastAsia="zh-CN"/>
              </w:rPr>
              <w:t>浓水</w:t>
            </w:r>
          </w:p>
        </w:tc>
        <w:tc>
          <w:tcPr>
            <w:tcW w:w="409" w:type="pct"/>
            <w:shd w:val="clear" w:color="auto" w:fill="auto"/>
            <w:vAlign w:val="center"/>
          </w:tcPr>
          <w:p w14:paraId="00B40E7E">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9.673</w:t>
            </w:r>
          </w:p>
        </w:tc>
        <w:tc>
          <w:tcPr>
            <w:tcW w:w="408" w:type="pct"/>
            <w:shd w:val="clear" w:color="auto" w:fill="auto"/>
            <w:vAlign w:val="center"/>
          </w:tcPr>
          <w:p w14:paraId="14575FB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6～9</w:t>
            </w:r>
          </w:p>
        </w:tc>
        <w:tc>
          <w:tcPr>
            <w:tcW w:w="333" w:type="pct"/>
            <w:shd w:val="clear" w:color="auto" w:fill="auto"/>
            <w:vAlign w:val="center"/>
          </w:tcPr>
          <w:p w14:paraId="39D7D1D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50</w:t>
            </w:r>
          </w:p>
        </w:tc>
        <w:tc>
          <w:tcPr>
            <w:tcW w:w="346" w:type="pct"/>
            <w:shd w:val="clear" w:color="auto" w:fill="auto"/>
            <w:vAlign w:val="center"/>
          </w:tcPr>
          <w:p w14:paraId="32151E1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100</w:t>
            </w:r>
          </w:p>
        </w:tc>
        <w:tc>
          <w:tcPr>
            <w:tcW w:w="342" w:type="pct"/>
            <w:shd w:val="clear" w:color="auto" w:fill="auto"/>
            <w:vAlign w:val="center"/>
          </w:tcPr>
          <w:p w14:paraId="31B19E9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5BE44AE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28E118C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1" w:type="pct"/>
            <w:shd w:val="clear" w:color="auto" w:fill="auto"/>
            <w:vAlign w:val="center"/>
          </w:tcPr>
          <w:p w14:paraId="1ACA19A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17300FE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7BEF117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340D917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7" w:type="pct"/>
            <w:shd w:val="clear" w:color="auto" w:fill="auto"/>
            <w:vAlign w:val="center"/>
          </w:tcPr>
          <w:p w14:paraId="4BEA9DF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200</w:t>
            </w:r>
          </w:p>
        </w:tc>
      </w:tr>
      <w:tr w14:paraId="78234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752" w:type="pct"/>
            <w:shd w:val="clear" w:color="auto" w:fill="auto"/>
            <w:vAlign w:val="center"/>
          </w:tcPr>
          <w:p w14:paraId="482CD1E5">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生活污水</w:t>
            </w:r>
          </w:p>
        </w:tc>
        <w:tc>
          <w:tcPr>
            <w:tcW w:w="409" w:type="pct"/>
            <w:shd w:val="clear" w:color="auto" w:fill="auto"/>
            <w:vAlign w:val="center"/>
          </w:tcPr>
          <w:p w14:paraId="32319E57">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40</w:t>
            </w:r>
          </w:p>
        </w:tc>
        <w:tc>
          <w:tcPr>
            <w:tcW w:w="408" w:type="pct"/>
            <w:shd w:val="clear" w:color="auto" w:fill="auto"/>
            <w:vAlign w:val="center"/>
          </w:tcPr>
          <w:p w14:paraId="0701787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6～9</w:t>
            </w:r>
          </w:p>
        </w:tc>
        <w:tc>
          <w:tcPr>
            <w:tcW w:w="333" w:type="pct"/>
            <w:shd w:val="clear" w:color="auto" w:fill="auto"/>
            <w:vAlign w:val="center"/>
          </w:tcPr>
          <w:p w14:paraId="59FE6A4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150</w:t>
            </w:r>
          </w:p>
        </w:tc>
        <w:tc>
          <w:tcPr>
            <w:tcW w:w="346" w:type="pct"/>
            <w:shd w:val="clear" w:color="auto" w:fill="auto"/>
            <w:vAlign w:val="center"/>
          </w:tcPr>
          <w:p w14:paraId="279FAEB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250</w:t>
            </w:r>
          </w:p>
        </w:tc>
        <w:tc>
          <w:tcPr>
            <w:tcW w:w="342" w:type="pct"/>
            <w:shd w:val="clear" w:color="auto" w:fill="auto"/>
            <w:vAlign w:val="center"/>
          </w:tcPr>
          <w:p w14:paraId="6D6F119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30</w:t>
            </w:r>
          </w:p>
        </w:tc>
        <w:tc>
          <w:tcPr>
            <w:tcW w:w="342" w:type="pct"/>
            <w:shd w:val="clear" w:color="auto" w:fill="auto"/>
            <w:vAlign w:val="center"/>
          </w:tcPr>
          <w:p w14:paraId="0C9D3F0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5</w:t>
            </w:r>
          </w:p>
        </w:tc>
        <w:tc>
          <w:tcPr>
            <w:tcW w:w="342" w:type="pct"/>
            <w:shd w:val="clear" w:color="auto" w:fill="auto"/>
            <w:vAlign w:val="center"/>
          </w:tcPr>
          <w:p w14:paraId="554FBAF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1" w:type="pct"/>
            <w:shd w:val="clear" w:color="auto" w:fill="auto"/>
            <w:vAlign w:val="center"/>
          </w:tcPr>
          <w:p w14:paraId="213C481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2" w:type="pct"/>
            <w:shd w:val="clear" w:color="auto" w:fill="auto"/>
            <w:vAlign w:val="center"/>
          </w:tcPr>
          <w:p w14:paraId="55DB5D0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3C0A361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4" w:type="pct"/>
            <w:shd w:val="clear" w:color="auto" w:fill="auto"/>
            <w:vAlign w:val="center"/>
          </w:tcPr>
          <w:p w14:paraId="03A98D6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47" w:type="pct"/>
            <w:shd w:val="clear" w:color="auto" w:fill="auto"/>
            <w:vAlign w:val="center"/>
          </w:tcPr>
          <w:p w14:paraId="6AE0D08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r>
    </w:tbl>
    <w:p w14:paraId="13EE0521">
      <w:pPr>
        <w:jc w:val="center"/>
        <w:rPr>
          <w:rFonts w:hint="default" w:ascii="Times New Roman" w:hAnsi="Times New Roman" w:eastAsia="宋体" w:cs="Times New Roman"/>
          <w:b/>
          <w:color w:val="auto"/>
          <w:sz w:val="21"/>
          <w:szCs w:val="18"/>
          <w:highlight w:val="none"/>
          <w:u w:val="none" w:color="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AndChars" w:linePitch="312" w:charSpace="0"/>
        </w:sectPr>
      </w:pPr>
    </w:p>
    <w:p w14:paraId="5B148064">
      <w:pPr>
        <w:jc w:val="center"/>
        <w:rPr>
          <w:rFonts w:hint="default" w:ascii="Times New Roman" w:hAnsi="Times New Roman" w:eastAsia="宋体" w:cs="Times New Roman"/>
          <w:b/>
          <w:color w:val="auto"/>
          <w:sz w:val="21"/>
          <w:szCs w:val="18"/>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4</w:t>
      </w:r>
      <w:r>
        <w:rPr>
          <w:rFonts w:hint="default" w:ascii="Times New Roman" w:hAnsi="Times New Roman" w:eastAsia="宋体" w:cs="Times New Roman"/>
          <w:b/>
          <w:color w:val="auto"/>
          <w:sz w:val="21"/>
          <w:szCs w:val="18"/>
          <w:highlight w:val="none"/>
          <w:u w:val="single" w:color="auto"/>
        </w:rPr>
        <w:t>.4-1</w:t>
      </w:r>
      <w:r>
        <w:rPr>
          <w:rFonts w:hint="default" w:ascii="Times New Roman" w:hAnsi="Times New Roman" w:eastAsia="宋体" w:cs="Times New Roman"/>
          <w:b/>
          <w:color w:val="auto"/>
          <w:sz w:val="21"/>
          <w:szCs w:val="18"/>
          <w:highlight w:val="none"/>
          <w:u w:val="single" w:color="auto"/>
          <w:lang w:val="en-US" w:eastAsia="zh-CN"/>
        </w:rPr>
        <w:t>0</w:t>
      </w:r>
      <w:r>
        <w:rPr>
          <w:rFonts w:hint="default" w:ascii="Times New Roman" w:hAnsi="Times New Roman" w:eastAsia="宋体" w:cs="Times New Roman"/>
          <w:b/>
          <w:color w:val="auto"/>
          <w:sz w:val="21"/>
          <w:szCs w:val="18"/>
          <w:highlight w:val="none"/>
          <w:u w:val="single" w:color="auto"/>
        </w:rPr>
        <w:t>本项目废水污染物产生量一览表</w:t>
      </w:r>
    </w:p>
    <w:tbl>
      <w:tblPr>
        <w:tblStyle w:val="22"/>
        <w:tblW w:w="491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7"/>
        <w:gridCol w:w="1140"/>
        <w:gridCol w:w="807"/>
        <w:gridCol w:w="1078"/>
        <w:gridCol w:w="1147"/>
        <w:gridCol w:w="954"/>
        <w:gridCol w:w="954"/>
        <w:gridCol w:w="954"/>
        <w:gridCol w:w="949"/>
        <w:gridCol w:w="954"/>
        <w:gridCol w:w="958"/>
        <w:gridCol w:w="958"/>
        <w:gridCol w:w="969"/>
      </w:tblGrid>
      <w:tr w14:paraId="569419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753" w:type="pct"/>
            <w:vMerge w:val="restart"/>
            <w:shd w:val="clear" w:color="auto" w:fill="auto"/>
            <w:vAlign w:val="center"/>
          </w:tcPr>
          <w:p w14:paraId="513036D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废水类别</w:t>
            </w:r>
          </w:p>
        </w:tc>
        <w:tc>
          <w:tcPr>
            <w:tcW w:w="409" w:type="pct"/>
            <w:vMerge w:val="restart"/>
            <w:shd w:val="clear" w:color="auto" w:fill="auto"/>
            <w:vAlign w:val="center"/>
          </w:tcPr>
          <w:p w14:paraId="3879910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废水产生量</w:t>
            </w:r>
          </w:p>
          <w:p w14:paraId="2A26B9F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（m</w:t>
            </w:r>
            <w:r>
              <w:rPr>
                <w:rFonts w:hint="default" w:ascii="Times New Roman" w:hAnsi="Times New Roman" w:eastAsia="宋体" w:cs="Times New Roman"/>
                <w:bCs/>
                <w:color w:val="auto"/>
                <w:sz w:val="21"/>
                <w:szCs w:val="21"/>
                <w:highlight w:val="none"/>
                <w:u w:val="single" w:color="auto"/>
                <w:vertAlign w:val="superscript"/>
              </w:rPr>
              <w:t>3</w:t>
            </w:r>
            <w:r>
              <w:rPr>
                <w:rFonts w:hint="default" w:ascii="Times New Roman" w:hAnsi="Times New Roman" w:eastAsia="宋体" w:cs="Times New Roman"/>
                <w:bCs/>
                <w:color w:val="auto"/>
                <w:sz w:val="21"/>
                <w:szCs w:val="21"/>
                <w:highlight w:val="none"/>
                <w:u w:val="single" w:color="auto"/>
              </w:rPr>
              <w:t>/d）</w:t>
            </w:r>
          </w:p>
        </w:tc>
        <w:tc>
          <w:tcPr>
            <w:tcW w:w="3837" w:type="pct"/>
            <w:gridSpan w:val="11"/>
            <w:shd w:val="clear" w:color="auto" w:fill="auto"/>
            <w:vAlign w:val="center"/>
          </w:tcPr>
          <w:p w14:paraId="3658E5D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污染物产生量（t/a）</w:t>
            </w:r>
          </w:p>
        </w:tc>
      </w:tr>
      <w:tr w14:paraId="00A3D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8" w:hRule="atLeast"/>
          <w:jc w:val="center"/>
        </w:trPr>
        <w:tc>
          <w:tcPr>
            <w:tcW w:w="753" w:type="pct"/>
            <w:vMerge w:val="continue"/>
            <w:shd w:val="clear" w:color="auto" w:fill="auto"/>
            <w:vAlign w:val="center"/>
          </w:tcPr>
          <w:p w14:paraId="3167DFCB">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409" w:type="pct"/>
            <w:vMerge w:val="continue"/>
            <w:shd w:val="clear" w:color="auto" w:fill="auto"/>
            <w:vAlign w:val="center"/>
          </w:tcPr>
          <w:p w14:paraId="3397CFE1">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289" w:type="pct"/>
            <w:shd w:val="clear" w:color="auto" w:fill="auto"/>
            <w:vAlign w:val="center"/>
          </w:tcPr>
          <w:p w14:paraId="448A76D5">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eastAsia="zh-CN"/>
              </w:rPr>
              <w:t>pH</w:t>
            </w:r>
            <w:r>
              <w:rPr>
                <w:rFonts w:hint="default" w:ascii="Times New Roman" w:hAnsi="Times New Roman" w:eastAsia="宋体" w:cs="Times New Roman"/>
                <w:bCs/>
                <w:color w:val="auto"/>
                <w:sz w:val="21"/>
                <w:szCs w:val="21"/>
                <w:highlight w:val="none"/>
                <w:u w:val="single" w:color="auto"/>
              </w:rPr>
              <w:t>值</w:t>
            </w:r>
          </w:p>
        </w:tc>
        <w:tc>
          <w:tcPr>
            <w:tcW w:w="387" w:type="pct"/>
            <w:shd w:val="clear" w:color="auto" w:fill="auto"/>
            <w:vAlign w:val="center"/>
          </w:tcPr>
          <w:p w14:paraId="1A0C742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SS</w:t>
            </w:r>
          </w:p>
        </w:tc>
        <w:tc>
          <w:tcPr>
            <w:tcW w:w="412" w:type="pct"/>
            <w:shd w:val="clear" w:color="auto" w:fill="auto"/>
            <w:vAlign w:val="center"/>
          </w:tcPr>
          <w:p w14:paraId="6C4FE85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COD</w:t>
            </w:r>
          </w:p>
        </w:tc>
        <w:tc>
          <w:tcPr>
            <w:tcW w:w="342" w:type="pct"/>
            <w:shd w:val="clear" w:color="auto" w:fill="auto"/>
            <w:vAlign w:val="center"/>
          </w:tcPr>
          <w:p w14:paraId="0C80291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氨氮</w:t>
            </w:r>
          </w:p>
        </w:tc>
        <w:tc>
          <w:tcPr>
            <w:tcW w:w="342" w:type="pct"/>
            <w:shd w:val="clear" w:color="auto" w:fill="auto"/>
            <w:vAlign w:val="center"/>
          </w:tcPr>
          <w:p w14:paraId="1CEBAED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总磷</w:t>
            </w:r>
          </w:p>
        </w:tc>
        <w:tc>
          <w:tcPr>
            <w:tcW w:w="342" w:type="pct"/>
            <w:shd w:val="clear" w:color="auto" w:fill="auto"/>
            <w:vAlign w:val="center"/>
          </w:tcPr>
          <w:p w14:paraId="239AE35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石油类</w:t>
            </w:r>
          </w:p>
        </w:tc>
        <w:tc>
          <w:tcPr>
            <w:tcW w:w="340" w:type="pct"/>
            <w:shd w:val="clear" w:color="auto" w:fill="auto"/>
            <w:vAlign w:val="center"/>
          </w:tcPr>
          <w:p w14:paraId="65C7184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总镍</w:t>
            </w:r>
          </w:p>
        </w:tc>
        <w:tc>
          <w:tcPr>
            <w:tcW w:w="342" w:type="pct"/>
            <w:shd w:val="clear" w:color="auto" w:fill="auto"/>
            <w:vAlign w:val="center"/>
          </w:tcPr>
          <w:p w14:paraId="2E615AB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总铜</w:t>
            </w:r>
          </w:p>
        </w:tc>
        <w:tc>
          <w:tcPr>
            <w:tcW w:w="344" w:type="pct"/>
            <w:shd w:val="clear" w:color="auto" w:fill="auto"/>
            <w:vAlign w:val="center"/>
          </w:tcPr>
          <w:p w14:paraId="5CD9D95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总锌</w:t>
            </w:r>
          </w:p>
        </w:tc>
        <w:tc>
          <w:tcPr>
            <w:tcW w:w="344" w:type="pct"/>
            <w:shd w:val="clear" w:color="auto" w:fill="auto"/>
            <w:vAlign w:val="center"/>
          </w:tcPr>
          <w:p w14:paraId="17CA2BD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氯化物</w:t>
            </w:r>
          </w:p>
        </w:tc>
        <w:tc>
          <w:tcPr>
            <w:tcW w:w="348" w:type="pct"/>
            <w:shd w:val="clear" w:color="auto" w:fill="auto"/>
            <w:vAlign w:val="center"/>
          </w:tcPr>
          <w:p w14:paraId="37FE103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硫酸盐</w:t>
            </w:r>
          </w:p>
        </w:tc>
      </w:tr>
      <w:tr w14:paraId="2B314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753" w:type="pct"/>
            <w:shd w:val="clear" w:color="auto" w:fill="auto"/>
            <w:vAlign w:val="center"/>
          </w:tcPr>
          <w:p w14:paraId="13D57CC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含油废水</w:t>
            </w:r>
          </w:p>
        </w:tc>
        <w:tc>
          <w:tcPr>
            <w:tcW w:w="409" w:type="pct"/>
            <w:shd w:val="clear" w:color="auto" w:fill="auto"/>
            <w:vAlign w:val="center"/>
          </w:tcPr>
          <w:p w14:paraId="41E4C2C6">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5.777</w:t>
            </w:r>
          </w:p>
        </w:tc>
        <w:tc>
          <w:tcPr>
            <w:tcW w:w="289" w:type="pct"/>
            <w:shd w:val="clear" w:color="auto" w:fill="auto"/>
            <w:vAlign w:val="center"/>
          </w:tcPr>
          <w:p w14:paraId="68484731">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rPr>
              <w:t>/</w:t>
            </w:r>
          </w:p>
        </w:tc>
        <w:tc>
          <w:tcPr>
            <w:tcW w:w="387" w:type="pct"/>
            <w:shd w:val="clear" w:color="auto" w:fill="auto"/>
            <w:vAlign w:val="center"/>
          </w:tcPr>
          <w:p w14:paraId="5348E2E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0.347 </w:t>
            </w:r>
          </w:p>
        </w:tc>
        <w:tc>
          <w:tcPr>
            <w:tcW w:w="412" w:type="pct"/>
            <w:shd w:val="clear" w:color="auto" w:fill="auto"/>
            <w:vAlign w:val="center"/>
          </w:tcPr>
          <w:p w14:paraId="2C021E0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0.693 </w:t>
            </w:r>
          </w:p>
        </w:tc>
        <w:tc>
          <w:tcPr>
            <w:tcW w:w="342" w:type="pct"/>
            <w:shd w:val="clear" w:color="auto" w:fill="auto"/>
            <w:vAlign w:val="center"/>
          </w:tcPr>
          <w:p w14:paraId="5A9E38D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0.017 </w:t>
            </w:r>
          </w:p>
        </w:tc>
        <w:tc>
          <w:tcPr>
            <w:tcW w:w="342" w:type="pct"/>
            <w:shd w:val="clear" w:color="auto" w:fill="auto"/>
            <w:vAlign w:val="center"/>
          </w:tcPr>
          <w:p w14:paraId="6600B66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0.009 </w:t>
            </w:r>
          </w:p>
        </w:tc>
        <w:tc>
          <w:tcPr>
            <w:tcW w:w="342" w:type="pct"/>
            <w:shd w:val="clear" w:color="auto" w:fill="auto"/>
            <w:vAlign w:val="center"/>
          </w:tcPr>
          <w:p w14:paraId="788BC39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0" w:type="pct"/>
            <w:shd w:val="clear" w:color="auto" w:fill="auto"/>
            <w:vAlign w:val="center"/>
          </w:tcPr>
          <w:p w14:paraId="74242D3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2" w:type="pct"/>
            <w:shd w:val="clear" w:color="auto" w:fill="auto"/>
            <w:vAlign w:val="center"/>
          </w:tcPr>
          <w:p w14:paraId="49E1655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65ED358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19518B8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0.873 </w:t>
            </w:r>
          </w:p>
        </w:tc>
        <w:tc>
          <w:tcPr>
            <w:tcW w:w="348" w:type="pct"/>
            <w:shd w:val="clear" w:color="auto" w:fill="auto"/>
            <w:vAlign w:val="center"/>
          </w:tcPr>
          <w:p w14:paraId="3087A23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0.087 </w:t>
            </w:r>
          </w:p>
        </w:tc>
      </w:tr>
      <w:tr w14:paraId="174E8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753" w:type="pct"/>
            <w:shd w:val="clear" w:color="auto" w:fill="auto"/>
            <w:vAlign w:val="center"/>
          </w:tcPr>
          <w:p w14:paraId="53CFEE6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酸碱废水</w:t>
            </w:r>
          </w:p>
        </w:tc>
        <w:tc>
          <w:tcPr>
            <w:tcW w:w="409" w:type="pct"/>
            <w:shd w:val="clear" w:color="auto" w:fill="auto"/>
            <w:vAlign w:val="center"/>
          </w:tcPr>
          <w:p w14:paraId="2DBD3323">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16.759</w:t>
            </w:r>
          </w:p>
        </w:tc>
        <w:tc>
          <w:tcPr>
            <w:tcW w:w="289" w:type="pct"/>
            <w:shd w:val="clear" w:color="auto" w:fill="auto"/>
            <w:vAlign w:val="center"/>
          </w:tcPr>
          <w:p w14:paraId="7503C007">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w:t>
            </w:r>
          </w:p>
        </w:tc>
        <w:tc>
          <w:tcPr>
            <w:tcW w:w="387" w:type="pct"/>
            <w:shd w:val="clear" w:color="auto" w:fill="auto"/>
            <w:vAlign w:val="center"/>
          </w:tcPr>
          <w:p w14:paraId="69C860B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1.006 </w:t>
            </w:r>
          </w:p>
        </w:tc>
        <w:tc>
          <w:tcPr>
            <w:tcW w:w="412" w:type="pct"/>
            <w:shd w:val="clear" w:color="auto" w:fill="auto"/>
            <w:vAlign w:val="center"/>
          </w:tcPr>
          <w:p w14:paraId="12D471C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2.011 </w:t>
            </w:r>
          </w:p>
        </w:tc>
        <w:tc>
          <w:tcPr>
            <w:tcW w:w="342" w:type="pct"/>
            <w:shd w:val="clear" w:color="auto" w:fill="auto"/>
            <w:vAlign w:val="center"/>
          </w:tcPr>
          <w:p w14:paraId="52F701A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0.050 </w:t>
            </w:r>
          </w:p>
        </w:tc>
        <w:tc>
          <w:tcPr>
            <w:tcW w:w="342" w:type="pct"/>
            <w:shd w:val="clear" w:color="auto" w:fill="auto"/>
            <w:vAlign w:val="center"/>
          </w:tcPr>
          <w:p w14:paraId="269E31E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0.025 </w:t>
            </w:r>
          </w:p>
        </w:tc>
        <w:tc>
          <w:tcPr>
            <w:tcW w:w="342" w:type="pct"/>
            <w:shd w:val="clear" w:color="auto" w:fill="auto"/>
            <w:vAlign w:val="center"/>
          </w:tcPr>
          <w:p w14:paraId="7B9A90E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0.402 </w:t>
            </w:r>
          </w:p>
        </w:tc>
        <w:tc>
          <w:tcPr>
            <w:tcW w:w="340" w:type="pct"/>
            <w:shd w:val="clear" w:color="auto" w:fill="auto"/>
            <w:vAlign w:val="center"/>
          </w:tcPr>
          <w:p w14:paraId="6B229E1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2" w:type="pct"/>
            <w:shd w:val="clear" w:color="auto" w:fill="auto"/>
            <w:vAlign w:val="center"/>
          </w:tcPr>
          <w:p w14:paraId="0C5FF6B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42668DB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1478AFC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2.534 </w:t>
            </w:r>
          </w:p>
        </w:tc>
        <w:tc>
          <w:tcPr>
            <w:tcW w:w="348" w:type="pct"/>
            <w:shd w:val="clear" w:color="auto" w:fill="auto"/>
            <w:vAlign w:val="center"/>
          </w:tcPr>
          <w:p w14:paraId="5585F4E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0.251 </w:t>
            </w:r>
          </w:p>
        </w:tc>
      </w:tr>
      <w:tr w14:paraId="60CF4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53" w:type="pct"/>
            <w:shd w:val="clear" w:color="auto" w:fill="auto"/>
            <w:vAlign w:val="center"/>
          </w:tcPr>
          <w:p w14:paraId="16705367">
            <w:pPr>
              <w:pStyle w:val="49"/>
              <w:keepNext w:val="0"/>
              <w:keepLines w:val="0"/>
              <w:pageBreakBefore w:val="0"/>
              <w:kinsoku/>
              <w:wordWrap/>
              <w:overflowPunct/>
              <w:topLinePunct w:val="0"/>
              <w:autoSpaceDE/>
              <w:autoSpaceDN/>
              <w:bidi w:val="0"/>
              <w:adjustRightInd/>
              <w:snapToGrid/>
              <w:spacing w:after="0" w:line="240" w:lineRule="auto"/>
              <w:ind w:firstLine="0" w:firstLineChars="0"/>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含锌镍废水</w:t>
            </w:r>
          </w:p>
        </w:tc>
        <w:tc>
          <w:tcPr>
            <w:tcW w:w="409" w:type="pct"/>
            <w:shd w:val="clear" w:color="auto" w:fill="auto"/>
            <w:vAlign w:val="center"/>
          </w:tcPr>
          <w:p w14:paraId="0E0EB1E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3.679</w:t>
            </w:r>
          </w:p>
        </w:tc>
        <w:tc>
          <w:tcPr>
            <w:tcW w:w="289" w:type="pct"/>
            <w:shd w:val="clear" w:color="auto" w:fill="auto"/>
            <w:vAlign w:val="center"/>
          </w:tcPr>
          <w:p w14:paraId="21B5BA2A">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rPr>
              <w:t>/</w:t>
            </w:r>
          </w:p>
        </w:tc>
        <w:tc>
          <w:tcPr>
            <w:tcW w:w="387" w:type="pct"/>
            <w:shd w:val="clear" w:color="auto" w:fill="auto"/>
            <w:vAlign w:val="center"/>
          </w:tcPr>
          <w:p w14:paraId="353D165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0.110</w:t>
            </w:r>
          </w:p>
        </w:tc>
        <w:tc>
          <w:tcPr>
            <w:tcW w:w="412" w:type="pct"/>
            <w:shd w:val="clear" w:color="auto" w:fill="auto"/>
            <w:vAlign w:val="center"/>
          </w:tcPr>
          <w:p w14:paraId="0F75A95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0.166</w:t>
            </w:r>
          </w:p>
        </w:tc>
        <w:tc>
          <w:tcPr>
            <w:tcW w:w="342" w:type="pct"/>
            <w:shd w:val="clear" w:color="auto" w:fill="auto"/>
            <w:vAlign w:val="center"/>
          </w:tcPr>
          <w:p w14:paraId="7047610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0.006</w:t>
            </w:r>
          </w:p>
        </w:tc>
        <w:tc>
          <w:tcPr>
            <w:tcW w:w="342" w:type="pct"/>
            <w:shd w:val="clear" w:color="auto" w:fill="auto"/>
            <w:vAlign w:val="center"/>
          </w:tcPr>
          <w:p w14:paraId="0403B6A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0.002</w:t>
            </w:r>
          </w:p>
        </w:tc>
        <w:tc>
          <w:tcPr>
            <w:tcW w:w="342" w:type="pct"/>
            <w:shd w:val="clear" w:color="auto" w:fill="auto"/>
            <w:vAlign w:val="center"/>
          </w:tcPr>
          <w:p w14:paraId="00538A3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0" w:type="pct"/>
            <w:shd w:val="clear" w:color="auto" w:fill="auto"/>
            <w:vAlign w:val="center"/>
          </w:tcPr>
          <w:p w14:paraId="388C1F6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0.110</w:t>
            </w:r>
          </w:p>
        </w:tc>
        <w:tc>
          <w:tcPr>
            <w:tcW w:w="342" w:type="pct"/>
            <w:shd w:val="clear" w:color="auto" w:fill="auto"/>
            <w:vAlign w:val="center"/>
          </w:tcPr>
          <w:p w14:paraId="0526F1A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4" w:type="pct"/>
            <w:shd w:val="clear" w:color="auto" w:fill="auto"/>
            <w:vAlign w:val="center"/>
          </w:tcPr>
          <w:p w14:paraId="79AEE45B">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0.110</w:t>
            </w:r>
          </w:p>
        </w:tc>
        <w:tc>
          <w:tcPr>
            <w:tcW w:w="344" w:type="pct"/>
            <w:shd w:val="clear" w:color="auto" w:fill="auto"/>
            <w:vAlign w:val="center"/>
          </w:tcPr>
          <w:p w14:paraId="653FF44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0.110</w:t>
            </w:r>
          </w:p>
        </w:tc>
        <w:tc>
          <w:tcPr>
            <w:tcW w:w="348" w:type="pct"/>
            <w:shd w:val="clear" w:color="auto" w:fill="auto"/>
            <w:vAlign w:val="center"/>
          </w:tcPr>
          <w:p w14:paraId="5445822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0.441</w:t>
            </w:r>
          </w:p>
        </w:tc>
      </w:tr>
      <w:tr w14:paraId="0EFC5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53" w:type="pct"/>
            <w:shd w:val="clear" w:color="auto" w:fill="auto"/>
            <w:vAlign w:val="center"/>
          </w:tcPr>
          <w:p w14:paraId="39AC63A6">
            <w:pPr>
              <w:pStyle w:val="49"/>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含镍废水</w:t>
            </w:r>
          </w:p>
        </w:tc>
        <w:tc>
          <w:tcPr>
            <w:tcW w:w="409" w:type="pct"/>
            <w:shd w:val="clear" w:color="auto" w:fill="auto"/>
            <w:vAlign w:val="center"/>
          </w:tcPr>
          <w:p w14:paraId="206042B5">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14.370</w:t>
            </w:r>
          </w:p>
        </w:tc>
        <w:tc>
          <w:tcPr>
            <w:tcW w:w="289" w:type="pct"/>
            <w:shd w:val="clear" w:color="auto" w:fill="auto"/>
            <w:vAlign w:val="center"/>
          </w:tcPr>
          <w:p w14:paraId="44A7E0C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87" w:type="pct"/>
            <w:shd w:val="clear" w:color="auto" w:fill="auto"/>
            <w:vAlign w:val="center"/>
          </w:tcPr>
          <w:p w14:paraId="73A5391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0.431</w:t>
            </w:r>
          </w:p>
        </w:tc>
        <w:tc>
          <w:tcPr>
            <w:tcW w:w="412" w:type="pct"/>
            <w:shd w:val="clear" w:color="auto" w:fill="auto"/>
            <w:vAlign w:val="center"/>
          </w:tcPr>
          <w:p w14:paraId="0B0B4BC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0.647</w:t>
            </w:r>
          </w:p>
        </w:tc>
        <w:tc>
          <w:tcPr>
            <w:tcW w:w="342" w:type="pct"/>
            <w:shd w:val="clear" w:color="auto" w:fill="auto"/>
            <w:vAlign w:val="center"/>
          </w:tcPr>
          <w:p w14:paraId="4E43A69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0.022</w:t>
            </w:r>
          </w:p>
        </w:tc>
        <w:tc>
          <w:tcPr>
            <w:tcW w:w="342" w:type="pct"/>
            <w:shd w:val="clear" w:color="auto" w:fill="auto"/>
            <w:vAlign w:val="center"/>
          </w:tcPr>
          <w:p w14:paraId="0164D69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0.009</w:t>
            </w:r>
          </w:p>
        </w:tc>
        <w:tc>
          <w:tcPr>
            <w:tcW w:w="342" w:type="pct"/>
            <w:shd w:val="clear" w:color="auto" w:fill="auto"/>
            <w:vAlign w:val="center"/>
          </w:tcPr>
          <w:p w14:paraId="6EB9EA7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0" w:type="pct"/>
            <w:shd w:val="clear" w:color="auto" w:fill="auto"/>
            <w:vAlign w:val="center"/>
          </w:tcPr>
          <w:p w14:paraId="53CBB67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0.431</w:t>
            </w:r>
          </w:p>
        </w:tc>
        <w:tc>
          <w:tcPr>
            <w:tcW w:w="342" w:type="pct"/>
            <w:shd w:val="clear" w:color="auto" w:fill="auto"/>
            <w:vAlign w:val="center"/>
          </w:tcPr>
          <w:p w14:paraId="2A7C161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4" w:type="pct"/>
            <w:shd w:val="clear" w:color="auto" w:fill="auto"/>
            <w:vAlign w:val="center"/>
          </w:tcPr>
          <w:p w14:paraId="275AF46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4" w:type="pct"/>
            <w:shd w:val="clear" w:color="auto" w:fill="auto"/>
            <w:vAlign w:val="center"/>
          </w:tcPr>
          <w:p w14:paraId="44B4D055">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0.431</w:t>
            </w:r>
          </w:p>
        </w:tc>
        <w:tc>
          <w:tcPr>
            <w:tcW w:w="348" w:type="pct"/>
            <w:shd w:val="clear" w:color="auto" w:fill="auto"/>
            <w:vAlign w:val="center"/>
          </w:tcPr>
          <w:p w14:paraId="6C04363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1.724</w:t>
            </w:r>
          </w:p>
        </w:tc>
      </w:tr>
      <w:tr w14:paraId="5BC14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53" w:type="pct"/>
            <w:shd w:val="clear" w:color="auto" w:fill="auto"/>
            <w:vAlign w:val="center"/>
          </w:tcPr>
          <w:p w14:paraId="5895A7C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含铜废水</w:t>
            </w:r>
          </w:p>
        </w:tc>
        <w:tc>
          <w:tcPr>
            <w:tcW w:w="409" w:type="pct"/>
            <w:shd w:val="clear" w:color="auto" w:fill="auto"/>
            <w:vAlign w:val="center"/>
          </w:tcPr>
          <w:p w14:paraId="6DA5122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1.421</w:t>
            </w:r>
          </w:p>
        </w:tc>
        <w:tc>
          <w:tcPr>
            <w:tcW w:w="289" w:type="pct"/>
            <w:shd w:val="clear" w:color="auto" w:fill="auto"/>
            <w:vAlign w:val="center"/>
          </w:tcPr>
          <w:p w14:paraId="05E86E5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87" w:type="pct"/>
            <w:shd w:val="clear" w:color="auto" w:fill="auto"/>
            <w:vAlign w:val="center"/>
          </w:tcPr>
          <w:p w14:paraId="23D53FF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0.043</w:t>
            </w:r>
          </w:p>
        </w:tc>
        <w:tc>
          <w:tcPr>
            <w:tcW w:w="412" w:type="pct"/>
            <w:shd w:val="clear" w:color="auto" w:fill="auto"/>
            <w:vAlign w:val="center"/>
          </w:tcPr>
          <w:p w14:paraId="2FF5C94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0.064</w:t>
            </w:r>
          </w:p>
        </w:tc>
        <w:tc>
          <w:tcPr>
            <w:tcW w:w="342" w:type="pct"/>
            <w:shd w:val="clear" w:color="auto" w:fill="auto"/>
            <w:vAlign w:val="center"/>
          </w:tcPr>
          <w:p w14:paraId="745D1C5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0.002</w:t>
            </w:r>
          </w:p>
        </w:tc>
        <w:tc>
          <w:tcPr>
            <w:tcW w:w="342" w:type="pct"/>
            <w:shd w:val="clear" w:color="auto" w:fill="auto"/>
            <w:vAlign w:val="center"/>
          </w:tcPr>
          <w:p w14:paraId="33B32C2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0.009</w:t>
            </w:r>
          </w:p>
        </w:tc>
        <w:tc>
          <w:tcPr>
            <w:tcW w:w="342" w:type="pct"/>
            <w:shd w:val="clear" w:color="auto" w:fill="auto"/>
            <w:vAlign w:val="center"/>
          </w:tcPr>
          <w:p w14:paraId="3DA85D5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0" w:type="pct"/>
            <w:shd w:val="clear" w:color="auto" w:fill="auto"/>
            <w:vAlign w:val="center"/>
          </w:tcPr>
          <w:p w14:paraId="2D6DB7B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2" w:type="pct"/>
            <w:shd w:val="clear" w:color="auto" w:fill="auto"/>
            <w:vAlign w:val="center"/>
          </w:tcPr>
          <w:p w14:paraId="7B57F4D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0.043</w:t>
            </w:r>
          </w:p>
        </w:tc>
        <w:tc>
          <w:tcPr>
            <w:tcW w:w="344" w:type="pct"/>
            <w:shd w:val="clear" w:color="auto" w:fill="auto"/>
            <w:vAlign w:val="center"/>
          </w:tcPr>
          <w:p w14:paraId="4AC7F56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4" w:type="pct"/>
            <w:shd w:val="clear" w:color="auto" w:fill="auto"/>
            <w:vAlign w:val="center"/>
          </w:tcPr>
          <w:p w14:paraId="6C2ABB4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8" w:type="pct"/>
            <w:shd w:val="clear" w:color="auto" w:fill="auto"/>
            <w:vAlign w:val="center"/>
          </w:tcPr>
          <w:p w14:paraId="7E74431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0.128</w:t>
            </w:r>
          </w:p>
        </w:tc>
      </w:tr>
      <w:tr w14:paraId="5990EF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753" w:type="pct"/>
            <w:shd w:val="clear" w:color="auto" w:fill="auto"/>
            <w:vAlign w:val="center"/>
          </w:tcPr>
          <w:p w14:paraId="52AC28A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eastAsia="zh-CN"/>
              </w:rPr>
              <w:t>退镀</w:t>
            </w:r>
            <w:r>
              <w:rPr>
                <w:rFonts w:hint="default" w:ascii="Times New Roman" w:hAnsi="Times New Roman" w:eastAsia="宋体" w:cs="Times New Roman"/>
                <w:bCs/>
                <w:color w:val="auto"/>
                <w:sz w:val="21"/>
                <w:szCs w:val="21"/>
                <w:highlight w:val="none"/>
                <w:u w:val="single" w:color="auto"/>
              </w:rPr>
              <w:t>废水</w:t>
            </w:r>
          </w:p>
        </w:tc>
        <w:tc>
          <w:tcPr>
            <w:tcW w:w="409" w:type="pct"/>
            <w:shd w:val="clear" w:color="auto" w:fill="auto"/>
            <w:vAlign w:val="center"/>
          </w:tcPr>
          <w:p w14:paraId="2583416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0.278</w:t>
            </w:r>
          </w:p>
        </w:tc>
        <w:tc>
          <w:tcPr>
            <w:tcW w:w="289" w:type="pct"/>
            <w:shd w:val="clear" w:color="auto" w:fill="auto"/>
            <w:vAlign w:val="center"/>
          </w:tcPr>
          <w:p w14:paraId="46D03735">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87" w:type="pct"/>
            <w:shd w:val="clear" w:color="auto" w:fill="auto"/>
            <w:vAlign w:val="center"/>
          </w:tcPr>
          <w:p w14:paraId="439AAAC4">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0.008</w:t>
            </w:r>
          </w:p>
        </w:tc>
        <w:tc>
          <w:tcPr>
            <w:tcW w:w="412" w:type="pct"/>
            <w:shd w:val="clear" w:color="auto" w:fill="auto"/>
            <w:vAlign w:val="center"/>
          </w:tcPr>
          <w:p w14:paraId="2EF3C36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0.012</w:t>
            </w:r>
          </w:p>
        </w:tc>
        <w:tc>
          <w:tcPr>
            <w:tcW w:w="342" w:type="pct"/>
            <w:shd w:val="clear" w:color="auto" w:fill="auto"/>
            <w:vAlign w:val="center"/>
          </w:tcPr>
          <w:p w14:paraId="1AB69F17">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rPr>
            </w:pPr>
            <w:r>
              <w:rPr>
                <w:rFonts w:hint="default" w:ascii="Times New Roman" w:hAnsi="Times New Roman" w:eastAsia="宋体" w:cs="Times New Roman"/>
                <w:bCs/>
                <w:color w:val="auto"/>
                <w:sz w:val="21"/>
                <w:szCs w:val="21"/>
                <w:highlight w:val="none"/>
                <w:u w:val="single" w:color="auto"/>
                <w:lang w:val="en-US" w:eastAsia="zh-CN"/>
              </w:rPr>
              <w:t>0.0004</w:t>
            </w:r>
          </w:p>
        </w:tc>
        <w:tc>
          <w:tcPr>
            <w:tcW w:w="342" w:type="pct"/>
            <w:shd w:val="clear" w:color="auto" w:fill="auto"/>
            <w:vAlign w:val="center"/>
          </w:tcPr>
          <w:p w14:paraId="06788834">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rPr>
            </w:pPr>
            <w:r>
              <w:rPr>
                <w:rFonts w:hint="default" w:ascii="Times New Roman" w:hAnsi="Times New Roman" w:eastAsia="宋体" w:cs="Times New Roman"/>
                <w:bCs/>
                <w:color w:val="auto"/>
                <w:sz w:val="21"/>
                <w:szCs w:val="21"/>
                <w:highlight w:val="none"/>
                <w:u w:val="single" w:color="auto"/>
                <w:lang w:val="en-US" w:eastAsia="zh-CN"/>
              </w:rPr>
              <w:t>0.0002</w:t>
            </w:r>
          </w:p>
        </w:tc>
        <w:tc>
          <w:tcPr>
            <w:tcW w:w="342" w:type="pct"/>
            <w:shd w:val="clear" w:color="auto" w:fill="auto"/>
            <w:vAlign w:val="center"/>
          </w:tcPr>
          <w:p w14:paraId="231F6A6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0" w:type="pct"/>
            <w:shd w:val="clear" w:color="auto" w:fill="auto"/>
            <w:vAlign w:val="center"/>
          </w:tcPr>
          <w:p w14:paraId="5360A404">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0.008</w:t>
            </w:r>
          </w:p>
        </w:tc>
        <w:tc>
          <w:tcPr>
            <w:tcW w:w="342" w:type="pct"/>
            <w:shd w:val="clear" w:color="auto" w:fill="auto"/>
            <w:vAlign w:val="center"/>
          </w:tcPr>
          <w:p w14:paraId="77EF524D">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0.008</w:t>
            </w:r>
          </w:p>
        </w:tc>
        <w:tc>
          <w:tcPr>
            <w:tcW w:w="344" w:type="pct"/>
            <w:shd w:val="clear" w:color="auto" w:fill="auto"/>
            <w:vAlign w:val="center"/>
          </w:tcPr>
          <w:p w14:paraId="19C6734A">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w:t>
            </w:r>
          </w:p>
        </w:tc>
        <w:tc>
          <w:tcPr>
            <w:tcW w:w="344" w:type="pct"/>
            <w:shd w:val="clear" w:color="auto" w:fill="auto"/>
            <w:vAlign w:val="center"/>
          </w:tcPr>
          <w:p w14:paraId="50784946">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0.016</w:t>
            </w:r>
          </w:p>
        </w:tc>
        <w:tc>
          <w:tcPr>
            <w:tcW w:w="348" w:type="pct"/>
            <w:shd w:val="clear" w:color="auto" w:fill="auto"/>
            <w:vAlign w:val="center"/>
          </w:tcPr>
          <w:p w14:paraId="61D899E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0.004</w:t>
            </w:r>
          </w:p>
        </w:tc>
      </w:tr>
      <w:tr w14:paraId="32D0D7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53" w:type="pct"/>
            <w:shd w:val="clear" w:color="auto" w:fill="auto"/>
            <w:vAlign w:val="center"/>
          </w:tcPr>
          <w:p w14:paraId="4354BDC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废气处理废水</w:t>
            </w:r>
          </w:p>
        </w:tc>
        <w:tc>
          <w:tcPr>
            <w:tcW w:w="409" w:type="pct"/>
            <w:shd w:val="clear" w:color="auto" w:fill="auto"/>
            <w:vAlign w:val="center"/>
          </w:tcPr>
          <w:p w14:paraId="627BBAD2">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1.6</w:t>
            </w:r>
          </w:p>
        </w:tc>
        <w:tc>
          <w:tcPr>
            <w:tcW w:w="289" w:type="pct"/>
            <w:shd w:val="clear" w:color="auto" w:fill="auto"/>
            <w:vAlign w:val="center"/>
          </w:tcPr>
          <w:p w14:paraId="058B646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87" w:type="pct"/>
            <w:shd w:val="clear" w:color="auto" w:fill="auto"/>
            <w:vAlign w:val="center"/>
          </w:tcPr>
          <w:p w14:paraId="5225CB0F">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0.048 </w:t>
            </w:r>
          </w:p>
        </w:tc>
        <w:tc>
          <w:tcPr>
            <w:tcW w:w="412" w:type="pct"/>
            <w:shd w:val="clear" w:color="auto" w:fill="auto"/>
            <w:vAlign w:val="center"/>
          </w:tcPr>
          <w:p w14:paraId="5D93935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0.048 </w:t>
            </w:r>
          </w:p>
        </w:tc>
        <w:tc>
          <w:tcPr>
            <w:tcW w:w="342" w:type="pct"/>
            <w:shd w:val="clear" w:color="auto" w:fill="auto"/>
            <w:vAlign w:val="center"/>
          </w:tcPr>
          <w:p w14:paraId="4D51FE2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0.002 </w:t>
            </w:r>
          </w:p>
        </w:tc>
        <w:tc>
          <w:tcPr>
            <w:tcW w:w="342" w:type="pct"/>
            <w:shd w:val="clear" w:color="auto" w:fill="auto"/>
            <w:vAlign w:val="center"/>
          </w:tcPr>
          <w:p w14:paraId="24DB5B1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2" w:type="pct"/>
            <w:shd w:val="clear" w:color="auto" w:fill="auto"/>
            <w:vAlign w:val="center"/>
          </w:tcPr>
          <w:p w14:paraId="3E426C7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0" w:type="pct"/>
            <w:shd w:val="clear" w:color="auto" w:fill="auto"/>
            <w:vAlign w:val="center"/>
          </w:tcPr>
          <w:p w14:paraId="1F21DF59">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2" w:type="pct"/>
            <w:shd w:val="clear" w:color="auto" w:fill="auto"/>
            <w:vAlign w:val="center"/>
          </w:tcPr>
          <w:p w14:paraId="4252AEA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3B35EFB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636B4581">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0.480 </w:t>
            </w:r>
          </w:p>
        </w:tc>
        <w:tc>
          <w:tcPr>
            <w:tcW w:w="348" w:type="pct"/>
            <w:shd w:val="clear" w:color="auto" w:fill="auto"/>
            <w:vAlign w:val="center"/>
          </w:tcPr>
          <w:p w14:paraId="5119251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0.096 </w:t>
            </w:r>
          </w:p>
        </w:tc>
      </w:tr>
      <w:tr w14:paraId="3CC18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2097" w:type="dxa"/>
            <w:shd w:val="clear" w:color="auto" w:fill="auto"/>
            <w:vAlign w:val="center"/>
          </w:tcPr>
          <w:p w14:paraId="678FF3D7">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eastAsia" w:ascii="Times New Roman" w:hAnsi="Times New Roman" w:eastAsia="宋体" w:cs="Times New Roman"/>
                <w:bCs/>
                <w:color w:val="auto"/>
                <w:sz w:val="21"/>
                <w:szCs w:val="21"/>
                <w:highlight w:val="none"/>
                <w:u w:val="single" w:color="auto"/>
                <w:lang w:val="en-US" w:eastAsia="zh-CN"/>
              </w:rPr>
              <w:t>电镀车间地面清洗废水</w:t>
            </w:r>
          </w:p>
        </w:tc>
        <w:tc>
          <w:tcPr>
            <w:tcW w:w="409" w:type="pct"/>
            <w:shd w:val="clear" w:color="auto" w:fill="auto"/>
            <w:vAlign w:val="center"/>
          </w:tcPr>
          <w:p w14:paraId="699C039B">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2.4</w:t>
            </w:r>
          </w:p>
        </w:tc>
        <w:tc>
          <w:tcPr>
            <w:tcW w:w="289" w:type="pct"/>
            <w:shd w:val="clear" w:color="auto" w:fill="auto"/>
            <w:vAlign w:val="center"/>
          </w:tcPr>
          <w:p w14:paraId="78804D3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87" w:type="pct"/>
            <w:shd w:val="clear" w:color="auto" w:fill="auto"/>
            <w:vAlign w:val="center"/>
          </w:tcPr>
          <w:p w14:paraId="0A20861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0.216 </w:t>
            </w:r>
          </w:p>
        </w:tc>
        <w:tc>
          <w:tcPr>
            <w:tcW w:w="412" w:type="pct"/>
            <w:shd w:val="clear" w:color="auto" w:fill="auto"/>
            <w:vAlign w:val="center"/>
          </w:tcPr>
          <w:p w14:paraId="037CDA2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0.036 </w:t>
            </w:r>
          </w:p>
        </w:tc>
        <w:tc>
          <w:tcPr>
            <w:tcW w:w="342" w:type="pct"/>
            <w:shd w:val="clear" w:color="auto" w:fill="auto"/>
            <w:vAlign w:val="center"/>
          </w:tcPr>
          <w:p w14:paraId="50BA484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0.004 </w:t>
            </w:r>
          </w:p>
        </w:tc>
        <w:tc>
          <w:tcPr>
            <w:tcW w:w="342" w:type="pct"/>
            <w:shd w:val="clear" w:color="auto" w:fill="auto"/>
            <w:vAlign w:val="center"/>
          </w:tcPr>
          <w:p w14:paraId="0A16E21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0.001 </w:t>
            </w:r>
          </w:p>
        </w:tc>
        <w:tc>
          <w:tcPr>
            <w:tcW w:w="342" w:type="pct"/>
            <w:shd w:val="clear" w:color="auto" w:fill="auto"/>
            <w:vAlign w:val="center"/>
          </w:tcPr>
          <w:p w14:paraId="4E8FB90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0" w:type="pct"/>
            <w:shd w:val="clear" w:color="auto" w:fill="auto"/>
            <w:vAlign w:val="center"/>
          </w:tcPr>
          <w:p w14:paraId="74E396CC">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0.001 </w:t>
            </w:r>
          </w:p>
        </w:tc>
        <w:tc>
          <w:tcPr>
            <w:tcW w:w="342" w:type="pct"/>
            <w:shd w:val="clear" w:color="auto" w:fill="auto"/>
            <w:vAlign w:val="center"/>
          </w:tcPr>
          <w:p w14:paraId="7421FB1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0.001 </w:t>
            </w:r>
          </w:p>
        </w:tc>
        <w:tc>
          <w:tcPr>
            <w:tcW w:w="344" w:type="pct"/>
            <w:shd w:val="clear" w:color="auto" w:fill="auto"/>
            <w:vAlign w:val="center"/>
          </w:tcPr>
          <w:p w14:paraId="6ECB4C5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0.001 </w:t>
            </w:r>
          </w:p>
        </w:tc>
        <w:tc>
          <w:tcPr>
            <w:tcW w:w="344" w:type="pct"/>
            <w:shd w:val="clear" w:color="auto" w:fill="auto"/>
            <w:vAlign w:val="center"/>
          </w:tcPr>
          <w:p w14:paraId="188A269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 xml:space="preserve">0.036 </w:t>
            </w:r>
          </w:p>
        </w:tc>
        <w:tc>
          <w:tcPr>
            <w:tcW w:w="348" w:type="pct"/>
            <w:shd w:val="clear" w:color="auto" w:fill="auto"/>
            <w:vAlign w:val="center"/>
          </w:tcPr>
          <w:p w14:paraId="552A6D1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0.036 </w:t>
            </w:r>
          </w:p>
        </w:tc>
      </w:tr>
      <w:tr w14:paraId="09F77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2097" w:type="dxa"/>
            <w:shd w:val="clear" w:color="auto" w:fill="auto"/>
            <w:vAlign w:val="center"/>
          </w:tcPr>
          <w:p w14:paraId="6A563B91">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eastAsia" w:ascii="Times New Roman" w:hAnsi="Times New Roman" w:eastAsia="宋体" w:cs="Times New Roman"/>
                <w:bCs/>
                <w:color w:val="auto"/>
                <w:sz w:val="21"/>
                <w:szCs w:val="21"/>
                <w:highlight w:val="none"/>
                <w:u w:val="single" w:color="auto"/>
                <w:lang w:val="en-US" w:eastAsia="zh-CN"/>
              </w:rPr>
              <w:t>机加工车间卫生废水、容器清洗废水、直接冷却废水</w:t>
            </w:r>
          </w:p>
        </w:tc>
        <w:tc>
          <w:tcPr>
            <w:tcW w:w="409" w:type="pct"/>
            <w:shd w:val="clear" w:color="auto" w:fill="auto"/>
            <w:vAlign w:val="center"/>
          </w:tcPr>
          <w:p w14:paraId="602B4EDE">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7.2</w:t>
            </w:r>
          </w:p>
        </w:tc>
        <w:tc>
          <w:tcPr>
            <w:tcW w:w="289" w:type="pct"/>
            <w:shd w:val="clear" w:color="auto" w:fill="auto"/>
            <w:vAlign w:val="center"/>
          </w:tcPr>
          <w:p w14:paraId="3E2DAF7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87" w:type="pct"/>
            <w:shd w:val="clear" w:color="auto" w:fill="auto"/>
            <w:vAlign w:val="center"/>
          </w:tcPr>
          <w:p w14:paraId="307324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i w:val="0"/>
                <w:iCs w:val="0"/>
                <w:color w:val="auto"/>
                <w:kern w:val="0"/>
                <w:sz w:val="21"/>
                <w:szCs w:val="21"/>
                <w:u w:val="single" w:color="auto"/>
                <w:lang w:val="en-US" w:eastAsia="zh-CN" w:bidi="ar"/>
              </w:rPr>
              <w:t>1.728</w:t>
            </w:r>
          </w:p>
        </w:tc>
        <w:tc>
          <w:tcPr>
            <w:tcW w:w="412" w:type="pct"/>
            <w:shd w:val="clear" w:color="auto" w:fill="auto"/>
            <w:vAlign w:val="center"/>
          </w:tcPr>
          <w:p w14:paraId="78C3DC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eastAsia" w:ascii="Times New Roman" w:hAnsi="Times New Roman" w:eastAsia="宋体" w:cs="Times New Roman"/>
                <w:i w:val="0"/>
                <w:iCs w:val="0"/>
                <w:color w:val="auto"/>
                <w:kern w:val="0"/>
                <w:sz w:val="21"/>
                <w:szCs w:val="21"/>
                <w:u w:val="single" w:color="auto"/>
                <w:lang w:val="en-US" w:eastAsia="zh-CN" w:bidi="ar"/>
              </w:rPr>
              <w:t>0.173</w:t>
            </w:r>
          </w:p>
        </w:tc>
        <w:tc>
          <w:tcPr>
            <w:tcW w:w="342" w:type="pct"/>
            <w:shd w:val="clear" w:color="auto" w:fill="auto"/>
            <w:vAlign w:val="center"/>
          </w:tcPr>
          <w:p w14:paraId="220FBA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2" w:type="pct"/>
            <w:shd w:val="clear" w:color="auto" w:fill="auto"/>
            <w:vAlign w:val="center"/>
          </w:tcPr>
          <w:p w14:paraId="2FAFA2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2" w:type="pct"/>
            <w:shd w:val="clear" w:color="auto" w:fill="auto"/>
            <w:vAlign w:val="center"/>
          </w:tcPr>
          <w:p w14:paraId="0F9CF4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0" w:type="pct"/>
            <w:shd w:val="clear" w:color="auto" w:fill="auto"/>
            <w:vAlign w:val="center"/>
          </w:tcPr>
          <w:p w14:paraId="2C864E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2" w:type="pct"/>
            <w:shd w:val="clear" w:color="auto" w:fill="auto"/>
            <w:vAlign w:val="center"/>
          </w:tcPr>
          <w:p w14:paraId="3DCFCC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20DC32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15F4D1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8" w:type="pct"/>
            <w:shd w:val="clear" w:color="auto" w:fill="auto"/>
            <w:vAlign w:val="center"/>
          </w:tcPr>
          <w:p w14:paraId="0FFEE5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w:t>
            </w:r>
          </w:p>
        </w:tc>
      </w:tr>
      <w:tr w14:paraId="74035D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753" w:type="pct"/>
            <w:shd w:val="clear" w:color="auto" w:fill="auto"/>
            <w:vAlign w:val="center"/>
          </w:tcPr>
          <w:p w14:paraId="61E25F78">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rPr>
              <w:t>纯水站</w:t>
            </w:r>
            <w:r>
              <w:rPr>
                <w:rFonts w:hint="default" w:ascii="Times New Roman" w:hAnsi="Times New Roman" w:eastAsia="宋体" w:cs="Times New Roman"/>
                <w:bCs/>
                <w:color w:val="auto"/>
                <w:sz w:val="21"/>
                <w:szCs w:val="21"/>
                <w:highlight w:val="none"/>
                <w:u w:val="single" w:color="auto"/>
                <w:lang w:val="en-US" w:eastAsia="zh-CN"/>
              </w:rPr>
              <w:t>浓水</w:t>
            </w:r>
          </w:p>
        </w:tc>
        <w:tc>
          <w:tcPr>
            <w:tcW w:w="409" w:type="pct"/>
            <w:shd w:val="clear" w:color="auto" w:fill="auto"/>
            <w:vAlign w:val="center"/>
          </w:tcPr>
          <w:p w14:paraId="6BB63981">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9.673</w:t>
            </w:r>
          </w:p>
        </w:tc>
        <w:tc>
          <w:tcPr>
            <w:tcW w:w="289" w:type="pct"/>
            <w:shd w:val="clear" w:color="auto" w:fill="auto"/>
            <w:vAlign w:val="center"/>
          </w:tcPr>
          <w:p w14:paraId="1752A63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387" w:type="pct"/>
            <w:shd w:val="clear" w:color="auto" w:fill="auto"/>
            <w:vAlign w:val="center"/>
          </w:tcPr>
          <w:p w14:paraId="430BB9A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0.145 </w:t>
            </w:r>
          </w:p>
        </w:tc>
        <w:tc>
          <w:tcPr>
            <w:tcW w:w="412" w:type="pct"/>
            <w:shd w:val="clear" w:color="auto" w:fill="auto"/>
            <w:vAlign w:val="center"/>
          </w:tcPr>
          <w:p w14:paraId="653827A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0.290 </w:t>
            </w:r>
          </w:p>
        </w:tc>
        <w:tc>
          <w:tcPr>
            <w:tcW w:w="342" w:type="pct"/>
            <w:shd w:val="clear" w:color="auto" w:fill="auto"/>
            <w:vAlign w:val="center"/>
          </w:tcPr>
          <w:p w14:paraId="1FD3D4A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0.015 </w:t>
            </w:r>
          </w:p>
        </w:tc>
        <w:tc>
          <w:tcPr>
            <w:tcW w:w="342" w:type="pct"/>
            <w:shd w:val="clear" w:color="auto" w:fill="auto"/>
            <w:vAlign w:val="center"/>
          </w:tcPr>
          <w:p w14:paraId="10A6D418">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2" w:type="pct"/>
            <w:shd w:val="clear" w:color="auto" w:fill="auto"/>
            <w:vAlign w:val="center"/>
          </w:tcPr>
          <w:p w14:paraId="0A3DF394">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0" w:type="pct"/>
            <w:shd w:val="clear" w:color="auto" w:fill="auto"/>
            <w:vAlign w:val="center"/>
          </w:tcPr>
          <w:p w14:paraId="3D371D5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2" w:type="pct"/>
            <w:shd w:val="clear" w:color="auto" w:fill="auto"/>
            <w:vAlign w:val="center"/>
          </w:tcPr>
          <w:p w14:paraId="73C6AE6E">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79E5FDD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4" w:type="pct"/>
            <w:shd w:val="clear" w:color="auto" w:fill="auto"/>
            <w:vAlign w:val="center"/>
          </w:tcPr>
          <w:p w14:paraId="58FCE23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348" w:type="pct"/>
            <w:shd w:val="clear" w:color="auto" w:fill="auto"/>
            <w:vAlign w:val="center"/>
          </w:tcPr>
          <w:p w14:paraId="19FDCC5D">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 xml:space="preserve">0.580 </w:t>
            </w:r>
          </w:p>
        </w:tc>
      </w:tr>
      <w:tr w14:paraId="1081F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753" w:type="pct"/>
            <w:shd w:val="clear" w:color="auto" w:fill="auto"/>
            <w:vAlign w:val="center"/>
          </w:tcPr>
          <w:p w14:paraId="1FA444B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生活污水</w:t>
            </w:r>
          </w:p>
        </w:tc>
        <w:tc>
          <w:tcPr>
            <w:tcW w:w="409" w:type="pct"/>
            <w:shd w:val="clear" w:color="auto" w:fill="auto"/>
            <w:vAlign w:val="center"/>
          </w:tcPr>
          <w:p w14:paraId="0389FD9B">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40</w:t>
            </w:r>
          </w:p>
        </w:tc>
        <w:tc>
          <w:tcPr>
            <w:tcW w:w="289" w:type="pct"/>
            <w:shd w:val="clear" w:color="auto" w:fill="auto"/>
            <w:vAlign w:val="center"/>
          </w:tcPr>
          <w:p w14:paraId="6E60D5D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w:t>
            </w:r>
          </w:p>
        </w:tc>
        <w:tc>
          <w:tcPr>
            <w:tcW w:w="1078" w:type="dxa"/>
            <w:shd w:val="clear" w:color="auto" w:fill="auto"/>
            <w:vAlign w:val="center"/>
          </w:tcPr>
          <w:p w14:paraId="2D6A182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000000"/>
                <w:kern w:val="0"/>
                <w:sz w:val="21"/>
                <w:szCs w:val="21"/>
                <w:u w:val="single"/>
                <w:lang w:val="en-US" w:eastAsia="zh-CN" w:bidi="ar"/>
              </w:rPr>
              <w:t>1.8</w:t>
            </w:r>
          </w:p>
        </w:tc>
        <w:tc>
          <w:tcPr>
            <w:tcW w:w="1147" w:type="dxa"/>
            <w:shd w:val="clear" w:color="auto" w:fill="auto"/>
            <w:vAlign w:val="center"/>
          </w:tcPr>
          <w:p w14:paraId="462722AB">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000000"/>
                <w:kern w:val="0"/>
                <w:sz w:val="21"/>
                <w:szCs w:val="21"/>
                <w:u w:val="single"/>
                <w:lang w:val="en-US" w:eastAsia="zh-CN" w:bidi="ar"/>
              </w:rPr>
              <w:t>3</w:t>
            </w:r>
          </w:p>
        </w:tc>
        <w:tc>
          <w:tcPr>
            <w:tcW w:w="954" w:type="dxa"/>
            <w:shd w:val="clear" w:color="auto" w:fill="auto"/>
            <w:vAlign w:val="center"/>
          </w:tcPr>
          <w:p w14:paraId="6C9757E2">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000000"/>
                <w:kern w:val="0"/>
                <w:sz w:val="21"/>
                <w:szCs w:val="21"/>
                <w:u w:val="single"/>
                <w:lang w:val="en-US" w:eastAsia="zh-CN" w:bidi="ar"/>
              </w:rPr>
              <w:t>0.36</w:t>
            </w:r>
          </w:p>
        </w:tc>
        <w:tc>
          <w:tcPr>
            <w:tcW w:w="954" w:type="dxa"/>
            <w:shd w:val="clear" w:color="auto" w:fill="auto"/>
            <w:vAlign w:val="center"/>
          </w:tcPr>
          <w:p w14:paraId="5D5CE867">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i w:val="0"/>
                <w:iCs w:val="0"/>
                <w:color w:val="000000"/>
                <w:kern w:val="0"/>
                <w:sz w:val="21"/>
                <w:szCs w:val="21"/>
                <w:u w:val="single"/>
                <w:lang w:val="en-US" w:eastAsia="zh-CN" w:bidi="ar"/>
              </w:rPr>
              <w:t>0.06</w:t>
            </w:r>
          </w:p>
        </w:tc>
        <w:tc>
          <w:tcPr>
            <w:tcW w:w="342" w:type="pct"/>
            <w:shd w:val="clear" w:color="auto" w:fill="auto"/>
            <w:vAlign w:val="center"/>
          </w:tcPr>
          <w:p w14:paraId="2743A0A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0" w:type="pct"/>
            <w:shd w:val="clear" w:color="auto" w:fill="auto"/>
            <w:vAlign w:val="center"/>
          </w:tcPr>
          <w:p w14:paraId="424870BA">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2" w:type="pct"/>
            <w:shd w:val="clear" w:color="auto" w:fill="auto"/>
            <w:vAlign w:val="center"/>
          </w:tcPr>
          <w:p w14:paraId="28E02D6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4" w:type="pct"/>
            <w:shd w:val="clear" w:color="auto" w:fill="auto"/>
            <w:vAlign w:val="center"/>
          </w:tcPr>
          <w:p w14:paraId="363C86A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4" w:type="pct"/>
            <w:shd w:val="clear" w:color="auto" w:fill="auto"/>
            <w:vAlign w:val="center"/>
          </w:tcPr>
          <w:p w14:paraId="6EACD1A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c>
          <w:tcPr>
            <w:tcW w:w="348" w:type="pct"/>
            <w:shd w:val="clear" w:color="auto" w:fill="auto"/>
            <w:vAlign w:val="center"/>
          </w:tcPr>
          <w:p w14:paraId="2B2CFAE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w:t>
            </w:r>
          </w:p>
        </w:tc>
      </w:tr>
    </w:tbl>
    <w:p w14:paraId="282C61B6">
      <w:pPr>
        <w:snapToGrid w:val="0"/>
        <w:spacing w:line="240" w:lineRule="atLeast"/>
        <w:ind w:firstLine="560" w:firstLineChars="200"/>
        <w:jc w:val="center"/>
        <w:rPr>
          <w:rFonts w:hint="default" w:ascii="Times New Roman" w:hAnsi="Times New Roman" w:cs="Times New Roman"/>
          <w:b/>
          <w:color w:val="auto"/>
          <w:highlight w:val="none"/>
          <w:u w:val="none" w:color="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AndChars" w:linePitch="312" w:charSpace="0"/>
        </w:sectPr>
      </w:pPr>
    </w:p>
    <w:p w14:paraId="64D46971">
      <w:pPr>
        <w:pStyle w:val="10"/>
        <w:spacing w:after="0" w:line="240" w:lineRule="exact"/>
        <w:ind w:firstLine="422" w:firstLineChars="200"/>
        <w:jc w:val="center"/>
        <w:rPr>
          <w:rFonts w:hint="default" w:ascii="Times New Roman" w:hAnsi="Times New Roman" w:cs="Times New Roman"/>
          <w:b/>
          <w:color w:val="auto"/>
          <w:szCs w:val="21"/>
          <w:highlight w:val="none"/>
          <w:u w:val="none" w:color="auto"/>
        </w:rPr>
      </w:pPr>
      <w:r>
        <w:rPr>
          <w:rFonts w:hint="default" w:ascii="Times New Roman" w:hAnsi="Times New Roman" w:eastAsia="宋体" w:cs="Times New Roman"/>
          <w:b/>
          <w:color w:val="auto"/>
          <w:kern w:val="2"/>
          <w:sz w:val="21"/>
          <w:szCs w:val="18"/>
          <w:highlight w:val="none"/>
          <w:u w:val="none" w:color="auto"/>
          <w:lang w:val="en-US" w:eastAsia="zh-CN" w:bidi="ar-SA"/>
        </w:rPr>
        <w:t>表4.4-11  本项目废水排放情况一览表</w:t>
      </w:r>
    </w:p>
    <w:tbl>
      <w:tblPr>
        <w:tblStyle w:val="22"/>
        <w:tblW w:w="49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259"/>
        <w:gridCol w:w="1416"/>
        <w:gridCol w:w="1284"/>
        <w:gridCol w:w="1587"/>
        <w:gridCol w:w="1342"/>
        <w:gridCol w:w="1322"/>
        <w:gridCol w:w="1322"/>
        <w:gridCol w:w="1416"/>
        <w:gridCol w:w="23"/>
        <w:gridCol w:w="1761"/>
      </w:tblGrid>
      <w:tr w14:paraId="0113A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vMerge w:val="restart"/>
            <w:noWrap w:val="0"/>
            <w:vAlign w:val="center"/>
          </w:tcPr>
          <w:p w14:paraId="36F20B6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废水类型</w:t>
            </w:r>
          </w:p>
        </w:tc>
        <w:tc>
          <w:tcPr>
            <w:tcW w:w="508" w:type="pct"/>
            <w:vMerge w:val="restart"/>
            <w:noWrap w:val="0"/>
            <w:vAlign w:val="center"/>
          </w:tcPr>
          <w:p w14:paraId="1748C90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废水产生量（m</w:t>
            </w:r>
            <w:r>
              <w:rPr>
                <w:rFonts w:hint="default" w:ascii="Times New Roman" w:hAnsi="Times New Roman" w:eastAsia="宋体" w:cs="Times New Roman"/>
                <w:bCs/>
                <w:color w:val="auto"/>
                <w:sz w:val="21"/>
                <w:szCs w:val="21"/>
                <w:highlight w:val="none"/>
                <w:u w:val="none" w:color="auto"/>
                <w:vertAlign w:val="superscript"/>
              </w:rPr>
              <w:t>3</w:t>
            </w:r>
            <w:r>
              <w:rPr>
                <w:rFonts w:hint="default" w:ascii="Times New Roman" w:hAnsi="Times New Roman" w:eastAsia="宋体" w:cs="Times New Roman"/>
                <w:bCs/>
                <w:color w:val="auto"/>
                <w:sz w:val="21"/>
                <w:szCs w:val="21"/>
                <w:highlight w:val="none"/>
                <w:u w:val="none" w:color="auto"/>
              </w:rPr>
              <w:t>/d）</w:t>
            </w:r>
          </w:p>
        </w:tc>
        <w:tc>
          <w:tcPr>
            <w:tcW w:w="460" w:type="pct"/>
            <w:vMerge w:val="restart"/>
            <w:noWrap w:val="0"/>
            <w:vAlign w:val="center"/>
          </w:tcPr>
          <w:p w14:paraId="01534C0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废水排放量（m</w:t>
            </w:r>
            <w:r>
              <w:rPr>
                <w:rFonts w:hint="default" w:ascii="Times New Roman" w:hAnsi="Times New Roman" w:eastAsia="宋体" w:cs="Times New Roman"/>
                <w:bCs/>
                <w:color w:val="auto"/>
                <w:sz w:val="21"/>
                <w:szCs w:val="21"/>
                <w:highlight w:val="none"/>
                <w:u w:val="none" w:color="auto"/>
                <w:vertAlign w:val="superscript"/>
              </w:rPr>
              <w:t>3</w:t>
            </w:r>
            <w:r>
              <w:rPr>
                <w:rFonts w:hint="default" w:ascii="Times New Roman" w:hAnsi="Times New Roman" w:eastAsia="宋体" w:cs="Times New Roman"/>
                <w:bCs/>
                <w:color w:val="auto"/>
                <w:sz w:val="21"/>
                <w:szCs w:val="21"/>
                <w:highlight w:val="none"/>
                <w:u w:val="none" w:color="auto"/>
              </w:rPr>
              <w:t>/d）</w:t>
            </w:r>
          </w:p>
        </w:tc>
        <w:tc>
          <w:tcPr>
            <w:tcW w:w="569" w:type="pct"/>
            <w:vMerge w:val="restart"/>
            <w:noWrap w:val="0"/>
            <w:vAlign w:val="center"/>
          </w:tcPr>
          <w:p w14:paraId="59BC770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主要污染因子</w:t>
            </w:r>
          </w:p>
        </w:tc>
        <w:tc>
          <w:tcPr>
            <w:tcW w:w="481" w:type="pct"/>
            <w:vMerge w:val="restart"/>
            <w:noWrap w:val="0"/>
            <w:vAlign w:val="center"/>
          </w:tcPr>
          <w:p w14:paraId="27C9DAC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排放浓度</w:t>
            </w:r>
          </w:p>
          <w:p w14:paraId="50D71AF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（mg/L）</w:t>
            </w:r>
          </w:p>
        </w:tc>
        <w:tc>
          <w:tcPr>
            <w:tcW w:w="948" w:type="pct"/>
            <w:gridSpan w:val="2"/>
            <w:noWrap w:val="0"/>
            <w:vAlign w:val="center"/>
          </w:tcPr>
          <w:p w14:paraId="1E6FAC8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排放量</w:t>
            </w:r>
          </w:p>
          <w:p w14:paraId="28E302D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（t/a）</w:t>
            </w:r>
          </w:p>
        </w:tc>
        <w:tc>
          <w:tcPr>
            <w:tcW w:w="1148" w:type="pct"/>
            <w:gridSpan w:val="3"/>
            <w:noWrap w:val="0"/>
            <w:vAlign w:val="center"/>
          </w:tcPr>
          <w:p w14:paraId="56C616A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排放标准值（mg/L）</w:t>
            </w:r>
          </w:p>
        </w:tc>
      </w:tr>
      <w:tr w14:paraId="112EB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vMerge w:val="continue"/>
            <w:noWrap w:val="0"/>
            <w:vAlign w:val="center"/>
          </w:tcPr>
          <w:p w14:paraId="3AD7959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72AF0B5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12ABCDB9">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vMerge w:val="continue"/>
            <w:noWrap w:val="0"/>
            <w:vAlign w:val="center"/>
          </w:tcPr>
          <w:p w14:paraId="6F2BFFB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81" w:type="pct"/>
            <w:vMerge w:val="continue"/>
            <w:noWrap w:val="0"/>
            <w:vAlign w:val="center"/>
          </w:tcPr>
          <w:p w14:paraId="7B809E8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74" w:type="pct"/>
            <w:noWrap w:val="0"/>
            <w:vAlign w:val="center"/>
          </w:tcPr>
          <w:p w14:paraId="7E3AB1F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厂区排口</w:t>
            </w:r>
          </w:p>
        </w:tc>
        <w:tc>
          <w:tcPr>
            <w:tcW w:w="474" w:type="pct"/>
            <w:noWrap w:val="0"/>
            <w:vAlign w:val="center"/>
          </w:tcPr>
          <w:p w14:paraId="24364AA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eastAsia="zh-CN"/>
              </w:rPr>
              <w:t>污水处理厂</w:t>
            </w:r>
            <w:r>
              <w:rPr>
                <w:rFonts w:hint="default" w:ascii="Times New Roman" w:hAnsi="Times New Roman" w:eastAsia="宋体" w:cs="Times New Roman"/>
                <w:bCs/>
                <w:color w:val="auto"/>
                <w:sz w:val="21"/>
                <w:szCs w:val="21"/>
                <w:highlight w:val="none"/>
                <w:u w:val="none" w:color="auto"/>
              </w:rPr>
              <w:t>排口</w:t>
            </w:r>
          </w:p>
        </w:tc>
        <w:tc>
          <w:tcPr>
            <w:tcW w:w="508" w:type="pct"/>
            <w:noWrap w:val="0"/>
            <w:vAlign w:val="center"/>
          </w:tcPr>
          <w:p w14:paraId="598EE0E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厂区排口</w:t>
            </w:r>
          </w:p>
        </w:tc>
        <w:tc>
          <w:tcPr>
            <w:tcW w:w="640" w:type="pct"/>
            <w:gridSpan w:val="2"/>
            <w:noWrap w:val="0"/>
            <w:vAlign w:val="center"/>
          </w:tcPr>
          <w:p w14:paraId="4435EED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eastAsia="zh-CN"/>
              </w:rPr>
              <w:t>污水处理厂</w:t>
            </w:r>
            <w:r>
              <w:rPr>
                <w:rFonts w:hint="default" w:ascii="Times New Roman" w:hAnsi="Times New Roman" w:eastAsia="宋体" w:cs="Times New Roman"/>
                <w:bCs/>
                <w:color w:val="auto"/>
                <w:sz w:val="21"/>
                <w:szCs w:val="21"/>
                <w:highlight w:val="none"/>
                <w:u w:val="none" w:color="auto"/>
              </w:rPr>
              <w:t>排口</w:t>
            </w:r>
          </w:p>
        </w:tc>
      </w:tr>
      <w:tr w14:paraId="24682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restart"/>
            <w:noWrap w:val="0"/>
            <w:vAlign w:val="center"/>
          </w:tcPr>
          <w:p w14:paraId="19562E71">
            <w:pPr>
              <w:snapToGrid w:val="0"/>
              <w:spacing w:line="240" w:lineRule="auto"/>
              <w:jc w:val="center"/>
              <w:rPr>
                <w:rFonts w:hint="default" w:ascii="Times New Roman" w:hAnsi="Times New Roman" w:eastAsia="宋体" w:cs="Times New Roman"/>
                <w:bCs/>
                <w:color w:val="auto"/>
                <w:sz w:val="21"/>
                <w:szCs w:val="21"/>
                <w:highlight w:val="none"/>
                <w:u w:val="none" w:color="auto"/>
              </w:rPr>
            </w:pPr>
            <w:bookmarkStart w:id="39" w:name="OLE_LINK1" w:colFirst="2" w:colLast="2"/>
          </w:p>
          <w:p w14:paraId="0FCD629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电镀工序涉及废水</w:t>
            </w:r>
          </w:p>
        </w:tc>
        <w:tc>
          <w:tcPr>
            <w:tcW w:w="451" w:type="pct"/>
            <w:vMerge w:val="restart"/>
            <w:noWrap w:val="0"/>
            <w:vAlign w:val="center"/>
          </w:tcPr>
          <w:p w14:paraId="46A5396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含油废水</w:t>
            </w:r>
          </w:p>
        </w:tc>
        <w:tc>
          <w:tcPr>
            <w:tcW w:w="508" w:type="pct"/>
            <w:vMerge w:val="restart"/>
            <w:noWrap w:val="0"/>
            <w:vAlign w:val="center"/>
          </w:tcPr>
          <w:p w14:paraId="1102564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5.777</w:t>
            </w:r>
          </w:p>
        </w:tc>
        <w:tc>
          <w:tcPr>
            <w:tcW w:w="460" w:type="pct"/>
            <w:vMerge w:val="restart"/>
            <w:noWrap w:val="0"/>
            <w:vAlign w:val="center"/>
          </w:tcPr>
          <w:p w14:paraId="7229EB3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0</w:t>
            </w:r>
          </w:p>
        </w:tc>
        <w:tc>
          <w:tcPr>
            <w:tcW w:w="569" w:type="pct"/>
            <w:noWrap w:val="0"/>
            <w:vAlign w:val="center"/>
          </w:tcPr>
          <w:p w14:paraId="56AA582C">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1C16A8D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994D50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1148" w:type="pct"/>
            <w:gridSpan w:val="3"/>
            <w:noWrap w:val="0"/>
            <w:vAlign w:val="center"/>
          </w:tcPr>
          <w:p w14:paraId="0E06673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7204A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4C15BE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C1768E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686E6AB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2DDFAE6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684FF03C">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7D711FC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6B1B05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05CAC15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005F791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7F0B8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7468F7A5">
            <w:pPr>
              <w:snapToGrid w:val="0"/>
              <w:spacing w:line="240" w:lineRule="auto"/>
              <w:jc w:val="center"/>
              <w:rPr>
                <w:rFonts w:hint="default" w:ascii="Times New Roman" w:hAnsi="Times New Roman" w:eastAsia="宋体" w:cs="Times New Roman"/>
                <w:bCs/>
                <w:color w:val="auto"/>
                <w:sz w:val="21"/>
                <w:szCs w:val="21"/>
                <w:highlight w:val="none"/>
                <w:u w:val="none" w:color="auto"/>
              </w:rPr>
            </w:pPr>
          </w:p>
          <w:p w14:paraId="4BE367DA">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7060C7D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71B2AD8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333DE1A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66C6D15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31BB430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1F33C7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3EB30D9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42450F3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45885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4D62277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7DFC0E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231752C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7859253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302A464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4B636E9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6D20869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2AC2A98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650324C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72D3B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4E331F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7BA032D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13E2CD8A">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316CE1E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11C22D77">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总磷</w:t>
            </w:r>
          </w:p>
        </w:tc>
        <w:tc>
          <w:tcPr>
            <w:tcW w:w="481" w:type="pct"/>
            <w:noWrap w:val="0"/>
            <w:vAlign w:val="center"/>
          </w:tcPr>
          <w:p w14:paraId="1647D8B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1FB00EA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50AFB72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5FCDFD2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2C2EA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60262EA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92195D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4D331A6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16A16F5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25BC8EBA">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石油类</w:t>
            </w:r>
          </w:p>
        </w:tc>
        <w:tc>
          <w:tcPr>
            <w:tcW w:w="481" w:type="pct"/>
            <w:noWrap w:val="0"/>
            <w:vAlign w:val="center"/>
          </w:tcPr>
          <w:p w14:paraId="07C5267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78DE48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349FF3E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1BEF9FA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24722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68AD8A3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1D10C1B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4E9F9EE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017CE4E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69129526">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氯化物</w:t>
            </w:r>
          </w:p>
        </w:tc>
        <w:tc>
          <w:tcPr>
            <w:tcW w:w="481" w:type="pct"/>
            <w:noWrap w:val="0"/>
            <w:vAlign w:val="center"/>
          </w:tcPr>
          <w:p w14:paraId="15508C7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3346719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531D5B7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0A50A70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037F4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46CC9A5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0599FE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3F08732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031710A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757D37DC">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硫酸盐</w:t>
            </w:r>
          </w:p>
        </w:tc>
        <w:tc>
          <w:tcPr>
            <w:tcW w:w="481" w:type="pct"/>
            <w:noWrap w:val="0"/>
            <w:vAlign w:val="center"/>
          </w:tcPr>
          <w:p w14:paraId="204CAF8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45B3BBD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786559E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4B5FB63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0BE28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67BC48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restart"/>
            <w:noWrap w:val="0"/>
            <w:vAlign w:val="center"/>
          </w:tcPr>
          <w:p w14:paraId="0F177C5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酸碱废水</w:t>
            </w:r>
          </w:p>
        </w:tc>
        <w:tc>
          <w:tcPr>
            <w:tcW w:w="508" w:type="pct"/>
            <w:vMerge w:val="restart"/>
            <w:noWrap w:val="0"/>
            <w:vAlign w:val="center"/>
          </w:tcPr>
          <w:p w14:paraId="02CAF6A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16.759</w:t>
            </w:r>
          </w:p>
        </w:tc>
        <w:tc>
          <w:tcPr>
            <w:tcW w:w="460" w:type="pct"/>
            <w:vMerge w:val="restart"/>
            <w:noWrap w:val="0"/>
            <w:vAlign w:val="center"/>
          </w:tcPr>
          <w:p w14:paraId="6B4F16E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0</w:t>
            </w:r>
          </w:p>
        </w:tc>
        <w:tc>
          <w:tcPr>
            <w:tcW w:w="569" w:type="pct"/>
            <w:noWrap w:val="0"/>
            <w:vAlign w:val="center"/>
          </w:tcPr>
          <w:p w14:paraId="353D5F8C">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2B4F053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6C2C19B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0DD34F4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43EF049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731B0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36DC6D4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14CB11B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7EC49E6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7970154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61731FED">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12B05FD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C94756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367B178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2302C0C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64DA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602568A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096937B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61A5D4E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50C9F3D9">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79052DC7">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3AC046E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3AF232F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7461603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0AA6E0F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8069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77785B3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F49057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060AB10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73CA5E3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24C44A6">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1DB1177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4530C61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7E55C22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07B1148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E130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A57D3E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4C5852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2DB58B6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24B6B89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70659138">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总磷</w:t>
            </w:r>
          </w:p>
        </w:tc>
        <w:tc>
          <w:tcPr>
            <w:tcW w:w="481" w:type="pct"/>
            <w:noWrap w:val="0"/>
            <w:vAlign w:val="center"/>
          </w:tcPr>
          <w:p w14:paraId="06B14DE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7425140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0D8D9BF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7DF51F8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6FE57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89BDCF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3F65AD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2FF2EC3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41FC901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4A2746FF">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氯化物</w:t>
            </w:r>
          </w:p>
        </w:tc>
        <w:tc>
          <w:tcPr>
            <w:tcW w:w="481" w:type="pct"/>
            <w:noWrap w:val="0"/>
            <w:vAlign w:val="center"/>
          </w:tcPr>
          <w:p w14:paraId="4243412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0CFFADF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680BE80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4C4DB1F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7A913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8EFCEF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435C6C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7EB1455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739C39C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A23FB35">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硫酸盐</w:t>
            </w:r>
          </w:p>
        </w:tc>
        <w:tc>
          <w:tcPr>
            <w:tcW w:w="481" w:type="pct"/>
            <w:noWrap w:val="0"/>
            <w:vAlign w:val="center"/>
          </w:tcPr>
          <w:p w14:paraId="70A7218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2295C70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16" w:type="pct"/>
            <w:gridSpan w:val="2"/>
            <w:noWrap w:val="0"/>
            <w:vAlign w:val="center"/>
          </w:tcPr>
          <w:p w14:paraId="4D09FF1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31" w:type="pct"/>
            <w:noWrap w:val="0"/>
            <w:vAlign w:val="center"/>
          </w:tcPr>
          <w:p w14:paraId="6F037F9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1F17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1AE89F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restart"/>
            <w:noWrap w:val="0"/>
            <w:vAlign w:val="center"/>
          </w:tcPr>
          <w:p w14:paraId="20CB7F3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含锌镍废水</w:t>
            </w:r>
          </w:p>
        </w:tc>
        <w:tc>
          <w:tcPr>
            <w:tcW w:w="508" w:type="pct"/>
            <w:vMerge w:val="restart"/>
            <w:noWrap w:val="0"/>
            <w:vAlign w:val="center"/>
          </w:tcPr>
          <w:p w14:paraId="39BB46F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 xml:space="preserve">3.679 </w:t>
            </w:r>
          </w:p>
        </w:tc>
        <w:tc>
          <w:tcPr>
            <w:tcW w:w="460" w:type="pct"/>
            <w:vMerge w:val="restart"/>
            <w:noWrap w:val="0"/>
            <w:vAlign w:val="center"/>
          </w:tcPr>
          <w:p w14:paraId="1FF8A52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0</w:t>
            </w:r>
          </w:p>
        </w:tc>
        <w:tc>
          <w:tcPr>
            <w:tcW w:w="569" w:type="pct"/>
            <w:noWrap w:val="0"/>
            <w:vAlign w:val="center"/>
          </w:tcPr>
          <w:p w14:paraId="70818B03">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665B6E9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02B8A66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618983B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4378D6E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4DC38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D823DA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2F7BEE5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210E4798">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445572C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61CF0ED1">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0ECFF51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4ED63EB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6E03FDF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05863C2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CCA7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21A7DC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0D923956">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51A4B318">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1442185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3F5B1CC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5A2218A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BC6CED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72A6D0F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05A473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6375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C740A1E">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34C7CC8C">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6E92027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611906B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5C1B39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63A38A9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384C128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5B80B8E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1F10E1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50D4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4CA0BCE">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1702BEA2">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48237FF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00C6B36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36FBCED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总磷</w:t>
            </w:r>
          </w:p>
        </w:tc>
        <w:tc>
          <w:tcPr>
            <w:tcW w:w="481" w:type="pct"/>
            <w:noWrap w:val="0"/>
            <w:vAlign w:val="center"/>
          </w:tcPr>
          <w:p w14:paraId="152B495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3DF60B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42347E1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3CCC66B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5DFD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3E63650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1299A11B">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6D928A60">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1534CA8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1A791404">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总镍</w:t>
            </w:r>
          </w:p>
        </w:tc>
        <w:tc>
          <w:tcPr>
            <w:tcW w:w="481" w:type="pct"/>
            <w:noWrap w:val="0"/>
            <w:vAlign w:val="center"/>
          </w:tcPr>
          <w:p w14:paraId="6E371A8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4E01D6B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44B1A50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64B97F8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20AD7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7978088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80E8406">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05331628">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2E500C2A">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31120CA">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总锌</w:t>
            </w:r>
          </w:p>
        </w:tc>
        <w:tc>
          <w:tcPr>
            <w:tcW w:w="481" w:type="pct"/>
            <w:noWrap w:val="0"/>
            <w:vAlign w:val="center"/>
          </w:tcPr>
          <w:p w14:paraId="6C5B06E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72D9462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58C8632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2D25177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093DE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478B514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15822B1">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1759B4DC">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0029306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34B61E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氯化物</w:t>
            </w:r>
          </w:p>
        </w:tc>
        <w:tc>
          <w:tcPr>
            <w:tcW w:w="481" w:type="pct"/>
            <w:noWrap w:val="0"/>
            <w:vAlign w:val="center"/>
          </w:tcPr>
          <w:p w14:paraId="78BC54D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609C6F7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6137841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B618A2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67AD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997076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A931261">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66FF5E48">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1E0E056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17120D6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硫酸盐</w:t>
            </w:r>
          </w:p>
        </w:tc>
        <w:tc>
          <w:tcPr>
            <w:tcW w:w="481" w:type="pct"/>
            <w:noWrap w:val="0"/>
            <w:vAlign w:val="center"/>
          </w:tcPr>
          <w:p w14:paraId="697278C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320E204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0AE3A63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69B9D7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17B5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43931139">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05885A1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5AB591E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5C45972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158BFA9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溶解性总固体</w:t>
            </w:r>
          </w:p>
        </w:tc>
        <w:tc>
          <w:tcPr>
            <w:tcW w:w="481" w:type="pct"/>
            <w:noWrap w:val="0"/>
            <w:vAlign w:val="center"/>
          </w:tcPr>
          <w:p w14:paraId="3158361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85CFDE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1DEDE50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879F9D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F01D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61DF98E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restart"/>
            <w:noWrap w:val="0"/>
            <w:vAlign w:val="center"/>
          </w:tcPr>
          <w:p w14:paraId="2B74FCF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含镍废水</w:t>
            </w:r>
          </w:p>
        </w:tc>
        <w:tc>
          <w:tcPr>
            <w:tcW w:w="508" w:type="pct"/>
            <w:vMerge w:val="restart"/>
            <w:noWrap w:val="0"/>
            <w:vAlign w:val="center"/>
          </w:tcPr>
          <w:p w14:paraId="0B96FC9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 xml:space="preserve">14.370 </w:t>
            </w:r>
          </w:p>
        </w:tc>
        <w:tc>
          <w:tcPr>
            <w:tcW w:w="460" w:type="pct"/>
            <w:vMerge w:val="restart"/>
            <w:noWrap w:val="0"/>
            <w:vAlign w:val="center"/>
          </w:tcPr>
          <w:p w14:paraId="2E1D52D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0</w:t>
            </w:r>
          </w:p>
        </w:tc>
        <w:tc>
          <w:tcPr>
            <w:tcW w:w="569" w:type="pct"/>
            <w:noWrap w:val="0"/>
            <w:vAlign w:val="center"/>
          </w:tcPr>
          <w:p w14:paraId="3E7F413D">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08BBF6E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0A46CF1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4203AC3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D6ACC6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613BF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2012E5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7B2F26A2">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471DFA27">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008AC0B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6E21E68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3CC0C11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1E95E6D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1F40A70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44A5582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63491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490D72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A38A98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03180BA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7337C61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3992C2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2E6ED6E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BC3974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02E96A9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364666E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2A9D4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5E007B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23A2D81A">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4A27A82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57704BBA">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7A32052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5B04999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7C75E0F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7E22F13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4AFA9F6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2B74D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477426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4A7D3FA">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077B3B4C">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1C03344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4FD7254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总磷</w:t>
            </w:r>
          </w:p>
        </w:tc>
        <w:tc>
          <w:tcPr>
            <w:tcW w:w="481" w:type="pct"/>
            <w:noWrap w:val="0"/>
            <w:vAlign w:val="center"/>
          </w:tcPr>
          <w:p w14:paraId="5581138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11B03B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229E48D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4D0432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3AB8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0EEE91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05312C46">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509F199E">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0DC20399">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7C436F2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总镍</w:t>
            </w:r>
          </w:p>
        </w:tc>
        <w:tc>
          <w:tcPr>
            <w:tcW w:w="481" w:type="pct"/>
            <w:noWrap w:val="0"/>
            <w:vAlign w:val="center"/>
          </w:tcPr>
          <w:p w14:paraId="441325D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19E5BFB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70FAF7A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09BFD8B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2D0CD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5B64E2A">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B71B7EA">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492A9BD7">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28093D1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4568A7D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氯化物</w:t>
            </w:r>
          </w:p>
        </w:tc>
        <w:tc>
          <w:tcPr>
            <w:tcW w:w="481" w:type="pct"/>
            <w:noWrap w:val="0"/>
            <w:vAlign w:val="center"/>
          </w:tcPr>
          <w:p w14:paraId="0DF4050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1AE5D34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31F9780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559C54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2DAF7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6593D5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A84C4F2">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08" w:type="pct"/>
            <w:vMerge w:val="continue"/>
            <w:noWrap w:val="0"/>
            <w:vAlign w:val="center"/>
          </w:tcPr>
          <w:p w14:paraId="389C066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0E9F40D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8EF93D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硫酸盐</w:t>
            </w:r>
          </w:p>
        </w:tc>
        <w:tc>
          <w:tcPr>
            <w:tcW w:w="481" w:type="pct"/>
            <w:noWrap w:val="0"/>
            <w:vAlign w:val="center"/>
          </w:tcPr>
          <w:p w14:paraId="2B7F837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479F5D7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71FA97F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31480E2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9E87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774D68F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362F3B1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11F23B5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0B0F968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2D277B0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溶解性总固体</w:t>
            </w:r>
          </w:p>
        </w:tc>
        <w:tc>
          <w:tcPr>
            <w:tcW w:w="481" w:type="pct"/>
            <w:noWrap w:val="0"/>
            <w:vAlign w:val="center"/>
          </w:tcPr>
          <w:p w14:paraId="45C7AEA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1F94C2A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0DEEF9D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4300B66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3BCC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5AEEDAE">
            <w:pPr>
              <w:snapToGrid w:val="0"/>
              <w:spacing w:line="240" w:lineRule="auto"/>
              <w:jc w:val="center"/>
              <w:rPr>
                <w:rFonts w:hint="default" w:ascii="Times New Roman" w:hAnsi="Times New Roman" w:eastAsia="宋体" w:cs="Times New Roman"/>
                <w:bCs/>
                <w:color w:val="auto"/>
                <w:sz w:val="21"/>
                <w:szCs w:val="21"/>
                <w:highlight w:val="none"/>
                <w:u w:val="none" w:color="auto"/>
              </w:rPr>
            </w:pPr>
          </w:p>
          <w:p w14:paraId="3A7091D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restart"/>
            <w:noWrap w:val="0"/>
            <w:vAlign w:val="center"/>
          </w:tcPr>
          <w:p w14:paraId="7A85B26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含铜废水</w:t>
            </w:r>
          </w:p>
        </w:tc>
        <w:tc>
          <w:tcPr>
            <w:tcW w:w="508" w:type="pct"/>
            <w:vMerge w:val="restart"/>
            <w:noWrap w:val="0"/>
            <w:vAlign w:val="center"/>
          </w:tcPr>
          <w:p w14:paraId="6571736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 xml:space="preserve">1.421 </w:t>
            </w:r>
          </w:p>
        </w:tc>
        <w:tc>
          <w:tcPr>
            <w:tcW w:w="460" w:type="pct"/>
            <w:vMerge w:val="restart"/>
            <w:noWrap w:val="0"/>
            <w:vAlign w:val="center"/>
          </w:tcPr>
          <w:p w14:paraId="776C712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0</w:t>
            </w:r>
          </w:p>
        </w:tc>
        <w:tc>
          <w:tcPr>
            <w:tcW w:w="569" w:type="pct"/>
            <w:noWrap w:val="0"/>
            <w:vAlign w:val="center"/>
          </w:tcPr>
          <w:p w14:paraId="7DAA35BE">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1C05E9F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21223DA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40E257E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D046E3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2CFC8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3AEC8D0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03A2CAD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780710B3">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3DF93BA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6D4116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69190A7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721C3D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1B4729B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7C47BB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CDC6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B6AE04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0C581AB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6C3B00F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586C34C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230928D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0CCC5F5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02DAD82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3403EEE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639B50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8B51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32CA43C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F7172BA">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20B30D91">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724D8A9E">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2D93475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1B02C9E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620DC34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72D6682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403965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DB62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392F859">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769D1CB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50AB73EC">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47C22EF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18D5AB1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总磷</w:t>
            </w:r>
          </w:p>
        </w:tc>
        <w:tc>
          <w:tcPr>
            <w:tcW w:w="481" w:type="pct"/>
            <w:noWrap w:val="0"/>
            <w:vAlign w:val="center"/>
          </w:tcPr>
          <w:p w14:paraId="38F1D15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389D292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73C312A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6CD4539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78E0B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90B66F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7441B4E">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005570B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695843F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4C53EC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总铜</w:t>
            </w:r>
          </w:p>
        </w:tc>
        <w:tc>
          <w:tcPr>
            <w:tcW w:w="481" w:type="pct"/>
            <w:noWrap w:val="0"/>
            <w:vAlign w:val="center"/>
          </w:tcPr>
          <w:p w14:paraId="4B6425C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31FF399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54737F1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0EDD89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6CF1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AE9741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0B72FB4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0545D7BB">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587C431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770707E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硫酸盐</w:t>
            </w:r>
          </w:p>
        </w:tc>
        <w:tc>
          <w:tcPr>
            <w:tcW w:w="481" w:type="pct"/>
            <w:noWrap w:val="0"/>
            <w:vAlign w:val="center"/>
          </w:tcPr>
          <w:p w14:paraId="3074F49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5DE933A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4456448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6CC41C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99AD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62D2A8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E9104C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7D328927">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145F8DD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E55152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溶解性总固体</w:t>
            </w:r>
          </w:p>
        </w:tc>
        <w:tc>
          <w:tcPr>
            <w:tcW w:w="481" w:type="pct"/>
            <w:noWrap w:val="0"/>
            <w:vAlign w:val="center"/>
          </w:tcPr>
          <w:p w14:paraId="38F0202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626EAF8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746C41B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340AA27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B49C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4564F17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restart"/>
            <w:noWrap w:val="0"/>
            <w:vAlign w:val="center"/>
          </w:tcPr>
          <w:p w14:paraId="3B03495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退镀</w:t>
            </w:r>
            <w:r>
              <w:rPr>
                <w:rFonts w:hint="default" w:ascii="Times New Roman" w:hAnsi="Times New Roman" w:eastAsia="宋体" w:cs="Times New Roman"/>
                <w:bCs/>
                <w:color w:val="auto"/>
                <w:sz w:val="21"/>
                <w:szCs w:val="21"/>
                <w:highlight w:val="none"/>
                <w:u w:val="none" w:color="auto"/>
              </w:rPr>
              <w:t>废水</w:t>
            </w:r>
          </w:p>
        </w:tc>
        <w:tc>
          <w:tcPr>
            <w:tcW w:w="508" w:type="pct"/>
            <w:vMerge w:val="restart"/>
            <w:noWrap w:val="0"/>
            <w:vAlign w:val="center"/>
          </w:tcPr>
          <w:p w14:paraId="7BC3664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0.278</w:t>
            </w:r>
          </w:p>
        </w:tc>
        <w:tc>
          <w:tcPr>
            <w:tcW w:w="460" w:type="pct"/>
            <w:vMerge w:val="restart"/>
            <w:noWrap w:val="0"/>
            <w:vAlign w:val="center"/>
          </w:tcPr>
          <w:p w14:paraId="41A0A5C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0</w:t>
            </w:r>
          </w:p>
        </w:tc>
        <w:tc>
          <w:tcPr>
            <w:tcW w:w="569" w:type="pct"/>
            <w:noWrap w:val="0"/>
            <w:vAlign w:val="center"/>
          </w:tcPr>
          <w:p w14:paraId="0A18DFE2">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78BB899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1B636A8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25DBDE5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86EED6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CF7F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5804F89">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2B047AE">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4DC84A2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3105ED5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1C11CC9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290A715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6ACBF0B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45FBFC4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2C572A7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71BDA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6414703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D361C3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3F07AE9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7D2AA3AA">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3626792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653B96B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1DBD31A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63FDEC9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05219B3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7F18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85380E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6C31C5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3A242B3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42FC11D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4C9695C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21C9E1F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494726F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01DA6B8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26C3903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412E5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9D68BA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E272E3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031A315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71FA640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3B472C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总磷</w:t>
            </w:r>
          </w:p>
        </w:tc>
        <w:tc>
          <w:tcPr>
            <w:tcW w:w="481" w:type="pct"/>
            <w:noWrap w:val="0"/>
            <w:vAlign w:val="center"/>
          </w:tcPr>
          <w:p w14:paraId="7826A2C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4A0EDCF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3620815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7EEBC05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483DB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3FF8AC2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01C6251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0F29F58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41FF8AB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53F311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总镍</w:t>
            </w:r>
          </w:p>
        </w:tc>
        <w:tc>
          <w:tcPr>
            <w:tcW w:w="481" w:type="pct"/>
            <w:noWrap w:val="0"/>
            <w:vAlign w:val="center"/>
          </w:tcPr>
          <w:p w14:paraId="1DE612D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2B4B99D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14990F3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013305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425B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3409E5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F046E6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7FE5FB3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292C089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4B3AEFF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总铜</w:t>
            </w:r>
          </w:p>
        </w:tc>
        <w:tc>
          <w:tcPr>
            <w:tcW w:w="481" w:type="pct"/>
            <w:noWrap w:val="0"/>
            <w:vAlign w:val="center"/>
          </w:tcPr>
          <w:p w14:paraId="0CD8493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77C6B3C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6852341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1BA914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6041E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6C39A9B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1A431E6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41A198EA">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7E08D9B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60A07DD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氯化物</w:t>
            </w:r>
          </w:p>
        </w:tc>
        <w:tc>
          <w:tcPr>
            <w:tcW w:w="481" w:type="pct"/>
            <w:noWrap w:val="0"/>
            <w:vAlign w:val="center"/>
          </w:tcPr>
          <w:p w14:paraId="46C73D6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3620538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6302DCB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69B19B5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0FEEB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E22A77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185832D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706FCB5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26AB4FF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7F06C64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溶解性总固体</w:t>
            </w:r>
          </w:p>
        </w:tc>
        <w:tc>
          <w:tcPr>
            <w:tcW w:w="481" w:type="pct"/>
            <w:noWrap w:val="0"/>
            <w:vAlign w:val="center"/>
          </w:tcPr>
          <w:p w14:paraId="73E5802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948" w:type="pct"/>
            <w:gridSpan w:val="2"/>
            <w:noWrap w:val="0"/>
            <w:vAlign w:val="center"/>
          </w:tcPr>
          <w:p w14:paraId="71E2CCC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6E8F56F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53E16F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45886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restart"/>
            <w:noWrap w:val="0"/>
            <w:vAlign w:val="center"/>
          </w:tcPr>
          <w:p w14:paraId="4650D3A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其他废水</w:t>
            </w:r>
          </w:p>
        </w:tc>
        <w:tc>
          <w:tcPr>
            <w:tcW w:w="451" w:type="pct"/>
            <w:vMerge w:val="restart"/>
            <w:noWrap w:val="0"/>
            <w:vAlign w:val="center"/>
          </w:tcPr>
          <w:p w14:paraId="547BBFE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废气处理废水</w:t>
            </w:r>
          </w:p>
        </w:tc>
        <w:tc>
          <w:tcPr>
            <w:tcW w:w="508" w:type="pct"/>
            <w:vMerge w:val="restart"/>
            <w:noWrap w:val="0"/>
            <w:vAlign w:val="center"/>
          </w:tcPr>
          <w:p w14:paraId="3B1A13F3">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rPr>
            </w:pPr>
            <w:r>
              <w:rPr>
                <w:rFonts w:hint="default" w:ascii="Times New Roman" w:hAnsi="Times New Roman" w:eastAsia="宋体" w:cs="Times New Roman"/>
                <w:bCs/>
                <w:color w:val="auto"/>
                <w:sz w:val="21"/>
                <w:szCs w:val="21"/>
                <w:highlight w:val="none"/>
                <w:u w:val="none" w:color="auto"/>
                <w:lang w:val="en-US" w:eastAsia="zh-CN"/>
              </w:rPr>
              <w:t>1.6</w:t>
            </w:r>
          </w:p>
        </w:tc>
        <w:tc>
          <w:tcPr>
            <w:tcW w:w="460" w:type="pct"/>
            <w:vMerge w:val="restart"/>
            <w:noWrap w:val="0"/>
            <w:vAlign w:val="center"/>
          </w:tcPr>
          <w:p w14:paraId="451DC69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0</w:t>
            </w:r>
          </w:p>
        </w:tc>
        <w:tc>
          <w:tcPr>
            <w:tcW w:w="569" w:type="pct"/>
            <w:noWrap w:val="0"/>
            <w:vAlign w:val="center"/>
          </w:tcPr>
          <w:p w14:paraId="54DDAE99">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2A263B9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2715B58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298A360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781BDE2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78E428C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2F34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5278AC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A5CE92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1E72DCA2">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68BEE72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91C686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38A758E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2376891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11D1087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3FB3249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79EC7AB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08493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CF1B01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CC4CEA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012975E1">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5D1C3B3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212324C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2320322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18EF48E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612B81C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08DEC00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38D5394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EAD4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31" w:type="pct"/>
            <w:vMerge w:val="continue"/>
            <w:noWrap w:val="0"/>
            <w:vAlign w:val="center"/>
          </w:tcPr>
          <w:p w14:paraId="6272450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0B68931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34C3E332">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21F110B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45E3B3BE">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7A25A96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4BDBE95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6AC6F11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52BF5E7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0347163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B1CD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73A71F8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7208777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08FCFEB2">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2E6EDF3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FB182E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氯化物</w:t>
            </w:r>
          </w:p>
        </w:tc>
        <w:tc>
          <w:tcPr>
            <w:tcW w:w="481" w:type="pct"/>
            <w:noWrap w:val="0"/>
            <w:vAlign w:val="center"/>
          </w:tcPr>
          <w:p w14:paraId="0D8A9DA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6DB3303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039D29B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207B667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2E393C3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912F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A96EFB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BA93B8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48D8783E">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3BCB41C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2126319">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eastAsia="zh-CN"/>
              </w:rPr>
              <w:t>硫酸盐</w:t>
            </w:r>
          </w:p>
        </w:tc>
        <w:tc>
          <w:tcPr>
            <w:tcW w:w="481" w:type="pct"/>
            <w:noWrap w:val="0"/>
            <w:vAlign w:val="center"/>
          </w:tcPr>
          <w:p w14:paraId="1144ACD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77000CA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73A5137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0156D8C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18F39D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60B3E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56AACF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35AE67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6D30605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5ED7C322">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F6C628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溶解性总固体</w:t>
            </w:r>
          </w:p>
        </w:tc>
        <w:tc>
          <w:tcPr>
            <w:tcW w:w="481" w:type="pct"/>
            <w:noWrap w:val="0"/>
            <w:vAlign w:val="center"/>
          </w:tcPr>
          <w:p w14:paraId="479FF3E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60D245D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235F627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3693E9D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EC724C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C064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19D11A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restart"/>
            <w:noWrap w:val="0"/>
            <w:vAlign w:val="center"/>
          </w:tcPr>
          <w:p w14:paraId="064BD5C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电镀车间地面清洗废水</w:t>
            </w:r>
          </w:p>
        </w:tc>
        <w:tc>
          <w:tcPr>
            <w:tcW w:w="508" w:type="pct"/>
            <w:vMerge w:val="restart"/>
            <w:noWrap w:val="0"/>
            <w:vAlign w:val="center"/>
          </w:tcPr>
          <w:p w14:paraId="0F5FC13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rPr>
            </w:pPr>
            <w:r>
              <w:rPr>
                <w:rFonts w:hint="default" w:ascii="Times New Roman" w:hAnsi="Times New Roman" w:eastAsia="宋体" w:cs="Times New Roman"/>
                <w:bCs/>
                <w:color w:val="auto"/>
                <w:sz w:val="21"/>
                <w:szCs w:val="21"/>
                <w:highlight w:val="none"/>
                <w:u w:val="none" w:color="auto"/>
                <w:lang w:val="en-US" w:eastAsia="zh-CN"/>
              </w:rPr>
              <w:t>2.4</w:t>
            </w:r>
          </w:p>
        </w:tc>
        <w:tc>
          <w:tcPr>
            <w:tcW w:w="460" w:type="pct"/>
            <w:vMerge w:val="restart"/>
            <w:noWrap w:val="0"/>
            <w:vAlign w:val="center"/>
          </w:tcPr>
          <w:p w14:paraId="055439C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0</w:t>
            </w:r>
          </w:p>
        </w:tc>
        <w:tc>
          <w:tcPr>
            <w:tcW w:w="569" w:type="pct"/>
            <w:noWrap w:val="0"/>
            <w:vAlign w:val="center"/>
          </w:tcPr>
          <w:p w14:paraId="2708ABB3">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0A8A23D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52B3071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6C31EB5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23DEB9D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0464239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195D9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4CE485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3EBBEAEE">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2E00B97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2F9265D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3CD66189">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34EC5DC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75054FF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068C96E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0439E40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08623B5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65BD2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27825E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0E19F25">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0EA0152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5BA2AA2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726660F9">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36F277D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4231E15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48A6C0D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4EE7A42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61CFCC1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4E405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DAD174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3864E7A6">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077B2C1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7E21BEC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9B5918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32192A5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4F3787B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29F6E45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41D5829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BC603A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009FD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6D98BF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8106F54">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735AF187">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45E7E80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654D9C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eastAsia="zh-CN"/>
              </w:rPr>
              <w:t>总磷</w:t>
            </w:r>
          </w:p>
        </w:tc>
        <w:tc>
          <w:tcPr>
            <w:tcW w:w="481" w:type="pct"/>
            <w:noWrap w:val="0"/>
            <w:vAlign w:val="center"/>
          </w:tcPr>
          <w:p w14:paraId="572B94C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78D98AC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26C4792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72B01D7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018C3DD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79F84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3039AE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4B5FD08A">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62EA08F6">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5F17D85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D8709E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eastAsia="zh-CN"/>
              </w:rPr>
              <w:t>总镍</w:t>
            </w:r>
          </w:p>
        </w:tc>
        <w:tc>
          <w:tcPr>
            <w:tcW w:w="481" w:type="pct"/>
            <w:noWrap w:val="0"/>
            <w:vAlign w:val="center"/>
          </w:tcPr>
          <w:p w14:paraId="5F3E002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2AABC87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57D5A54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0C2A904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0045948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B79B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7B48EFD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380EC3BB">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3D27599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47F88E3A">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470CCAE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eastAsia="zh-CN"/>
              </w:rPr>
              <w:t>总铜</w:t>
            </w:r>
          </w:p>
        </w:tc>
        <w:tc>
          <w:tcPr>
            <w:tcW w:w="481" w:type="pct"/>
            <w:noWrap w:val="0"/>
            <w:vAlign w:val="center"/>
          </w:tcPr>
          <w:p w14:paraId="6A0039C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3ADCA2D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45DF9C2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63113BE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4307C79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45D9F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62AFD18">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73489ED4">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4287DE1E">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5E5E45AE">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492407FC">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eastAsia="zh-CN"/>
              </w:rPr>
              <w:t>氯化物</w:t>
            </w:r>
          </w:p>
        </w:tc>
        <w:tc>
          <w:tcPr>
            <w:tcW w:w="481" w:type="pct"/>
            <w:noWrap w:val="0"/>
            <w:vAlign w:val="center"/>
          </w:tcPr>
          <w:p w14:paraId="74E260B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1C2A043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051939C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2B7C18D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44A5313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F801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8EA4E2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0212F01">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4EDEDC06">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0C8CF8F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428EAB0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eastAsia="zh-CN"/>
              </w:rPr>
              <w:t>硫酸盐</w:t>
            </w:r>
          </w:p>
        </w:tc>
        <w:tc>
          <w:tcPr>
            <w:tcW w:w="481" w:type="pct"/>
            <w:noWrap w:val="0"/>
            <w:vAlign w:val="center"/>
          </w:tcPr>
          <w:p w14:paraId="07088F5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067F714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0CB5C37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06BFA97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2C875BA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41AD5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4BC92A5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328BEE89">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55D7C3D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0A9908B5">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36B24841">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eastAsia="zh-CN"/>
              </w:rPr>
              <w:t>溶解性总固体</w:t>
            </w:r>
          </w:p>
        </w:tc>
        <w:tc>
          <w:tcPr>
            <w:tcW w:w="481" w:type="pct"/>
            <w:noWrap w:val="0"/>
            <w:vAlign w:val="center"/>
          </w:tcPr>
          <w:p w14:paraId="04CF3AD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0953DB6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6C2BE1C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14F3CF3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79C18AE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35D3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392CEED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restart"/>
            <w:noWrap w:val="0"/>
            <w:vAlign w:val="center"/>
          </w:tcPr>
          <w:p w14:paraId="7DE1FE0C">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机加工车间卫生废水、容器清洗废水、直接冷却废水</w:t>
            </w:r>
          </w:p>
        </w:tc>
        <w:tc>
          <w:tcPr>
            <w:tcW w:w="508" w:type="pct"/>
            <w:vMerge w:val="restart"/>
            <w:noWrap w:val="0"/>
            <w:vAlign w:val="center"/>
          </w:tcPr>
          <w:p w14:paraId="67C56F7D">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7.2</w:t>
            </w:r>
          </w:p>
        </w:tc>
        <w:tc>
          <w:tcPr>
            <w:tcW w:w="460" w:type="pct"/>
            <w:vMerge w:val="restart"/>
            <w:noWrap w:val="0"/>
            <w:vAlign w:val="center"/>
          </w:tcPr>
          <w:p w14:paraId="652F3A62">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7.2</w:t>
            </w:r>
          </w:p>
        </w:tc>
        <w:tc>
          <w:tcPr>
            <w:tcW w:w="569" w:type="pct"/>
            <w:noWrap w:val="0"/>
            <w:vAlign w:val="center"/>
          </w:tcPr>
          <w:p w14:paraId="6734F291">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00EC0E79">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60</w:t>
            </w:r>
          </w:p>
        </w:tc>
        <w:tc>
          <w:tcPr>
            <w:tcW w:w="474" w:type="pct"/>
            <w:noWrap w:val="0"/>
            <w:vAlign w:val="center"/>
          </w:tcPr>
          <w:p w14:paraId="491BCAD6">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0.130</w:t>
            </w:r>
          </w:p>
        </w:tc>
        <w:tc>
          <w:tcPr>
            <w:tcW w:w="474" w:type="pct"/>
            <w:noWrap w:val="0"/>
            <w:vAlign w:val="center"/>
          </w:tcPr>
          <w:p w14:paraId="497DF3A0">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0.130</w:t>
            </w:r>
          </w:p>
        </w:tc>
        <w:tc>
          <w:tcPr>
            <w:tcW w:w="508" w:type="pct"/>
            <w:noWrap w:val="0"/>
            <w:vAlign w:val="center"/>
          </w:tcPr>
          <w:p w14:paraId="7A58FEA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300</w:t>
            </w:r>
          </w:p>
        </w:tc>
        <w:tc>
          <w:tcPr>
            <w:tcW w:w="640" w:type="pct"/>
            <w:gridSpan w:val="2"/>
            <w:noWrap w:val="0"/>
            <w:vAlign w:val="center"/>
          </w:tcPr>
          <w:p w14:paraId="51DF66C9">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60</w:t>
            </w:r>
          </w:p>
        </w:tc>
      </w:tr>
      <w:tr w14:paraId="73BA1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vMerge w:val="continue"/>
            <w:noWrap w:val="0"/>
            <w:vAlign w:val="center"/>
          </w:tcPr>
          <w:p w14:paraId="6D258CD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E9089AE">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p>
        </w:tc>
        <w:tc>
          <w:tcPr>
            <w:tcW w:w="508" w:type="pct"/>
            <w:vMerge w:val="continue"/>
            <w:noWrap w:val="0"/>
            <w:vAlign w:val="center"/>
          </w:tcPr>
          <w:p w14:paraId="7AF7B2A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4674996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5D2782C5">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7C035808">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80</w:t>
            </w:r>
          </w:p>
        </w:tc>
        <w:tc>
          <w:tcPr>
            <w:tcW w:w="474" w:type="pct"/>
            <w:noWrap w:val="0"/>
            <w:vAlign w:val="center"/>
          </w:tcPr>
          <w:p w14:paraId="51C6AFE2">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0.172</w:t>
            </w:r>
          </w:p>
        </w:tc>
        <w:tc>
          <w:tcPr>
            <w:tcW w:w="474" w:type="pct"/>
            <w:noWrap w:val="0"/>
            <w:vAlign w:val="center"/>
          </w:tcPr>
          <w:p w14:paraId="6D66E8B1">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kern w:val="2"/>
                <w:sz w:val="21"/>
                <w:szCs w:val="21"/>
                <w:highlight w:val="none"/>
                <w:u w:val="none" w:color="auto"/>
                <w:lang w:val="en-US" w:eastAsia="zh-CN" w:bidi="ar-SA"/>
              </w:rPr>
              <w:t>0.043</w:t>
            </w:r>
          </w:p>
        </w:tc>
        <w:tc>
          <w:tcPr>
            <w:tcW w:w="508" w:type="pct"/>
            <w:noWrap w:val="0"/>
            <w:vAlign w:val="center"/>
          </w:tcPr>
          <w:p w14:paraId="01AC5CB5">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250</w:t>
            </w:r>
          </w:p>
        </w:tc>
        <w:tc>
          <w:tcPr>
            <w:tcW w:w="640" w:type="pct"/>
            <w:gridSpan w:val="2"/>
            <w:noWrap w:val="0"/>
            <w:vAlign w:val="center"/>
          </w:tcPr>
          <w:p w14:paraId="5507799E">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20</w:t>
            </w:r>
          </w:p>
        </w:tc>
      </w:tr>
      <w:tr w14:paraId="5BF6E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9BFA7D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restart"/>
            <w:noWrap w:val="0"/>
            <w:vAlign w:val="center"/>
          </w:tcPr>
          <w:p w14:paraId="7F311B2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纯水站</w:t>
            </w:r>
          </w:p>
          <w:p w14:paraId="0D1FA829">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浓水</w:t>
            </w:r>
          </w:p>
        </w:tc>
        <w:tc>
          <w:tcPr>
            <w:tcW w:w="508" w:type="pct"/>
            <w:vMerge w:val="restart"/>
            <w:noWrap w:val="0"/>
            <w:vAlign w:val="center"/>
          </w:tcPr>
          <w:p w14:paraId="4A836907">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rPr>
            </w:pPr>
            <w:r>
              <w:rPr>
                <w:rFonts w:hint="default" w:ascii="Times New Roman" w:hAnsi="Times New Roman" w:eastAsia="宋体" w:cs="Times New Roman"/>
                <w:bCs/>
                <w:color w:val="auto"/>
                <w:sz w:val="21"/>
                <w:szCs w:val="21"/>
                <w:highlight w:val="none"/>
                <w:u w:val="none" w:color="auto"/>
                <w:lang w:val="en-US" w:eastAsia="zh-CN"/>
              </w:rPr>
              <w:t>9.673</w:t>
            </w:r>
          </w:p>
        </w:tc>
        <w:tc>
          <w:tcPr>
            <w:tcW w:w="460" w:type="pct"/>
            <w:vMerge w:val="restart"/>
            <w:noWrap w:val="0"/>
            <w:vAlign w:val="center"/>
          </w:tcPr>
          <w:p w14:paraId="74CD6A4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0</w:t>
            </w:r>
          </w:p>
        </w:tc>
        <w:tc>
          <w:tcPr>
            <w:tcW w:w="569" w:type="pct"/>
            <w:noWrap w:val="0"/>
            <w:vAlign w:val="center"/>
          </w:tcPr>
          <w:p w14:paraId="6817D526">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39E5E147">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2D001D3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17B5B72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165BD2C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F7C5CB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AEBA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60B208D">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E33304F">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07D82D78">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77186FFC">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69" w:type="pct"/>
            <w:noWrap w:val="0"/>
            <w:vAlign w:val="center"/>
          </w:tcPr>
          <w:p w14:paraId="403E04B9">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5B4CD30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31EC633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721E0FF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69C15B5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5472464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3E18F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42A0FBE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67347EF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39F4D8EA">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154E582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69" w:type="pct"/>
            <w:noWrap w:val="0"/>
            <w:vAlign w:val="center"/>
          </w:tcPr>
          <w:p w14:paraId="7C400152">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16EAC6E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36392D9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6E952313">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3F4D37DF">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7CB21A8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0F5A6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0AE5CB80">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D902BC4">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3A3BBC99">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11D8785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69" w:type="pct"/>
            <w:noWrap w:val="0"/>
            <w:vAlign w:val="center"/>
          </w:tcPr>
          <w:p w14:paraId="4E30CFA3">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05B9E35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3801534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73E50EE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5AD23EED">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0B9243C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4536B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12DF9F39">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restart"/>
            <w:noWrap w:val="0"/>
            <w:vAlign w:val="center"/>
          </w:tcPr>
          <w:p w14:paraId="43E74B0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生活污水</w:t>
            </w:r>
          </w:p>
        </w:tc>
        <w:tc>
          <w:tcPr>
            <w:tcW w:w="508" w:type="pct"/>
            <w:vMerge w:val="restart"/>
            <w:noWrap w:val="0"/>
            <w:vAlign w:val="center"/>
          </w:tcPr>
          <w:p w14:paraId="3342A0F8">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40</w:t>
            </w:r>
          </w:p>
        </w:tc>
        <w:tc>
          <w:tcPr>
            <w:tcW w:w="460" w:type="pct"/>
            <w:vMerge w:val="restart"/>
            <w:noWrap w:val="0"/>
            <w:vAlign w:val="center"/>
          </w:tcPr>
          <w:p w14:paraId="6939F01B">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40</w:t>
            </w:r>
          </w:p>
        </w:tc>
        <w:tc>
          <w:tcPr>
            <w:tcW w:w="569" w:type="pct"/>
            <w:noWrap w:val="0"/>
            <w:vAlign w:val="center"/>
          </w:tcPr>
          <w:p w14:paraId="32447945">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pH</w:t>
            </w:r>
          </w:p>
        </w:tc>
        <w:tc>
          <w:tcPr>
            <w:tcW w:w="481" w:type="pct"/>
            <w:noWrap w:val="0"/>
            <w:vAlign w:val="center"/>
          </w:tcPr>
          <w:p w14:paraId="4F3B68B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6-9</w:t>
            </w:r>
          </w:p>
        </w:tc>
        <w:tc>
          <w:tcPr>
            <w:tcW w:w="474" w:type="pct"/>
            <w:noWrap w:val="0"/>
            <w:vAlign w:val="center"/>
          </w:tcPr>
          <w:p w14:paraId="3EAC3D8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1B466B3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508" w:type="pct"/>
            <w:noWrap w:val="0"/>
            <w:vAlign w:val="center"/>
          </w:tcPr>
          <w:p w14:paraId="5A154CE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6-9</w:t>
            </w:r>
          </w:p>
        </w:tc>
        <w:tc>
          <w:tcPr>
            <w:tcW w:w="640" w:type="pct"/>
            <w:gridSpan w:val="2"/>
            <w:noWrap w:val="0"/>
            <w:vAlign w:val="center"/>
          </w:tcPr>
          <w:p w14:paraId="32BB58FC">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6-9</w:t>
            </w:r>
          </w:p>
        </w:tc>
      </w:tr>
      <w:bookmarkEnd w:id="39"/>
      <w:tr w14:paraId="1FB14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9140EE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5351FF8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387C1E5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7F10310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69" w:type="pct"/>
            <w:noWrap w:val="0"/>
            <w:vAlign w:val="center"/>
          </w:tcPr>
          <w:p w14:paraId="4B248AC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52ED5E5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100</w:t>
            </w:r>
          </w:p>
        </w:tc>
        <w:tc>
          <w:tcPr>
            <w:tcW w:w="474" w:type="pct"/>
            <w:noWrap w:val="0"/>
            <w:vAlign w:val="center"/>
          </w:tcPr>
          <w:p w14:paraId="58F420AA">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1.2</w:t>
            </w:r>
          </w:p>
        </w:tc>
        <w:tc>
          <w:tcPr>
            <w:tcW w:w="1322" w:type="dxa"/>
            <w:noWrap w:val="0"/>
            <w:vAlign w:val="center"/>
          </w:tcPr>
          <w:p w14:paraId="3C92D4DA">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0.24</w:t>
            </w:r>
          </w:p>
        </w:tc>
        <w:tc>
          <w:tcPr>
            <w:tcW w:w="508" w:type="pct"/>
            <w:noWrap w:val="0"/>
            <w:vAlign w:val="center"/>
          </w:tcPr>
          <w:p w14:paraId="2CA161DA">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250</w:t>
            </w:r>
          </w:p>
        </w:tc>
        <w:tc>
          <w:tcPr>
            <w:tcW w:w="1784" w:type="dxa"/>
            <w:gridSpan w:val="2"/>
            <w:noWrap w:val="0"/>
            <w:vAlign w:val="center"/>
          </w:tcPr>
          <w:p w14:paraId="4E354EA0">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20</w:t>
            </w:r>
          </w:p>
        </w:tc>
      </w:tr>
      <w:tr w14:paraId="574B2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23069AA7">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196DACD1">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2FFA4BF2">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4BB1A78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69" w:type="pct"/>
            <w:noWrap w:val="0"/>
            <w:vAlign w:val="center"/>
          </w:tcPr>
          <w:p w14:paraId="5B2DE045">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7331E26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200</w:t>
            </w:r>
          </w:p>
        </w:tc>
        <w:tc>
          <w:tcPr>
            <w:tcW w:w="474" w:type="pct"/>
            <w:noWrap w:val="0"/>
            <w:vAlign w:val="center"/>
          </w:tcPr>
          <w:p w14:paraId="074A0B11">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2.4</w:t>
            </w:r>
          </w:p>
        </w:tc>
        <w:tc>
          <w:tcPr>
            <w:tcW w:w="1322" w:type="dxa"/>
            <w:noWrap w:val="0"/>
            <w:vAlign w:val="center"/>
          </w:tcPr>
          <w:p w14:paraId="176B8A17">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0.72</w:t>
            </w:r>
          </w:p>
        </w:tc>
        <w:tc>
          <w:tcPr>
            <w:tcW w:w="508" w:type="pct"/>
            <w:noWrap w:val="0"/>
            <w:vAlign w:val="center"/>
          </w:tcPr>
          <w:p w14:paraId="327A626A">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300</w:t>
            </w:r>
          </w:p>
        </w:tc>
        <w:tc>
          <w:tcPr>
            <w:tcW w:w="1784" w:type="dxa"/>
            <w:gridSpan w:val="2"/>
            <w:noWrap w:val="0"/>
            <w:vAlign w:val="center"/>
          </w:tcPr>
          <w:p w14:paraId="1B0704A6">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60</w:t>
            </w:r>
          </w:p>
        </w:tc>
      </w:tr>
      <w:tr w14:paraId="28BE9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4AB044C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7101FBEB">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61AA746A">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67A42021">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69" w:type="pct"/>
            <w:noWrap w:val="0"/>
            <w:vAlign w:val="center"/>
          </w:tcPr>
          <w:p w14:paraId="13A02DB9">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7285FF9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20</w:t>
            </w:r>
          </w:p>
        </w:tc>
        <w:tc>
          <w:tcPr>
            <w:tcW w:w="474" w:type="pct"/>
            <w:noWrap w:val="0"/>
            <w:vAlign w:val="center"/>
          </w:tcPr>
          <w:p w14:paraId="5427C1F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0.24</w:t>
            </w:r>
          </w:p>
        </w:tc>
        <w:tc>
          <w:tcPr>
            <w:tcW w:w="1322" w:type="dxa"/>
            <w:noWrap w:val="0"/>
            <w:vAlign w:val="center"/>
          </w:tcPr>
          <w:p w14:paraId="1F92651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0.18</w:t>
            </w:r>
          </w:p>
        </w:tc>
        <w:tc>
          <w:tcPr>
            <w:tcW w:w="508" w:type="pct"/>
            <w:noWrap w:val="0"/>
            <w:vAlign w:val="center"/>
          </w:tcPr>
          <w:p w14:paraId="05794A6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25</w:t>
            </w:r>
          </w:p>
        </w:tc>
        <w:tc>
          <w:tcPr>
            <w:tcW w:w="1784" w:type="dxa"/>
            <w:gridSpan w:val="2"/>
            <w:noWrap w:val="0"/>
            <w:vAlign w:val="center"/>
          </w:tcPr>
          <w:p w14:paraId="73705F29">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15</w:t>
            </w:r>
          </w:p>
        </w:tc>
      </w:tr>
      <w:tr w14:paraId="4FA17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1" w:type="pct"/>
            <w:vMerge w:val="continue"/>
            <w:noWrap w:val="0"/>
            <w:vAlign w:val="center"/>
          </w:tcPr>
          <w:p w14:paraId="57EB73BC">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51" w:type="pct"/>
            <w:vMerge w:val="continue"/>
            <w:noWrap w:val="0"/>
            <w:vAlign w:val="center"/>
          </w:tcPr>
          <w:p w14:paraId="1333560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4CE13CC9">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460" w:type="pct"/>
            <w:vMerge w:val="continue"/>
            <w:noWrap w:val="0"/>
            <w:vAlign w:val="center"/>
          </w:tcPr>
          <w:p w14:paraId="63A3E5E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69" w:type="pct"/>
            <w:noWrap w:val="0"/>
            <w:vAlign w:val="center"/>
          </w:tcPr>
          <w:p w14:paraId="007046D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总磷</w:t>
            </w:r>
          </w:p>
        </w:tc>
        <w:tc>
          <w:tcPr>
            <w:tcW w:w="481" w:type="pct"/>
            <w:noWrap w:val="0"/>
            <w:vAlign w:val="center"/>
          </w:tcPr>
          <w:p w14:paraId="79A0CF34">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val="en-US" w:eastAsia="zh-CN"/>
              </w:rPr>
              <w:t>3</w:t>
            </w:r>
          </w:p>
        </w:tc>
        <w:tc>
          <w:tcPr>
            <w:tcW w:w="474" w:type="pct"/>
            <w:noWrap w:val="0"/>
            <w:vAlign w:val="center"/>
          </w:tcPr>
          <w:p w14:paraId="660EA6F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0.036</w:t>
            </w:r>
          </w:p>
        </w:tc>
        <w:tc>
          <w:tcPr>
            <w:tcW w:w="1322" w:type="dxa"/>
            <w:noWrap w:val="0"/>
            <w:vAlign w:val="center"/>
          </w:tcPr>
          <w:p w14:paraId="44A25903">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0.012</w:t>
            </w:r>
          </w:p>
        </w:tc>
        <w:tc>
          <w:tcPr>
            <w:tcW w:w="508" w:type="pct"/>
            <w:noWrap w:val="0"/>
            <w:vAlign w:val="center"/>
          </w:tcPr>
          <w:p w14:paraId="0E2B48B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4</w:t>
            </w:r>
          </w:p>
        </w:tc>
        <w:tc>
          <w:tcPr>
            <w:tcW w:w="1784" w:type="dxa"/>
            <w:gridSpan w:val="2"/>
            <w:noWrap w:val="0"/>
            <w:vAlign w:val="center"/>
          </w:tcPr>
          <w:p w14:paraId="7D37AF1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w:t>
            </w:r>
          </w:p>
        </w:tc>
      </w:tr>
      <w:tr w14:paraId="0EFDE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vMerge w:val="restart"/>
            <w:noWrap w:val="0"/>
            <w:vAlign w:val="center"/>
          </w:tcPr>
          <w:p w14:paraId="656A62F6">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合计</w:t>
            </w:r>
          </w:p>
        </w:tc>
        <w:tc>
          <w:tcPr>
            <w:tcW w:w="508" w:type="pct"/>
            <w:vMerge w:val="restart"/>
            <w:noWrap w:val="0"/>
            <w:vAlign w:val="center"/>
          </w:tcPr>
          <w:p w14:paraId="60B0AF0B">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103.157</w:t>
            </w:r>
            <w:r>
              <w:rPr>
                <w:rFonts w:hint="default" w:ascii="Times New Roman" w:hAnsi="Times New Roman" w:eastAsia="宋体" w:cs="Times New Roman"/>
                <w:bCs/>
                <w:color w:val="auto"/>
                <w:sz w:val="21"/>
                <w:szCs w:val="21"/>
                <w:highlight w:val="none"/>
                <w:u w:val="none" w:color="auto"/>
                <w:lang w:val="en-US" w:eastAsia="zh-CN"/>
              </w:rPr>
              <w:t>（包含纯水站浓水）</w:t>
            </w:r>
          </w:p>
        </w:tc>
        <w:tc>
          <w:tcPr>
            <w:tcW w:w="460" w:type="pct"/>
            <w:vMerge w:val="restart"/>
            <w:noWrap w:val="0"/>
            <w:vAlign w:val="center"/>
          </w:tcPr>
          <w:p w14:paraId="551D326E">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47.2</w:t>
            </w:r>
          </w:p>
        </w:tc>
        <w:tc>
          <w:tcPr>
            <w:tcW w:w="569" w:type="pct"/>
            <w:noWrap w:val="0"/>
            <w:vAlign w:val="center"/>
          </w:tcPr>
          <w:p w14:paraId="3461B23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SS</w:t>
            </w:r>
          </w:p>
        </w:tc>
        <w:tc>
          <w:tcPr>
            <w:tcW w:w="481" w:type="pct"/>
            <w:noWrap w:val="0"/>
            <w:vAlign w:val="center"/>
          </w:tcPr>
          <w:p w14:paraId="4BD320DC">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2DC06F87">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1.372</w:t>
            </w:r>
          </w:p>
        </w:tc>
        <w:tc>
          <w:tcPr>
            <w:tcW w:w="1322" w:type="dxa"/>
            <w:noWrap w:val="0"/>
            <w:vAlign w:val="center"/>
          </w:tcPr>
          <w:p w14:paraId="5BA28726">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0.283</w:t>
            </w:r>
          </w:p>
        </w:tc>
        <w:tc>
          <w:tcPr>
            <w:tcW w:w="508" w:type="pct"/>
            <w:noWrap w:val="0"/>
            <w:vAlign w:val="center"/>
          </w:tcPr>
          <w:p w14:paraId="6BFA54E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1697FD62">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0D197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83" w:type="pct"/>
            <w:gridSpan w:val="2"/>
            <w:vMerge w:val="continue"/>
            <w:noWrap w:val="0"/>
            <w:vAlign w:val="center"/>
          </w:tcPr>
          <w:p w14:paraId="566DCB3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77A7C215">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027C7B38">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69" w:type="pct"/>
            <w:noWrap w:val="0"/>
            <w:vAlign w:val="center"/>
          </w:tcPr>
          <w:p w14:paraId="1561727B">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COD</w:t>
            </w:r>
          </w:p>
        </w:tc>
        <w:tc>
          <w:tcPr>
            <w:tcW w:w="481" w:type="pct"/>
            <w:noWrap w:val="0"/>
            <w:vAlign w:val="center"/>
          </w:tcPr>
          <w:p w14:paraId="39888E0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70CE44A8">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2.53</w:t>
            </w:r>
          </w:p>
        </w:tc>
        <w:tc>
          <w:tcPr>
            <w:tcW w:w="1322" w:type="dxa"/>
            <w:noWrap w:val="0"/>
            <w:vAlign w:val="center"/>
          </w:tcPr>
          <w:p w14:paraId="4FED4DD4">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0.85</w:t>
            </w:r>
          </w:p>
        </w:tc>
        <w:tc>
          <w:tcPr>
            <w:tcW w:w="508" w:type="pct"/>
            <w:noWrap w:val="0"/>
            <w:vAlign w:val="center"/>
          </w:tcPr>
          <w:p w14:paraId="4DEFE43E">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4A658E8A">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5F65B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vMerge w:val="continue"/>
            <w:noWrap w:val="0"/>
            <w:vAlign w:val="center"/>
          </w:tcPr>
          <w:p w14:paraId="110ECB53">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1348F448">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4E7C6A13">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69" w:type="pct"/>
            <w:noWrap w:val="0"/>
            <w:vAlign w:val="center"/>
          </w:tcPr>
          <w:p w14:paraId="1C9ABE0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氨氮</w:t>
            </w:r>
          </w:p>
        </w:tc>
        <w:tc>
          <w:tcPr>
            <w:tcW w:w="481" w:type="pct"/>
            <w:noWrap w:val="0"/>
            <w:vAlign w:val="center"/>
          </w:tcPr>
          <w:p w14:paraId="4ADDB63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572FE0ED">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0.24</w:t>
            </w:r>
          </w:p>
        </w:tc>
        <w:tc>
          <w:tcPr>
            <w:tcW w:w="1322" w:type="dxa"/>
            <w:noWrap w:val="0"/>
            <w:vAlign w:val="center"/>
          </w:tcPr>
          <w:p w14:paraId="04DAE9F2">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0.18</w:t>
            </w:r>
          </w:p>
        </w:tc>
        <w:tc>
          <w:tcPr>
            <w:tcW w:w="508" w:type="pct"/>
            <w:noWrap w:val="0"/>
            <w:vAlign w:val="center"/>
          </w:tcPr>
          <w:p w14:paraId="6F0F719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73DF1EB1">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r w14:paraId="7BC30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 w:type="pct"/>
            <w:gridSpan w:val="2"/>
            <w:vMerge w:val="continue"/>
            <w:noWrap w:val="0"/>
            <w:vAlign w:val="center"/>
          </w:tcPr>
          <w:p w14:paraId="2D6C7FB6">
            <w:pPr>
              <w:snapToGrid w:val="0"/>
              <w:spacing w:line="240" w:lineRule="auto"/>
              <w:jc w:val="center"/>
              <w:rPr>
                <w:rFonts w:hint="default" w:ascii="Times New Roman" w:hAnsi="Times New Roman" w:eastAsia="宋体" w:cs="Times New Roman"/>
                <w:bCs/>
                <w:color w:val="auto"/>
                <w:sz w:val="21"/>
                <w:szCs w:val="21"/>
                <w:highlight w:val="none"/>
                <w:u w:val="none" w:color="auto"/>
              </w:rPr>
            </w:pPr>
          </w:p>
        </w:tc>
        <w:tc>
          <w:tcPr>
            <w:tcW w:w="508" w:type="pct"/>
            <w:vMerge w:val="continue"/>
            <w:noWrap w:val="0"/>
            <w:vAlign w:val="center"/>
          </w:tcPr>
          <w:p w14:paraId="06357A8E">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460" w:type="pct"/>
            <w:vMerge w:val="continue"/>
            <w:noWrap w:val="0"/>
            <w:vAlign w:val="center"/>
          </w:tcPr>
          <w:p w14:paraId="0C348241">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p>
        </w:tc>
        <w:tc>
          <w:tcPr>
            <w:tcW w:w="569" w:type="pct"/>
            <w:noWrap w:val="0"/>
            <w:vAlign w:val="center"/>
          </w:tcPr>
          <w:p w14:paraId="19F37C7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总磷</w:t>
            </w:r>
          </w:p>
        </w:tc>
        <w:tc>
          <w:tcPr>
            <w:tcW w:w="481" w:type="pct"/>
            <w:noWrap w:val="0"/>
            <w:vAlign w:val="center"/>
          </w:tcPr>
          <w:p w14:paraId="7E00A2B8">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474" w:type="pct"/>
            <w:noWrap w:val="0"/>
            <w:vAlign w:val="center"/>
          </w:tcPr>
          <w:p w14:paraId="6BB892CE">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0.036</w:t>
            </w:r>
          </w:p>
        </w:tc>
        <w:tc>
          <w:tcPr>
            <w:tcW w:w="1322" w:type="dxa"/>
            <w:noWrap w:val="0"/>
            <w:vAlign w:val="center"/>
          </w:tcPr>
          <w:p w14:paraId="0B2EF63B">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0.012</w:t>
            </w:r>
          </w:p>
        </w:tc>
        <w:tc>
          <w:tcPr>
            <w:tcW w:w="508" w:type="pct"/>
            <w:noWrap w:val="0"/>
            <w:vAlign w:val="center"/>
          </w:tcPr>
          <w:p w14:paraId="0F3775C4">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c>
          <w:tcPr>
            <w:tcW w:w="640" w:type="pct"/>
            <w:gridSpan w:val="2"/>
            <w:noWrap w:val="0"/>
            <w:vAlign w:val="center"/>
          </w:tcPr>
          <w:p w14:paraId="605A5F80">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w:t>
            </w:r>
          </w:p>
        </w:tc>
      </w:tr>
    </w:tbl>
    <w:p w14:paraId="6C2F7A41">
      <w:pPr>
        <w:snapToGrid w:val="0"/>
        <w:spacing w:line="240" w:lineRule="atLeast"/>
        <w:ind w:firstLine="562" w:firstLineChars="200"/>
        <w:jc w:val="center"/>
        <w:rPr>
          <w:rFonts w:hint="default" w:ascii="Times New Roman" w:hAnsi="Times New Roman" w:cs="Times New Roman"/>
          <w:b/>
          <w:color w:val="auto"/>
          <w:highlight w:val="none"/>
          <w:u w:val="none" w:color="auto"/>
        </w:rPr>
      </w:pPr>
    </w:p>
    <w:p w14:paraId="0F195171">
      <w:pPr>
        <w:pStyle w:val="15"/>
        <w:rPr>
          <w:rFonts w:hint="default" w:ascii="Times New Roman" w:hAnsi="Times New Roman" w:cs="Times New Roman"/>
          <w:color w:val="auto"/>
          <w:highlight w:val="none"/>
          <w:u w:val="none" w:color="auto"/>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720" w:num="1"/>
          <w:docGrid w:type="lines" w:linePitch="312" w:charSpace="0"/>
        </w:sectPr>
      </w:pPr>
    </w:p>
    <w:p w14:paraId="546540E3">
      <w:pPr>
        <w:rPr>
          <w:rFonts w:hint="default" w:ascii="Times New Roman" w:hAnsi="Times New Roman" w:cs="Times New Roman"/>
          <w:color w:val="auto"/>
          <w:highlight w:val="none"/>
          <w:u w:val="none" w:color="auto"/>
        </w:rPr>
        <w:sectPr>
          <w:type w:val="continuous"/>
          <w:pgSz w:w="16838" w:h="11906" w:orient="landscape"/>
          <w:pgMar w:top="1418" w:right="1440" w:bottom="1418" w:left="1440" w:header="851" w:footer="992" w:gutter="0"/>
          <w:pgBorders>
            <w:top w:val="none" w:sz="0" w:space="0"/>
            <w:left w:val="none" w:sz="0" w:space="0"/>
            <w:bottom w:val="none" w:sz="0" w:space="0"/>
            <w:right w:val="none" w:sz="0" w:space="0"/>
          </w:pgBorders>
          <w:cols w:space="720" w:num="1"/>
          <w:docGrid w:type="lines" w:linePitch="312" w:charSpace="0"/>
        </w:sectPr>
      </w:pPr>
    </w:p>
    <w:p w14:paraId="7D643F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经分析，项目运营期外排废水</w:t>
      </w:r>
      <w:r>
        <w:rPr>
          <w:rFonts w:hint="default" w:ascii="Times New Roman" w:hAnsi="Times New Roman" w:eastAsia="宋体" w:cs="Times New Roman"/>
          <w:color w:val="auto"/>
          <w:sz w:val="24"/>
          <w:szCs w:val="24"/>
          <w:highlight w:val="none"/>
          <w:u w:val="none" w:color="auto"/>
          <w:lang w:eastAsia="zh-CN"/>
        </w:rPr>
        <w:t>主要为生活污水</w:t>
      </w:r>
      <w:r>
        <w:rPr>
          <w:rFonts w:hint="eastAsia" w:ascii="Times New Roman" w:hAnsi="Times New Roman" w:eastAsia="宋体" w:cs="Times New Roman"/>
          <w:color w:val="auto"/>
          <w:sz w:val="24"/>
          <w:szCs w:val="24"/>
          <w:highlight w:val="none"/>
          <w:u w:val="none" w:color="auto"/>
          <w:lang w:val="en-US" w:eastAsia="zh-CN"/>
        </w:rPr>
        <w:t>及机加工车间卫生废水、容器清洗废水、直接冷却废水</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外排废水</w:t>
      </w:r>
      <w:r>
        <w:rPr>
          <w:rFonts w:hint="default" w:ascii="Times New Roman" w:hAnsi="Times New Roman" w:eastAsia="宋体" w:cs="Times New Roman"/>
          <w:color w:val="auto"/>
          <w:sz w:val="24"/>
          <w:szCs w:val="24"/>
          <w:highlight w:val="none"/>
          <w:u w:val="none" w:color="auto"/>
          <w:lang w:eastAsia="zh-CN"/>
        </w:rPr>
        <w:t>各污染因子</w:t>
      </w:r>
      <w:r>
        <w:rPr>
          <w:rFonts w:hint="default" w:ascii="Times New Roman" w:hAnsi="Times New Roman" w:eastAsia="宋体" w:cs="Times New Roman"/>
          <w:color w:val="auto"/>
          <w:sz w:val="24"/>
          <w:szCs w:val="24"/>
          <w:highlight w:val="none"/>
          <w:u w:val="none" w:color="auto"/>
        </w:rPr>
        <w:t>能够满足《污水综合排放标准》（GB8978-1996）表4 三级标准、《污水排入城镇下水道水质标准》（GB/T31962-2015）B等级标准，同时满足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进水水质要求，项目运营期废水能达标排放。</w:t>
      </w:r>
    </w:p>
    <w:p w14:paraId="3F571F48">
      <w:pPr>
        <w:jc w:val="center"/>
        <w:rPr>
          <w:rFonts w:hint="default" w:ascii="Times New Roman" w:hAnsi="Times New Roman" w:eastAsia="宋体" w:cs="Times New Roman"/>
          <w:b/>
          <w:color w:val="auto"/>
          <w:kern w:val="2"/>
          <w:sz w:val="21"/>
          <w:szCs w:val="18"/>
          <w:highlight w:val="none"/>
          <w:u w:val="none" w:color="auto"/>
          <w:lang w:val="en-US" w:eastAsia="zh-CN" w:bidi="ar-SA"/>
        </w:rPr>
      </w:pPr>
      <w:r>
        <w:rPr>
          <w:rFonts w:hint="default" w:ascii="Times New Roman" w:hAnsi="Times New Roman" w:eastAsia="宋体" w:cs="Times New Roman"/>
          <w:b/>
          <w:color w:val="auto"/>
          <w:kern w:val="2"/>
          <w:sz w:val="21"/>
          <w:szCs w:val="18"/>
          <w:highlight w:val="none"/>
          <w:u w:val="none" w:color="auto"/>
          <w:lang w:val="en-US" w:eastAsia="zh-CN" w:bidi="ar-SA"/>
        </w:rPr>
        <w:t>表4.4-12本项目废水排放情况一览表</w:t>
      </w:r>
    </w:p>
    <w:tbl>
      <w:tblPr>
        <w:tblStyle w:val="22"/>
        <w:tblW w:w="498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9"/>
        <w:gridCol w:w="1381"/>
        <w:gridCol w:w="1291"/>
        <w:gridCol w:w="2120"/>
        <w:gridCol w:w="2124"/>
        <w:gridCol w:w="1298"/>
      </w:tblGrid>
      <w:tr w14:paraId="75897A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pct"/>
            <w:vMerge w:val="restart"/>
            <w:vAlign w:val="center"/>
          </w:tcPr>
          <w:p w14:paraId="55CEE0D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w:t>
            </w:r>
          </w:p>
        </w:tc>
        <w:tc>
          <w:tcPr>
            <w:tcW w:w="1453" w:type="pct"/>
            <w:gridSpan w:val="2"/>
            <w:vAlign w:val="center"/>
          </w:tcPr>
          <w:p w14:paraId="471F20F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实际排放情况</w:t>
            </w:r>
          </w:p>
        </w:tc>
        <w:tc>
          <w:tcPr>
            <w:tcW w:w="1153" w:type="pct"/>
            <w:vMerge w:val="restart"/>
            <w:vAlign w:val="center"/>
          </w:tcPr>
          <w:p w14:paraId="11B5CF6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许可排放浓度</w:t>
            </w:r>
          </w:p>
          <w:p w14:paraId="0348A7D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1859" w:type="pct"/>
            <w:gridSpan w:val="2"/>
            <w:vAlign w:val="center"/>
          </w:tcPr>
          <w:p w14:paraId="26EF12B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排放情况</w:t>
            </w:r>
          </w:p>
          <w:p w14:paraId="2B90AF2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eastAsia="zh-CN"/>
              </w:rPr>
              <w:t>松木污水处理厂</w:t>
            </w:r>
            <w:r>
              <w:rPr>
                <w:rFonts w:hint="default" w:ascii="Times New Roman" w:hAnsi="Times New Roman" w:eastAsia="宋体" w:cs="Times New Roman"/>
                <w:color w:val="auto"/>
                <w:sz w:val="21"/>
                <w:szCs w:val="21"/>
                <w:highlight w:val="none"/>
                <w:u w:val="none" w:color="auto"/>
              </w:rPr>
              <w:t>处理后排放量）</w:t>
            </w:r>
          </w:p>
        </w:tc>
      </w:tr>
      <w:tr w14:paraId="70552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pct"/>
            <w:vMerge w:val="continue"/>
            <w:vAlign w:val="center"/>
          </w:tcPr>
          <w:p w14:paraId="421D2BC6">
            <w:pPr>
              <w:spacing w:line="240" w:lineRule="auto"/>
              <w:jc w:val="center"/>
              <w:rPr>
                <w:rFonts w:hint="default" w:ascii="Times New Roman" w:hAnsi="Times New Roman" w:eastAsia="宋体" w:cs="Times New Roman"/>
                <w:color w:val="auto"/>
                <w:sz w:val="21"/>
                <w:szCs w:val="21"/>
                <w:highlight w:val="none"/>
                <w:u w:val="none" w:color="auto"/>
              </w:rPr>
            </w:pPr>
          </w:p>
        </w:tc>
        <w:tc>
          <w:tcPr>
            <w:tcW w:w="751" w:type="pct"/>
            <w:vAlign w:val="center"/>
          </w:tcPr>
          <w:p w14:paraId="5021E0D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排放浓度（mg/L）</w:t>
            </w:r>
          </w:p>
        </w:tc>
        <w:tc>
          <w:tcPr>
            <w:tcW w:w="702" w:type="pct"/>
            <w:vAlign w:val="center"/>
          </w:tcPr>
          <w:p w14:paraId="42086BD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排放量（t/a）</w:t>
            </w:r>
          </w:p>
        </w:tc>
        <w:tc>
          <w:tcPr>
            <w:tcW w:w="1153" w:type="pct"/>
            <w:vMerge w:val="continue"/>
            <w:vAlign w:val="center"/>
          </w:tcPr>
          <w:p w14:paraId="21B709A3">
            <w:pPr>
              <w:spacing w:line="240" w:lineRule="auto"/>
              <w:jc w:val="center"/>
              <w:rPr>
                <w:rFonts w:hint="default" w:ascii="Times New Roman" w:hAnsi="Times New Roman" w:eastAsia="宋体" w:cs="Times New Roman"/>
                <w:color w:val="auto"/>
                <w:sz w:val="21"/>
                <w:szCs w:val="21"/>
                <w:highlight w:val="none"/>
                <w:u w:val="none" w:color="auto"/>
              </w:rPr>
            </w:pPr>
          </w:p>
        </w:tc>
        <w:tc>
          <w:tcPr>
            <w:tcW w:w="1155" w:type="pct"/>
            <w:vAlign w:val="center"/>
          </w:tcPr>
          <w:p w14:paraId="79104D9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排放浓度（mg/L）</w:t>
            </w:r>
          </w:p>
        </w:tc>
        <w:tc>
          <w:tcPr>
            <w:tcW w:w="703" w:type="pct"/>
            <w:vAlign w:val="center"/>
          </w:tcPr>
          <w:p w14:paraId="3B70D12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排放量（t/a）</w:t>
            </w:r>
          </w:p>
        </w:tc>
      </w:tr>
      <w:tr w14:paraId="284B8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pct"/>
            <w:vAlign w:val="center"/>
          </w:tcPr>
          <w:p w14:paraId="4B54607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废水量</w:t>
            </w:r>
          </w:p>
        </w:tc>
        <w:tc>
          <w:tcPr>
            <w:tcW w:w="4466" w:type="pct"/>
            <w:gridSpan w:val="5"/>
            <w:vAlign w:val="center"/>
          </w:tcPr>
          <w:p w14:paraId="033259E5">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14160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r>
      <w:tr w14:paraId="755D1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pct"/>
            <w:vAlign w:val="center"/>
          </w:tcPr>
          <w:p w14:paraId="66F7805F">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SS</w:t>
            </w:r>
          </w:p>
        </w:tc>
        <w:tc>
          <w:tcPr>
            <w:tcW w:w="1275" w:type="dxa"/>
            <w:vAlign w:val="center"/>
          </w:tcPr>
          <w:p w14:paraId="317BC86F">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96.89</w:t>
            </w:r>
          </w:p>
        </w:tc>
        <w:tc>
          <w:tcPr>
            <w:tcW w:w="1193" w:type="dxa"/>
            <w:vAlign w:val="center"/>
          </w:tcPr>
          <w:p w14:paraId="49BA68AC">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1.372</w:t>
            </w:r>
          </w:p>
        </w:tc>
        <w:tc>
          <w:tcPr>
            <w:tcW w:w="1959" w:type="dxa"/>
            <w:vAlign w:val="center"/>
          </w:tcPr>
          <w:p w14:paraId="56C8E793">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250</w:t>
            </w:r>
          </w:p>
        </w:tc>
        <w:tc>
          <w:tcPr>
            <w:tcW w:w="1961" w:type="dxa"/>
            <w:vAlign w:val="center"/>
          </w:tcPr>
          <w:p w14:paraId="78EBE18D">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20</w:t>
            </w:r>
          </w:p>
        </w:tc>
        <w:tc>
          <w:tcPr>
            <w:tcW w:w="1195" w:type="dxa"/>
            <w:vAlign w:val="center"/>
          </w:tcPr>
          <w:p w14:paraId="1BEB32F1">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0.283</w:t>
            </w:r>
          </w:p>
        </w:tc>
      </w:tr>
      <w:tr w14:paraId="2B04E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pct"/>
            <w:vAlign w:val="center"/>
          </w:tcPr>
          <w:p w14:paraId="2218BB7A">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COD</w:t>
            </w:r>
          </w:p>
        </w:tc>
        <w:tc>
          <w:tcPr>
            <w:tcW w:w="1275" w:type="dxa"/>
            <w:vAlign w:val="center"/>
          </w:tcPr>
          <w:p w14:paraId="0623BBA0">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178.67</w:t>
            </w:r>
          </w:p>
        </w:tc>
        <w:tc>
          <w:tcPr>
            <w:tcW w:w="1193" w:type="dxa"/>
            <w:vAlign w:val="center"/>
          </w:tcPr>
          <w:p w14:paraId="659206D9">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2.53</w:t>
            </w:r>
          </w:p>
        </w:tc>
        <w:tc>
          <w:tcPr>
            <w:tcW w:w="1959" w:type="dxa"/>
            <w:vAlign w:val="center"/>
          </w:tcPr>
          <w:p w14:paraId="667AEF41">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300</w:t>
            </w:r>
          </w:p>
        </w:tc>
        <w:tc>
          <w:tcPr>
            <w:tcW w:w="1961" w:type="dxa"/>
            <w:vAlign w:val="center"/>
          </w:tcPr>
          <w:p w14:paraId="76E678E0">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60</w:t>
            </w:r>
          </w:p>
        </w:tc>
        <w:tc>
          <w:tcPr>
            <w:tcW w:w="1195" w:type="dxa"/>
            <w:vAlign w:val="center"/>
          </w:tcPr>
          <w:p w14:paraId="4D99ABF8">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0.85</w:t>
            </w:r>
          </w:p>
        </w:tc>
      </w:tr>
      <w:tr w14:paraId="46FC54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pct"/>
            <w:vAlign w:val="center"/>
          </w:tcPr>
          <w:p w14:paraId="4243E18D">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氨氮</w:t>
            </w:r>
          </w:p>
        </w:tc>
        <w:tc>
          <w:tcPr>
            <w:tcW w:w="1275" w:type="dxa"/>
            <w:vAlign w:val="center"/>
          </w:tcPr>
          <w:p w14:paraId="6A946180">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16.95</w:t>
            </w:r>
          </w:p>
        </w:tc>
        <w:tc>
          <w:tcPr>
            <w:tcW w:w="1193" w:type="dxa"/>
            <w:vAlign w:val="center"/>
          </w:tcPr>
          <w:p w14:paraId="74DADF77">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0.24</w:t>
            </w:r>
          </w:p>
        </w:tc>
        <w:tc>
          <w:tcPr>
            <w:tcW w:w="1959" w:type="dxa"/>
            <w:vAlign w:val="center"/>
          </w:tcPr>
          <w:p w14:paraId="71B9011A">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25</w:t>
            </w:r>
          </w:p>
        </w:tc>
        <w:tc>
          <w:tcPr>
            <w:tcW w:w="1961" w:type="dxa"/>
            <w:vAlign w:val="center"/>
          </w:tcPr>
          <w:p w14:paraId="36B85D48">
            <w:pPr>
              <w:snapToGrid w:val="0"/>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bCs/>
                <w:color w:val="auto"/>
                <w:sz w:val="21"/>
                <w:szCs w:val="21"/>
                <w:highlight w:val="none"/>
                <w:u w:val="none" w:color="auto"/>
                <w:lang w:val="en-US" w:eastAsia="zh-CN"/>
              </w:rPr>
              <w:t>15</w:t>
            </w:r>
          </w:p>
        </w:tc>
        <w:tc>
          <w:tcPr>
            <w:tcW w:w="1195" w:type="dxa"/>
            <w:vAlign w:val="center"/>
          </w:tcPr>
          <w:p w14:paraId="4A998608">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0.18</w:t>
            </w:r>
          </w:p>
        </w:tc>
      </w:tr>
      <w:tr w14:paraId="1323E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pct"/>
            <w:vAlign w:val="center"/>
          </w:tcPr>
          <w:p w14:paraId="357A6B65">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eastAsia="zh-CN"/>
              </w:rPr>
              <w:t>总磷</w:t>
            </w:r>
          </w:p>
        </w:tc>
        <w:tc>
          <w:tcPr>
            <w:tcW w:w="1275" w:type="dxa"/>
            <w:vAlign w:val="center"/>
          </w:tcPr>
          <w:p w14:paraId="12A9FCA0">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2.54</w:t>
            </w:r>
          </w:p>
        </w:tc>
        <w:tc>
          <w:tcPr>
            <w:tcW w:w="1193" w:type="dxa"/>
            <w:vAlign w:val="center"/>
          </w:tcPr>
          <w:p w14:paraId="01AF1181">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0.036</w:t>
            </w:r>
          </w:p>
        </w:tc>
        <w:tc>
          <w:tcPr>
            <w:tcW w:w="1959" w:type="dxa"/>
            <w:vAlign w:val="center"/>
          </w:tcPr>
          <w:p w14:paraId="1D322C42">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4</w:t>
            </w:r>
          </w:p>
        </w:tc>
        <w:tc>
          <w:tcPr>
            <w:tcW w:w="1961" w:type="dxa"/>
            <w:vAlign w:val="center"/>
          </w:tcPr>
          <w:p w14:paraId="34C9D412">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1</w:t>
            </w:r>
          </w:p>
        </w:tc>
        <w:tc>
          <w:tcPr>
            <w:tcW w:w="1195" w:type="dxa"/>
            <w:vAlign w:val="center"/>
          </w:tcPr>
          <w:p w14:paraId="5BFE47E1">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0.012</w:t>
            </w:r>
          </w:p>
        </w:tc>
      </w:tr>
      <w:tr w14:paraId="4EFD9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vAlign w:val="center"/>
          </w:tcPr>
          <w:p w14:paraId="08627745">
            <w:pPr>
              <w:spacing w:line="240" w:lineRule="auto"/>
              <w:rPr>
                <w:rFonts w:hint="default" w:ascii="Times New Roman" w:hAnsi="Times New Roman" w:eastAsia="宋体" w:cs="Times New Roman"/>
                <w:color w:val="auto"/>
                <w:sz w:val="21"/>
                <w:szCs w:val="21"/>
                <w:highlight w:val="none"/>
                <w:u w:val="none" w:color="auto"/>
              </w:rPr>
            </w:pPr>
            <w:bookmarkStart w:id="40" w:name="OLE_LINK14"/>
            <w:bookmarkStart w:id="41" w:name="OLE_LINK15"/>
            <w:r>
              <w:rPr>
                <w:rFonts w:hint="default" w:ascii="Times New Roman" w:hAnsi="Times New Roman" w:eastAsia="宋体" w:cs="Times New Roman"/>
                <w:color w:val="auto"/>
                <w:sz w:val="21"/>
                <w:szCs w:val="21"/>
                <w:highlight w:val="none"/>
                <w:u w:val="none" w:color="auto"/>
              </w:rPr>
              <w:t>注：（1）实际排放情况为本项目废水</w:t>
            </w:r>
            <w:r>
              <w:rPr>
                <w:rFonts w:hint="eastAsia" w:ascii="Times New Roman" w:hAnsi="Times New Roman" w:eastAsia="宋体" w:cs="Times New Roman"/>
                <w:color w:val="auto"/>
                <w:sz w:val="21"/>
                <w:szCs w:val="21"/>
                <w:highlight w:val="none"/>
                <w:u w:val="none" w:color="auto"/>
                <w:lang w:val="en-US" w:eastAsia="zh-CN"/>
              </w:rPr>
              <w:t>合计</w:t>
            </w:r>
            <w:r>
              <w:rPr>
                <w:rFonts w:hint="default" w:ascii="Times New Roman" w:hAnsi="Times New Roman" w:eastAsia="宋体" w:cs="Times New Roman"/>
                <w:color w:val="auto"/>
                <w:sz w:val="21"/>
                <w:szCs w:val="21"/>
                <w:highlight w:val="none"/>
                <w:u w:val="none" w:color="auto"/>
              </w:rPr>
              <w:t>排放情况；</w:t>
            </w:r>
          </w:p>
          <w:p w14:paraId="74E44582">
            <w:pPr>
              <w:spacing w:line="240" w:lineRule="auto"/>
              <w:ind w:firstLine="420" w:firstLineChars="20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（2）许可排放浓度：执行《污水综合排放标准》（GB8978-1996）表4 三级标准、《污水排入城镇下水道水质标准》（GB/T31962-2015）B等级标准，同时满足</w:t>
            </w:r>
            <w:r>
              <w:rPr>
                <w:rFonts w:hint="default" w:ascii="Times New Roman" w:hAnsi="Times New Roman" w:eastAsia="宋体" w:cs="Times New Roman"/>
                <w:color w:val="auto"/>
                <w:sz w:val="21"/>
                <w:szCs w:val="21"/>
                <w:highlight w:val="none"/>
                <w:u w:val="none" w:color="auto"/>
                <w:lang w:eastAsia="zh-CN"/>
              </w:rPr>
              <w:t>松木污水处理厂</w:t>
            </w:r>
            <w:r>
              <w:rPr>
                <w:rFonts w:hint="default" w:ascii="Times New Roman" w:hAnsi="Times New Roman" w:eastAsia="宋体" w:cs="Times New Roman"/>
                <w:color w:val="auto"/>
                <w:sz w:val="21"/>
                <w:szCs w:val="21"/>
                <w:highlight w:val="none"/>
                <w:u w:val="none" w:color="auto"/>
              </w:rPr>
              <w:t>进水水质要求；</w:t>
            </w:r>
          </w:p>
          <w:p w14:paraId="4B12942A">
            <w:pPr>
              <w:spacing w:line="240" w:lineRule="auto"/>
              <w:ind w:firstLine="420" w:firstLineChars="200"/>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（3）排放浓度：</w:t>
            </w:r>
            <w:bookmarkEnd w:id="40"/>
            <w:bookmarkEnd w:id="41"/>
            <w:r>
              <w:rPr>
                <w:rFonts w:hint="eastAsia" w:ascii="Times New Roman" w:hAnsi="Times New Roman" w:eastAsia="宋体" w:cs="Times New Roman"/>
                <w:color w:val="auto"/>
                <w:sz w:val="21"/>
                <w:szCs w:val="21"/>
                <w:highlight w:val="none"/>
                <w:u w:val="none" w:color="auto"/>
                <w:lang w:eastAsia="zh-CN"/>
              </w:rPr>
              <w:t>《城镇污水处理厂污染物排放标准》（GB18918-2002）中的表1一级B标准</w:t>
            </w:r>
            <w:r>
              <w:rPr>
                <w:rFonts w:hint="default" w:ascii="Times New Roman" w:hAnsi="Times New Roman" w:eastAsia="宋体" w:cs="Times New Roman"/>
                <w:color w:val="auto"/>
                <w:sz w:val="21"/>
                <w:szCs w:val="21"/>
                <w:highlight w:val="none"/>
                <w:u w:val="none" w:color="auto"/>
              </w:rPr>
              <w:t>。</w:t>
            </w:r>
          </w:p>
        </w:tc>
      </w:tr>
    </w:tbl>
    <w:p w14:paraId="4486A460">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4.4.3营运期噪声</w:t>
      </w:r>
    </w:p>
    <w:p w14:paraId="3E58C2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项目运营期噪声主要来自</w:t>
      </w:r>
      <w:r>
        <w:rPr>
          <w:rFonts w:hint="default" w:ascii="Times New Roman" w:hAnsi="Times New Roman" w:eastAsia="宋体" w:cs="Times New Roman"/>
          <w:color w:val="auto"/>
          <w:sz w:val="24"/>
          <w:szCs w:val="24"/>
          <w:highlight w:val="none"/>
          <w:u w:val="none" w:color="auto"/>
          <w:lang w:eastAsia="zh-CN"/>
        </w:rPr>
        <w:t>车床、磨床、风机、液压机</w:t>
      </w:r>
      <w:r>
        <w:rPr>
          <w:rFonts w:hint="default" w:ascii="Times New Roman" w:hAnsi="Times New Roman" w:eastAsia="宋体" w:cs="Times New Roman"/>
          <w:color w:val="auto"/>
          <w:sz w:val="24"/>
          <w:szCs w:val="24"/>
          <w:highlight w:val="none"/>
          <w:u w:val="none" w:color="auto"/>
        </w:rPr>
        <w:t>等，根据《污染源源强核算技术指南电镀》（HJ984-2018），本项目运营期噪声污染源强详见下表：</w:t>
      </w:r>
    </w:p>
    <w:p w14:paraId="4EDE4D25">
      <w:pPr>
        <w:jc w:val="center"/>
        <w:rPr>
          <w:rFonts w:hint="default" w:ascii="Times New Roman" w:hAnsi="Times New Roman" w:eastAsia="宋体" w:cs="Times New Roman"/>
          <w:b/>
          <w:color w:val="auto"/>
          <w:kern w:val="2"/>
          <w:sz w:val="21"/>
          <w:szCs w:val="18"/>
          <w:highlight w:val="none"/>
          <w:u w:val="none" w:color="auto"/>
          <w:lang w:val="en-US" w:eastAsia="zh-CN" w:bidi="ar-SA"/>
        </w:rPr>
      </w:pPr>
      <w:r>
        <w:rPr>
          <w:rFonts w:hint="default" w:ascii="Times New Roman" w:hAnsi="Times New Roman" w:eastAsia="宋体" w:cs="Times New Roman"/>
          <w:b/>
          <w:color w:val="auto"/>
          <w:kern w:val="2"/>
          <w:sz w:val="21"/>
          <w:szCs w:val="18"/>
          <w:highlight w:val="none"/>
          <w:u w:val="none" w:color="auto"/>
          <w:lang w:val="en-US" w:eastAsia="zh-CN" w:bidi="ar-SA"/>
        </w:rPr>
        <w:t>表4.4-13项目运营期噪声污染源强</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3"/>
        <w:gridCol w:w="796"/>
        <w:gridCol w:w="689"/>
        <w:gridCol w:w="850"/>
        <w:gridCol w:w="957"/>
        <w:gridCol w:w="1066"/>
        <w:gridCol w:w="1278"/>
        <w:gridCol w:w="894"/>
        <w:gridCol w:w="853"/>
        <w:gridCol w:w="894"/>
      </w:tblGrid>
      <w:tr w14:paraId="3BD87A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Merge w:val="restart"/>
            <w:vAlign w:val="center"/>
          </w:tcPr>
          <w:p w14:paraId="3599D3A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主要生产单元</w:t>
            </w:r>
          </w:p>
        </w:tc>
        <w:tc>
          <w:tcPr>
            <w:tcW w:w="431" w:type="pct"/>
            <w:vMerge w:val="restart"/>
            <w:vAlign w:val="center"/>
          </w:tcPr>
          <w:p w14:paraId="2FF3A2E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工艺</w:t>
            </w:r>
          </w:p>
        </w:tc>
        <w:tc>
          <w:tcPr>
            <w:tcW w:w="373" w:type="pct"/>
            <w:vMerge w:val="restart"/>
            <w:vAlign w:val="center"/>
          </w:tcPr>
          <w:p w14:paraId="54AFC24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生产设施</w:t>
            </w:r>
          </w:p>
        </w:tc>
        <w:tc>
          <w:tcPr>
            <w:tcW w:w="460" w:type="pct"/>
            <w:vMerge w:val="restart"/>
            <w:vAlign w:val="center"/>
          </w:tcPr>
          <w:p w14:paraId="655AACF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声源类型</w:t>
            </w:r>
          </w:p>
        </w:tc>
        <w:tc>
          <w:tcPr>
            <w:tcW w:w="1095" w:type="pct"/>
            <w:gridSpan w:val="2"/>
            <w:vAlign w:val="center"/>
          </w:tcPr>
          <w:p w14:paraId="7B7525D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噪声产生量</w:t>
            </w:r>
          </w:p>
        </w:tc>
        <w:tc>
          <w:tcPr>
            <w:tcW w:w="1176" w:type="pct"/>
            <w:gridSpan w:val="2"/>
            <w:vAlign w:val="center"/>
          </w:tcPr>
          <w:p w14:paraId="400C9E2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降噪措施</w:t>
            </w:r>
          </w:p>
        </w:tc>
        <w:tc>
          <w:tcPr>
            <w:tcW w:w="946" w:type="pct"/>
            <w:gridSpan w:val="2"/>
            <w:vAlign w:val="center"/>
          </w:tcPr>
          <w:p w14:paraId="5DE7F68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噪声排放量</w:t>
            </w:r>
          </w:p>
        </w:tc>
      </w:tr>
      <w:tr w14:paraId="52678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Merge w:val="continue"/>
            <w:vAlign w:val="center"/>
          </w:tcPr>
          <w:p w14:paraId="6EA12CDA">
            <w:pPr>
              <w:spacing w:line="240" w:lineRule="auto"/>
              <w:jc w:val="center"/>
              <w:rPr>
                <w:rFonts w:hint="default" w:ascii="Times New Roman" w:hAnsi="Times New Roman" w:eastAsia="宋体" w:cs="Times New Roman"/>
                <w:color w:val="auto"/>
                <w:sz w:val="21"/>
                <w:szCs w:val="21"/>
                <w:highlight w:val="none"/>
                <w:u w:val="none" w:color="auto"/>
              </w:rPr>
            </w:pPr>
          </w:p>
        </w:tc>
        <w:tc>
          <w:tcPr>
            <w:tcW w:w="431" w:type="pct"/>
            <w:vMerge w:val="continue"/>
            <w:vAlign w:val="center"/>
          </w:tcPr>
          <w:p w14:paraId="1353115F">
            <w:pPr>
              <w:spacing w:line="240" w:lineRule="auto"/>
              <w:jc w:val="center"/>
              <w:rPr>
                <w:rFonts w:hint="default" w:ascii="Times New Roman" w:hAnsi="Times New Roman" w:eastAsia="宋体" w:cs="Times New Roman"/>
                <w:color w:val="auto"/>
                <w:sz w:val="21"/>
                <w:szCs w:val="21"/>
                <w:highlight w:val="none"/>
                <w:u w:val="none" w:color="auto"/>
              </w:rPr>
            </w:pPr>
          </w:p>
        </w:tc>
        <w:tc>
          <w:tcPr>
            <w:tcW w:w="373" w:type="pct"/>
            <w:vMerge w:val="continue"/>
            <w:vAlign w:val="center"/>
          </w:tcPr>
          <w:p w14:paraId="2C003B3A">
            <w:pPr>
              <w:spacing w:line="240" w:lineRule="auto"/>
              <w:jc w:val="center"/>
              <w:rPr>
                <w:rFonts w:hint="default" w:ascii="Times New Roman" w:hAnsi="Times New Roman" w:eastAsia="宋体" w:cs="Times New Roman"/>
                <w:color w:val="auto"/>
                <w:sz w:val="21"/>
                <w:szCs w:val="21"/>
                <w:highlight w:val="none"/>
                <w:u w:val="none" w:color="auto"/>
              </w:rPr>
            </w:pPr>
          </w:p>
        </w:tc>
        <w:tc>
          <w:tcPr>
            <w:tcW w:w="460" w:type="pct"/>
            <w:vMerge w:val="continue"/>
            <w:vAlign w:val="center"/>
          </w:tcPr>
          <w:p w14:paraId="4AC7AFE6">
            <w:pPr>
              <w:spacing w:line="240" w:lineRule="auto"/>
              <w:jc w:val="center"/>
              <w:rPr>
                <w:rFonts w:hint="default" w:ascii="Times New Roman" w:hAnsi="Times New Roman" w:eastAsia="宋体" w:cs="Times New Roman"/>
                <w:color w:val="auto"/>
                <w:sz w:val="21"/>
                <w:szCs w:val="21"/>
                <w:highlight w:val="none"/>
                <w:u w:val="none" w:color="auto"/>
              </w:rPr>
            </w:pPr>
          </w:p>
        </w:tc>
        <w:tc>
          <w:tcPr>
            <w:tcW w:w="518" w:type="pct"/>
            <w:vAlign w:val="center"/>
          </w:tcPr>
          <w:p w14:paraId="32C4EFD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核算方法</w:t>
            </w:r>
          </w:p>
        </w:tc>
        <w:tc>
          <w:tcPr>
            <w:tcW w:w="577" w:type="pct"/>
            <w:vAlign w:val="center"/>
          </w:tcPr>
          <w:p w14:paraId="123D34B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噪声值</w:t>
            </w:r>
          </w:p>
          <w:p w14:paraId="7411D5A1">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dB(A)</w:t>
            </w:r>
          </w:p>
        </w:tc>
        <w:tc>
          <w:tcPr>
            <w:tcW w:w="692" w:type="pct"/>
            <w:vAlign w:val="center"/>
          </w:tcPr>
          <w:p w14:paraId="6FD61CD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工艺</w:t>
            </w:r>
          </w:p>
        </w:tc>
        <w:tc>
          <w:tcPr>
            <w:tcW w:w="484" w:type="pct"/>
            <w:vAlign w:val="center"/>
          </w:tcPr>
          <w:p w14:paraId="31E0BE2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降噪效果</w:t>
            </w:r>
          </w:p>
        </w:tc>
        <w:tc>
          <w:tcPr>
            <w:tcW w:w="462" w:type="pct"/>
            <w:vAlign w:val="center"/>
          </w:tcPr>
          <w:p w14:paraId="7005309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核算方法</w:t>
            </w:r>
          </w:p>
        </w:tc>
        <w:tc>
          <w:tcPr>
            <w:tcW w:w="484" w:type="pct"/>
            <w:vAlign w:val="center"/>
          </w:tcPr>
          <w:p w14:paraId="0739E38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噪声值</w:t>
            </w:r>
          </w:p>
          <w:p w14:paraId="3D437A21">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dB(A)</w:t>
            </w:r>
          </w:p>
        </w:tc>
      </w:tr>
      <w:tr w14:paraId="2C519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14:paraId="5E2E043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机加工</w:t>
            </w:r>
          </w:p>
        </w:tc>
        <w:tc>
          <w:tcPr>
            <w:tcW w:w="431" w:type="pct"/>
            <w:vAlign w:val="center"/>
          </w:tcPr>
          <w:p w14:paraId="0B78458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机加工</w:t>
            </w:r>
          </w:p>
        </w:tc>
        <w:tc>
          <w:tcPr>
            <w:tcW w:w="373" w:type="pct"/>
            <w:vAlign w:val="center"/>
          </w:tcPr>
          <w:p w14:paraId="6021FEE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液压机</w:t>
            </w:r>
          </w:p>
        </w:tc>
        <w:tc>
          <w:tcPr>
            <w:tcW w:w="460" w:type="pct"/>
            <w:vAlign w:val="center"/>
          </w:tcPr>
          <w:p w14:paraId="49274F8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频发</w:t>
            </w:r>
          </w:p>
        </w:tc>
        <w:tc>
          <w:tcPr>
            <w:tcW w:w="518" w:type="pct"/>
            <w:vAlign w:val="center"/>
          </w:tcPr>
          <w:p w14:paraId="1A91A10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类比法</w:t>
            </w:r>
          </w:p>
        </w:tc>
        <w:tc>
          <w:tcPr>
            <w:tcW w:w="577" w:type="pct"/>
            <w:vAlign w:val="center"/>
          </w:tcPr>
          <w:p w14:paraId="747CCC9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85~</w:t>
            </w:r>
            <w:r>
              <w:rPr>
                <w:rFonts w:hint="default" w:ascii="Times New Roman" w:hAnsi="Times New Roman" w:eastAsia="宋体" w:cs="Times New Roman"/>
                <w:color w:val="auto"/>
                <w:sz w:val="21"/>
                <w:szCs w:val="21"/>
                <w:highlight w:val="none"/>
                <w:u w:val="none" w:color="auto"/>
                <w:lang w:val="en-US" w:eastAsia="zh-CN"/>
              </w:rPr>
              <w:t>90</w:t>
            </w:r>
          </w:p>
        </w:tc>
        <w:tc>
          <w:tcPr>
            <w:tcW w:w="692" w:type="pct"/>
            <w:vAlign w:val="center"/>
          </w:tcPr>
          <w:p w14:paraId="4D18C1A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厂房隔声、减震</w:t>
            </w:r>
          </w:p>
        </w:tc>
        <w:tc>
          <w:tcPr>
            <w:tcW w:w="484" w:type="pct"/>
            <w:vAlign w:val="center"/>
          </w:tcPr>
          <w:p w14:paraId="5679C8A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20~35</w:t>
            </w:r>
          </w:p>
        </w:tc>
        <w:tc>
          <w:tcPr>
            <w:tcW w:w="462" w:type="pct"/>
            <w:vAlign w:val="center"/>
          </w:tcPr>
          <w:p w14:paraId="4426FAF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类比法</w:t>
            </w:r>
          </w:p>
        </w:tc>
        <w:tc>
          <w:tcPr>
            <w:tcW w:w="484" w:type="pct"/>
            <w:vAlign w:val="center"/>
          </w:tcPr>
          <w:p w14:paraId="1D99B1B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75</w:t>
            </w:r>
          </w:p>
        </w:tc>
      </w:tr>
      <w:tr w14:paraId="454F8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14:paraId="0D5DB02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p w14:paraId="3EC2D53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处理</w:t>
            </w:r>
          </w:p>
        </w:tc>
        <w:tc>
          <w:tcPr>
            <w:tcW w:w="431" w:type="pct"/>
            <w:vAlign w:val="center"/>
          </w:tcPr>
          <w:p w14:paraId="276DE16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废气处理</w:t>
            </w:r>
          </w:p>
        </w:tc>
        <w:tc>
          <w:tcPr>
            <w:tcW w:w="373" w:type="pct"/>
            <w:vAlign w:val="center"/>
          </w:tcPr>
          <w:p w14:paraId="310230D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风机</w:t>
            </w:r>
          </w:p>
        </w:tc>
        <w:tc>
          <w:tcPr>
            <w:tcW w:w="460" w:type="pct"/>
            <w:vAlign w:val="center"/>
          </w:tcPr>
          <w:p w14:paraId="0A4C1CB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频发</w:t>
            </w:r>
          </w:p>
        </w:tc>
        <w:tc>
          <w:tcPr>
            <w:tcW w:w="518" w:type="pct"/>
            <w:vAlign w:val="center"/>
          </w:tcPr>
          <w:p w14:paraId="5E0F7F3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类比法</w:t>
            </w:r>
          </w:p>
        </w:tc>
        <w:tc>
          <w:tcPr>
            <w:tcW w:w="577" w:type="pct"/>
            <w:vAlign w:val="center"/>
          </w:tcPr>
          <w:p w14:paraId="49D2E0B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85~90</w:t>
            </w:r>
          </w:p>
        </w:tc>
        <w:tc>
          <w:tcPr>
            <w:tcW w:w="692" w:type="pct"/>
            <w:vAlign w:val="center"/>
          </w:tcPr>
          <w:p w14:paraId="5AB8979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进风口消声、减震</w:t>
            </w:r>
          </w:p>
        </w:tc>
        <w:tc>
          <w:tcPr>
            <w:tcW w:w="484" w:type="pct"/>
            <w:vAlign w:val="center"/>
          </w:tcPr>
          <w:p w14:paraId="5221367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22~45</w:t>
            </w:r>
          </w:p>
        </w:tc>
        <w:tc>
          <w:tcPr>
            <w:tcW w:w="462" w:type="pct"/>
            <w:vAlign w:val="center"/>
          </w:tcPr>
          <w:p w14:paraId="75A29E9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类比法</w:t>
            </w:r>
          </w:p>
        </w:tc>
        <w:tc>
          <w:tcPr>
            <w:tcW w:w="484" w:type="pct"/>
            <w:vAlign w:val="center"/>
          </w:tcPr>
          <w:p w14:paraId="412BDFA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80</w:t>
            </w:r>
          </w:p>
        </w:tc>
      </w:tr>
      <w:tr w14:paraId="35EAD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pct"/>
            <w:vAlign w:val="center"/>
          </w:tcPr>
          <w:p w14:paraId="7BB1EF6D">
            <w:pPr>
              <w:spacing w:line="240" w:lineRule="auto"/>
              <w:jc w:val="center"/>
              <w:rPr>
                <w:rFonts w:hint="default" w:ascii="Times New Roman" w:hAnsi="Times New Roman" w:eastAsia="宋体" w:cs="Times New Roman"/>
                <w:color w:val="auto"/>
                <w:sz w:val="21"/>
                <w:szCs w:val="21"/>
                <w:highlight w:val="none"/>
                <w:u w:val="none" w:color="auto"/>
                <w:lang w:eastAsia="zh-CN"/>
              </w:rPr>
            </w:pPr>
            <w:bookmarkStart w:id="42" w:name="_Toc417774304"/>
            <w:bookmarkStart w:id="43" w:name="_Toc417774405"/>
            <w:r>
              <w:rPr>
                <w:rFonts w:hint="default" w:ascii="Times New Roman" w:hAnsi="Times New Roman" w:eastAsia="宋体" w:cs="Times New Roman"/>
                <w:color w:val="auto"/>
                <w:sz w:val="21"/>
                <w:szCs w:val="21"/>
                <w:highlight w:val="none"/>
                <w:u w:val="none" w:color="auto"/>
                <w:lang w:eastAsia="zh-CN"/>
              </w:rPr>
              <w:t>机加工</w:t>
            </w:r>
          </w:p>
        </w:tc>
        <w:tc>
          <w:tcPr>
            <w:tcW w:w="431" w:type="pct"/>
            <w:vAlign w:val="center"/>
          </w:tcPr>
          <w:p w14:paraId="16E3DF1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机加工</w:t>
            </w:r>
          </w:p>
        </w:tc>
        <w:tc>
          <w:tcPr>
            <w:tcW w:w="373" w:type="pct"/>
            <w:vAlign w:val="center"/>
          </w:tcPr>
          <w:p w14:paraId="107F9F8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数控车床</w:t>
            </w:r>
          </w:p>
        </w:tc>
        <w:tc>
          <w:tcPr>
            <w:tcW w:w="460" w:type="pct"/>
            <w:vAlign w:val="center"/>
          </w:tcPr>
          <w:p w14:paraId="5EAEFDF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频发</w:t>
            </w:r>
          </w:p>
        </w:tc>
        <w:tc>
          <w:tcPr>
            <w:tcW w:w="518" w:type="pct"/>
            <w:vAlign w:val="center"/>
          </w:tcPr>
          <w:p w14:paraId="246F319D">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类比法</w:t>
            </w:r>
          </w:p>
        </w:tc>
        <w:tc>
          <w:tcPr>
            <w:tcW w:w="577" w:type="pct"/>
            <w:vAlign w:val="center"/>
          </w:tcPr>
          <w:p w14:paraId="4DC13C3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80~90</w:t>
            </w:r>
          </w:p>
        </w:tc>
        <w:tc>
          <w:tcPr>
            <w:tcW w:w="692" w:type="pct"/>
            <w:vAlign w:val="center"/>
          </w:tcPr>
          <w:p w14:paraId="7CBEFF5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厂房隔声、减震</w:t>
            </w:r>
          </w:p>
        </w:tc>
        <w:tc>
          <w:tcPr>
            <w:tcW w:w="894" w:type="dxa"/>
            <w:vAlign w:val="center"/>
          </w:tcPr>
          <w:p w14:paraId="41D3DFA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20~35</w:t>
            </w:r>
          </w:p>
        </w:tc>
        <w:tc>
          <w:tcPr>
            <w:tcW w:w="853" w:type="dxa"/>
            <w:vAlign w:val="center"/>
          </w:tcPr>
          <w:p w14:paraId="1935511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类比法</w:t>
            </w:r>
          </w:p>
        </w:tc>
        <w:tc>
          <w:tcPr>
            <w:tcW w:w="894" w:type="dxa"/>
            <w:vAlign w:val="center"/>
          </w:tcPr>
          <w:p w14:paraId="364DCCD3">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70</w:t>
            </w:r>
          </w:p>
        </w:tc>
      </w:tr>
      <w:tr w14:paraId="0E4CE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vAlign w:val="center"/>
          </w:tcPr>
          <w:p w14:paraId="19F3CBA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机加工</w:t>
            </w:r>
          </w:p>
        </w:tc>
        <w:tc>
          <w:tcPr>
            <w:tcW w:w="796" w:type="dxa"/>
            <w:vAlign w:val="center"/>
          </w:tcPr>
          <w:p w14:paraId="7CF0876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机加工</w:t>
            </w:r>
          </w:p>
        </w:tc>
        <w:tc>
          <w:tcPr>
            <w:tcW w:w="373" w:type="pct"/>
            <w:vAlign w:val="center"/>
          </w:tcPr>
          <w:p w14:paraId="73E0444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磨床</w:t>
            </w:r>
          </w:p>
        </w:tc>
        <w:tc>
          <w:tcPr>
            <w:tcW w:w="850" w:type="dxa"/>
            <w:vAlign w:val="center"/>
          </w:tcPr>
          <w:p w14:paraId="6BEE639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频发</w:t>
            </w:r>
          </w:p>
        </w:tc>
        <w:tc>
          <w:tcPr>
            <w:tcW w:w="957" w:type="dxa"/>
            <w:vAlign w:val="center"/>
          </w:tcPr>
          <w:p w14:paraId="38F4CFF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类比法</w:t>
            </w:r>
          </w:p>
        </w:tc>
        <w:tc>
          <w:tcPr>
            <w:tcW w:w="1066" w:type="dxa"/>
            <w:vAlign w:val="center"/>
          </w:tcPr>
          <w:p w14:paraId="53E157B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80~90</w:t>
            </w:r>
          </w:p>
        </w:tc>
        <w:tc>
          <w:tcPr>
            <w:tcW w:w="1278" w:type="dxa"/>
            <w:vAlign w:val="center"/>
          </w:tcPr>
          <w:p w14:paraId="4AC4074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厂房隔声、减震</w:t>
            </w:r>
          </w:p>
        </w:tc>
        <w:tc>
          <w:tcPr>
            <w:tcW w:w="894" w:type="dxa"/>
            <w:vAlign w:val="center"/>
          </w:tcPr>
          <w:p w14:paraId="5C31266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20~35</w:t>
            </w:r>
          </w:p>
        </w:tc>
        <w:tc>
          <w:tcPr>
            <w:tcW w:w="853" w:type="dxa"/>
            <w:vAlign w:val="center"/>
          </w:tcPr>
          <w:p w14:paraId="10E7119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类比法</w:t>
            </w:r>
          </w:p>
        </w:tc>
        <w:tc>
          <w:tcPr>
            <w:tcW w:w="894" w:type="dxa"/>
            <w:vAlign w:val="center"/>
          </w:tcPr>
          <w:p w14:paraId="7CD178C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70</w:t>
            </w:r>
          </w:p>
        </w:tc>
      </w:tr>
    </w:tbl>
    <w:p w14:paraId="53C82C80">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4.4.4营运期固体废物</w:t>
      </w:r>
      <w:bookmarkEnd w:id="42"/>
      <w:bookmarkEnd w:id="43"/>
    </w:p>
    <w:p w14:paraId="2E552F47">
      <w:pPr>
        <w:pStyle w:val="7"/>
        <w:spacing w:line="56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项目所产生固体废弃物主要为一般工业固体废物（一般化学品废包装材料、不合格产品及边角料、铝材前处理槽渣、纯水站废过滤材料</w:t>
      </w:r>
      <w:r>
        <w:rPr>
          <w:rFonts w:hint="eastAsia" w:ascii="Times New Roman" w:hAnsi="Times New Roman" w:eastAsia="宋体" w:cs="Times New Roman"/>
          <w:color w:val="auto"/>
          <w:kern w:val="2"/>
          <w:sz w:val="24"/>
          <w:szCs w:val="24"/>
          <w:highlight w:val="none"/>
          <w:u w:val="none" w:color="auto"/>
          <w:lang w:val="en-US" w:eastAsia="zh-CN" w:bidi="ar-SA"/>
        </w:rPr>
        <w:t>、机加车间冲洗废水沉淀池污泥</w:t>
      </w:r>
      <w:r>
        <w:rPr>
          <w:rFonts w:hint="default" w:ascii="Times New Roman" w:hAnsi="Times New Roman" w:eastAsia="宋体" w:cs="Times New Roman"/>
          <w:color w:val="auto"/>
          <w:kern w:val="2"/>
          <w:sz w:val="24"/>
          <w:szCs w:val="24"/>
          <w:highlight w:val="none"/>
          <w:u w:val="none" w:color="auto"/>
          <w:lang w:val="en-US" w:eastAsia="zh-CN" w:bidi="ar-SA"/>
        </w:rPr>
        <w:t>）、危险废物（电镀槽槽渣、电镀废水处理污泥、</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kern w:val="2"/>
          <w:sz w:val="24"/>
          <w:szCs w:val="24"/>
          <w:highlight w:val="none"/>
          <w:u w:val="none" w:color="auto"/>
          <w:lang w:val="en-US" w:eastAsia="zh-CN" w:bidi="ar-SA"/>
        </w:rPr>
        <w:t>残渣、危险化学品包装材料、废水处理站及生产过程废过滤材料、废活性炭、废切削液、废矿物油、含油抹布）及生活垃圾。</w:t>
      </w:r>
    </w:p>
    <w:p w14:paraId="5AEE2039">
      <w:pPr>
        <w:pStyle w:val="17"/>
        <w:spacing w:line="560" w:lineRule="exact"/>
        <w:ind w:firstLine="360" w:firstLineChars="15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（1）一般工业固体废物</w:t>
      </w:r>
    </w:p>
    <w:p w14:paraId="5D5F8F52">
      <w:pPr>
        <w:pStyle w:val="17"/>
        <w:spacing w:line="56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根据《国家危险废物名录（2021年版）》，336-064-17危险废物不包括：铝、镁材（板）表面酸（碱）洗、粗化、硫酸阳极处理、磷酸化学抛光废水处理污泥，铝电解电容器用铝电极箔化学腐蚀、非硼酸系化成液化成废水处理污泥，铝材挤压加工模具碱洗（煲模）废水处理污泥，碳钢酸洗除锈废水处理污泥），故本项目铝材前处理槽渣属于一般固废。</w:t>
      </w:r>
    </w:p>
    <w:p w14:paraId="6A5221C9">
      <w:pPr>
        <w:pStyle w:val="17"/>
        <w:spacing w:line="56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项目营运后产生的一般固体工业废物主要有一般化学品废包装材料，如金属合金、盐剂等原辅材料的外包装袋及不合格产品及边角料。废包装材料产生总量约1.0t/a，收集暂存后定期外售综合利用；不合格产品及边角料产生量为20t/a，收集暂存后定期外售综合利用；铝材前处理槽渣产生量为1t/a，收集暂存后定期外售综合利用；纯水站废过滤材料产生量为2t/a，收集暂存后定期外售综合利用</w:t>
      </w:r>
      <w:r>
        <w:rPr>
          <w:rFonts w:hint="eastAsia" w:ascii="Times New Roman" w:hAnsi="Times New Roman" w:eastAsia="宋体" w:cs="Times New Roman"/>
          <w:color w:val="auto"/>
          <w:kern w:val="2"/>
          <w:sz w:val="24"/>
          <w:szCs w:val="24"/>
          <w:highlight w:val="none"/>
          <w:u w:val="none" w:color="auto"/>
          <w:lang w:val="en-US" w:eastAsia="zh-CN" w:bidi="ar-SA"/>
        </w:rPr>
        <w:t>；沉淀池（机加工车间卫生废水、容器清洗废水、直接冷却废水）污泥产生量为</w:t>
      </w:r>
      <w:r>
        <w:rPr>
          <w:rFonts w:hint="default" w:ascii="Times New Roman" w:hAnsi="Times New Roman" w:eastAsia="宋体" w:cs="Times New Roman"/>
          <w:color w:val="auto"/>
          <w:kern w:val="2"/>
          <w:sz w:val="24"/>
          <w:szCs w:val="24"/>
          <w:highlight w:val="none"/>
          <w:u w:val="none" w:color="auto"/>
          <w:lang w:val="en-US" w:eastAsia="zh-CN" w:bidi="ar-SA"/>
        </w:rPr>
        <w:t>2t/a</w:t>
      </w:r>
      <w:r>
        <w:rPr>
          <w:rFonts w:hint="eastAsia" w:ascii="Times New Roman" w:hAnsi="Times New Roman" w:eastAsia="宋体" w:cs="Times New Roman"/>
          <w:color w:val="auto"/>
          <w:kern w:val="2"/>
          <w:sz w:val="24"/>
          <w:szCs w:val="24"/>
          <w:highlight w:val="none"/>
          <w:u w:val="none" w:color="auto"/>
          <w:lang w:val="en-US" w:eastAsia="zh-CN" w:bidi="ar-SA"/>
        </w:rPr>
        <w:t>，外运至填埋场填埋</w:t>
      </w:r>
      <w:r>
        <w:rPr>
          <w:rFonts w:hint="default" w:ascii="Times New Roman" w:hAnsi="Times New Roman" w:eastAsia="宋体" w:cs="Times New Roman"/>
          <w:color w:val="auto"/>
          <w:kern w:val="2"/>
          <w:sz w:val="24"/>
          <w:szCs w:val="24"/>
          <w:highlight w:val="none"/>
          <w:u w:val="none" w:color="auto"/>
          <w:lang w:val="en-US" w:eastAsia="zh-CN" w:bidi="ar-SA"/>
        </w:rPr>
        <w:t>。</w:t>
      </w:r>
    </w:p>
    <w:p w14:paraId="6B5DF278">
      <w:pPr>
        <w:pStyle w:val="17"/>
        <w:spacing w:line="56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（2）生活垃圾</w:t>
      </w:r>
    </w:p>
    <w:p w14:paraId="38428667">
      <w:pPr>
        <w:pStyle w:val="7"/>
        <w:spacing w:line="56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项目职工人数为</w:t>
      </w:r>
      <w:r>
        <w:rPr>
          <w:rFonts w:hint="eastAsia" w:ascii="Times New Roman" w:hAnsi="Times New Roman" w:eastAsia="宋体" w:cs="Times New Roman"/>
          <w:color w:val="auto"/>
          <w:kern w:val="2"/>
          <w:sz w:val="24"/>
          <w:szCs w:val="24"/>
          <w:highlight w:val="none"/>
          <w:u w:val="none" w:color="auto"/>
          <w:lang w:val="en-US" w:eastAsia="zh-CN" w:bidi="ar-SA"/>
        </w:rPr>
        <w:t>475</w:t>
      </w:r>
      <w:r>
        <w:rPr>
          <w:rFonts w:hint="default" w:ascii="Times New Roman" w:hAnsi="Times New Roman" w:eastAsia="宋体" w:cs="Times New Roman"/>
          <w:color w:val="auto"/>
          <w:kern w:val="2"/>
          <w:sz w:val="24"/>
          <w:szCs w:val="24"/>
          <w:highlight w:val="none"/>
          <w:u w:val="none" w:color="auto"/>
          <w:lang w:val="en-US" w:eastAsia="zh-CN" w:bidi="ar-SA"/>
        </w:rPr>
        <w:t>人，职工生活垃圾产生量按0.5kg/(人·d)计，则生活垃圾产生量为</w:t>
      </w:r>
      <w:r>
        <w:rPr>
          <w:rFonts w:hint="eastAsia" w:ascii="Times New Roman" w:hAnsi="Times New Roman" w:eastAsia="宋体" w:cs="Times New Roman"/>
          <w:color w:val="auto"/>
          <w:kern w:val="2"/>
          <w:sz w:val="24"/>
          <w:szCs w:val="24"/>
          <w:highlight w:val="none"/>
          <w:u w:val="none" w:color="auto"/>
          <w:lang w:val="en-US" w:eastAsia="zh-CN" w:bidi="ar-SA"/>
        </w:rPr>
        <w:t>237.5</w:t>
      </w:r>
      <w:r>
        <w:rPr>
          <w:rFonts w:hint="default" w:ascii="Times New Roman" w:hAnsi="Times New Roman" w:eastAsia="宋体" w:cs="Times New Roman"/>
          <w:color w:val="auto"/>
          <w:kern w:val="2"/>
          <w:sz w:val="24"/>
          <w:szCs w:val="24"/>
          <w:highlight w:val="none"/>
          <w:u w:val="none" w:color="auto"/>
          <w:lang w:val="en-US" w:eastAsia="zh-CN" w:bidi="ar-SA"/>
        </w:rPr>
        <w:t>kg/d（</w:t>
      </w:r>
      <w:r>
        <w:rPr>
          <w:rFonts w:hint="eastAsia" w:ascii="Times New Roman" w:hAnsi="Times New Roman" w:eastAsia="宋体" w:cs="Times New Roman"/>
          <w:color w:val="auto"/>
          <w:kern w:val="2"/>
          <w:sz w:val="24"/>
          <w:szCs w:val="24"/>
          <w:highlight w:val="none"/>
          <w:u w:val="none" w:color="auto"/>
          <w:lang w:val="en-US" w:eastAsia="zh-CN" w:bidi="ar-SA"/>
        </w:rPr>
        <w:t>71.25</w:t>
      </w:r>
      <w:r>
        <w:rPr>
          <w:rFonts w:hint="default" w:ascii="Times New Roman" w:hAnsi="Times New Roman" w:eastAsia="宋体" w:cs="Times New Roman"/>
          <w:color w:val="auto"/>
          <w:kern w:val="2"/>
          <w:sz w:val="24"/>
          <w:szCs w:val="24"/>
          <w:highlight w:val="none"/>
          <w:u w:val="none" w:color="auto"/>
          <w:lang w:val="en-US" w:eastAsia="zh-CN" w:bidi="ar-SA"/>
        </w:rPr>
        <w:t>t/a），生活垃圾经厂区内收集暂存后定期由环卫部门清运至垃圾填埋场填埋。</w:t>
      </w:r>
    </w:p>
    <w:p w14:paraId="4D92C4BA">
      <w:pPr>
        <w:pStyle w:val="7"/>
        <w:spacing w:line="56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（3）危险废物</w:t>
      </w:r>
    </w:p>
    <w:p w14:paraId="0160CED2">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①废切削液</w:t>
      </w:r>
    </w:p>
    <w:p w14:paraId="648FB475">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据建设单位提供的经验数据，项目机加工过程切削液需定期清理，清理过程废切削液产生量约为0.5t/a，经收集暂存后定期送有资质单位处置。</w:t>
      </w:r>
    </w:p>
    <w:p w14:paraId="5AAD9C2D">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②电镀槽槽渣</w:t>
      </w:r>
    </w:p>
    <w:p w14:paraId="4E5B7771">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根据建设单位提供的经验数据，项目各电镀槽槽渣产生量为2t/a。项目电镀槽槽渣经收集暂存后定期送有资质单位处置。</w:t>
      </w:r>
    </w:p>
    <w:p w14:paraId="487CCC61">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③电镀废水处理污泥</w:t>
      </w:r>
    </w:p>
    <w:p w14:paraId="1A68D3DC">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本项目污水处理站处理工艺以物化处理为主，废水中的镍、锌等大部分金属进入物化处理污泥，本项目污水处理站污泥主要包括酸碱含油污泥、含重金属混合污泥，根据建设单位提供的经验数据，项目污水处理站污泥产生量约20t/a，经专用收集桶分类收集密封包装好后暂存于厂内危废暂存间，再委托有资质单位定期清运处置。</w:t>
      </w:r>
    </w:p>
    <w:p w14:paraId="3B48C099">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④</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kern w:val="2"/>
          <w:sz w:val="24"/>
          <w:szCs w:val="24"/>
          <w:highlight w:val="none"/>
          <w:u w:val="none" w:color="auto"/>
          <w:lang w:val="en-US" w:eastAsia="zh-CN" w:bidi="ar-SA"/>
        </w:rPr>
        <w:t>残渣</w:t>
      </w:r>
    </w:p>
    <w:p w14:paraId="5A7BDEB9">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项目部分废水经</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kern w:val="2"/>
          <w:sz w:val="24"/>
          <w:szCs w:val="24"/>
          <w:highlight w:val="none"/>
          <w:u w:val="none" w:color="auto"/>
          <w:lang w:val="en-US" w:eastAsia="zh-CN" w:bidi="ar-SA"/>
        </w:rPr>
        <w:t>后回用于生产，</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kern w:val="2"/>
          <w:sz w:val="24"/>
          <w:szCs w:val="24"/>
          <w:highlight w:val="none"/>
          <w:u w:val="none" w:color="auto"/>
          <w:lang w:val="en-US" w:eastAsia="zh-CN" w:bidi="ar-SA"/>
        </w:rPr>
        <w:t>后会残留残渣，根据建设单位提供的经验数据，</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kern w:val="2"/>
          <w:sz w:val="24"/>
          <w:szCs w:val="24"/>
          <w:highlight w:val="none"/>
          <w:u w:val="none" w:color="auto"/>
          <w:lang w:val="en-US" w:eastAsia="zh-CN" w:bidi="ar-SA"/>
        </w:rPr>
        <w:t>的产生量约487.35t/a，项目</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kern w:val="2"/>
          <w:sz w:val="24"/>
          <w:szCs w:val="24"/>
          <w:highlight w:val="none"/>
          <w:u w:val="none" w:color="auto"/>
          <w:lang w:val="en-US" w:eastAsia="zh-CN" w:bidi="ar-SA"/>
        </w:rPr>
        <w:t>残渣经收集暂存后定期送有资质单位处置。</w:t>
      </w:r>
    </w:p>
    <w:p w14:paraId="3A1EC724">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⑤危险化学品包装材料</w:t>
      </w:r>
    </w:p>
    <w:p w14:paraId="6F5A585A">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根据建设单位提供的经验数据，项目危险化学品包装材料产生量约2t/a。项目危险化学品包装材料经收集暂存后定期送有资质单位处置。</w:t>
      </w:r>
    </w:p>
    <w:p w14:paraId="0FE76A70">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⑥废水处理站及生产过程废过滤材料</w:t>
      </w:r>
    </w:p>
    <w:p w14:paraId="1D3D863F">
      <w:pPr>
        <w:ind w:firstLine="56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项目电镀槽液采用过滤机（内置过滤棉）过滤，废水处理过程中采用过滤材料进行超滤，根据建设单位提供的经验数据，废过滤材料产生量约为0.5t/a。经专用收集桶收集暂存后委托有资质单位定期清运处置。</w:t>
      </w:r>
    </w:p>
    <w:p w14:paraId="5CBB184F">
      <w:pPr>
        <w:pStyle w:val="17"/>
        <w:spacing w:line="540" w:lineRule="exact"/>
        <w:ind w:firstLine="480" w:firstLineChars="200"/>
        <w:rPr>
          <w:rFonts w:hint="default" w:ascii="Times New Roman" w:hAnsi="Times New Roman" w:eastAsia="宋体" w:cs="Times New Roman"/>
          <w:color w:val="auto"/>
          <w:kern w:val="2"/>
          <w:sz w:val="24"/>
          <w:szCs w:val="24"/>
          <w:highlight w:val="none"/>
          <w:u w:val="single" w:color="auto"/>
          <w:lang w:val="en-US" w:eastAsia="zh-CN" w:bidi="ar-SA"/>
        </w:rPr>
      </w:pPr>
      <w:r>
        <w:rPr>
          <w:rFonts w:hint="default" w:ascii="Times New Roman" w:hAnsi="Times New Roman" w:eastAsia="宋体" w:cs="Times New Roman"/>
          <w:color w:val="auto"/>
          <w:kern w:val="2"/>
          <w:sz w:val="24"/>
          <w:szCs w:val="24"/>
          <w:highlight w:val="none"/>
          <w:u w:val="single" w:color="auto"/>
          <w:lang w:val="en-US" w:eastAsia="zh-CN" w:bidi="ar-SA"/>
        </w:rPr>
        <w:t>⑦废活性炭</w:t>
      </w:r>
    </w:p>
    <w:p w14:paraId="5AF30EE0">
      <w:pPr>
        <w:pStyle w:val="17"/>
        <w:spacing w:line="540" w:lineRule="exact"/>
        <w:ind w:firstLine="480" w:firstLineChars="200"/>
        <w:rPr>
          <w:rFonts w:hint="default" w:ascii="Times New Roman" w:hAnsi="Times New Roman" w:eastAsia="宋体" w:cs="Times New Roman"/>
          <w:color w:val="auto"/>
          <w:kern w:val="2"/>
          <w:sz w:val="24"/>
          <w:szCs w:val="24"/>
          <w:highlight w:val="none"/>
          <w:u w:val="single" w:color="auto"/>
          <w:lang w:val="en-US" w:eastAsia="zh-CN" w:bidi="ar-SA"/>
        </w:rPr>
      </w:pPr>
      <w:r>
        <w:rPr>
          <w:rFonts w:hint="default" w:ascii="Times New Roman" w:hAnsi="Times New Roman" w:eastAsia="宋体" w:cs="Times New Roman"/>
          <w:color w:val="auto"/>
          <w:kern w:val="2"/>
          <w:sz w:val="24"/>
          <w:szCs w:val="24"/>
          <w:highlight w:val="none"/>
          <w:u w:val="single" w:color="auto"/>
          <w:lang w:val="en-US" w:eastAsia="zh-CN" w:bidi="ar-SA"/>
        </w:rPr>
        <w:t>本项目槽液过滤及有机废气处理过程均会产生废活性炭，根据建设单位提供经验数据，废活性炭产生量约为8t/a，经收集暂存后委托有资质单位定期清运处置。</w:t>
      </w:r>
    </w:p>
    <w:p w14:paraId="080C0DED">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⑧废矿物油</w:t>
      </w:r>
    </w:p>
    <w:p w14:paraId="6E1F98B5">
      <w:pPr>
        <w:ind w:firstLine="56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本项目生产设备在维修时会产生废矿物油，产生量约1t/a，收集暂存于危废暂存间再委托有资质单位定期清运处置。</w:t>
      </w:r>
    </w:p>
    <w:p w14:paraId="4B6E61A0">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⑨含油抹布</w:t>
      </w:r>
    </w:p>
    <w:p w14:paraId="58C438C7">
      <w:pPr>
        <w:ind w:firstLine="56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本项目生产设备在维修时会产生含油抹布，产生量约0.2t/a，收集暂存于危废暂存间再委托有资质单位定期清运处置。</w:t>
      </w:r>
    </w:p>
    <w:p w14:paraId="1F12E23F">
      <w:pPr>
        <w:spacing w:line="560" w:lineRule="exact"/>
        <w:ind w:firstLine="480" w:firstLineChars="200"/>
        <w:jc w:val="left"/>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综上所述项目危险废物防治措施汇总见下表。</w:t>
      </w:r>
    </w:p>
    <w:p w14:paraId="176311C5">
      <w:pPr>
        <w:pStyle w:val="10"/>
        <w:rPr>
          <w:rFonts w:hint="default" w:ascii="Times New Roman" w:hAnsi="Times New Roman" w:cs="Times New Roman"/>
          <w:color w:val="auto"/>
          <w:highlight w:val="none"/>
          <w:u w:val="none" w:color="auto"/>
        </w:rPr>
      </w:pPr>
    </w:p>
    <w:p w14:paraId="4CEBD486">
      <w:pPr>
        <w:pStyle w:val="10"/>
        <w:rPr>
          <w:rFonts w:hint="default" w:ascii="Times New Roman" w:hAnsi="Times New Roman" w:cs="Times New Roman"/>
          <w:color w:val="auto"/>
          <w:highlight w:val="none"/>
          <w:u w:val="none" w:color="auto"/>
        </w:rPr>
        <w:sectPr>
          <w:pgSz w:w="11905" w:h="16838"/>
          <w:pgMar w:top="1247" w:right="1417" w:bottom="1247" w:left="1474" w:header="851" w:footer="992" w:gutter="0"/>
          <w:pgBorders>
            <w:top w:val="none" w:sz="0" w:space="0"/>
            <w:left w:val="none" w:sz="0" w:space="0"/>
            <w:bottom w:val="none" w:sz="0" w:space="0"/>
            <w:right w:val="none" w:sz="0" w:space="0"/>
          </w:pgBorders>
          <w:cols w:space="720" w:num="1"/>
          <w:docGrid w:linePitch="345" w:charSpace="0"/>
        </w:sectPr>
      </w:pPr>
    </w:p>
    <w:p w14:paraId="53148A7A">
      <w:pPr>
        <w:jc w:val="center"/>
        <w:rPr>
          <w:rFonts w:hint="default" w:ascii="Times New Roman" w:hAnsi="Times New Roman" w:eastAsia="宋体" w:cs="Times New Roman"/>
          <w:b/>
          <w:color w:val="auto"/>
          <w:kern w:val="2"/>
          <w:sz w:val="21"/>
          <w:szCs w:val="18"/>
          <w:highlight w:val="none"/>
          <w:u w:val="none" w:color="auto"/>
          <w:lang w:val="en-US" w:eastAsia="zh-CN" w:bidi="ar-SA"/>
        </w:rPr>
      </w:pPr>
      <w:r>
        <w:rPr>
          <w:rFonts w:hint="default" w:ascii="Times New Roman" w:hAnsi="Times New Roman" w:eastAsia="宋体" w:cs="Times New Roman"/>
          <w:b/>
          <w:color w:val="auto"/>
          <w:kern w:val="2"/>
          <w:sz w:val="21"/>
          <w:szCs w:val="18"/>
          <w:highlight w:val="none"/>
          <w:u w:val="none" w:color="auto"/>
          <w:lang w:val="en-US" w:eastAsia="zh-CN" w:bidi="ar-SA"/>
        </w:rPr>
        <w:t>表4.4-14 项目危险废物防治措施汇总表</w:t>
      </w:r>
    </w:p>
    <w:tbl>
      <w:tblPr>
        <w:tblStyle w:val="22"/>
        <w:tblW w:w="15451" w:type="dxa"/>
        <w:tblInd w:w="-45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79"/>
        <w:gridCol w:w="1331"/>
        <w:gridCol w:w="1255"/>
        <w:gridCol w:w="1796"/>
        <w:gridCol w:w="851"/>
        <w:gridCol w:w="1701"/>
        <w:gridCol w:w="850"/>
        <w:gridCol w:w="1418"/>
        <w:gridCol w:w="1276"/>
        <w:gridCol w:w="1275"/>
        <w:gridCol w:w="993"/>
        <w:gridCol w:w="1417"/>
      </w:tblGrid>
      <w:tr w14:paraId="45C25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09" w:type="dxa"/>
            <w:noWrap w:val="0"/>
            <w:vAlign w:val="center"/>
          </w:tcPr>
          <w:p w14:paraId="0D73E04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910" w:type="dxa"/>
            <w:gridSpan w:val="2"/>
            <w:noWrap w:val="0"/>
            <w:vAlign w:val="center"/>
          </w:tcPr>
          <w:p w14:paraId="3E2DB6E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危险废物名称</w:t>
            </w:r>
          </w:p>
        </w:tc>
        <w:tc>
          <w:tcPr>
            <w:tcW w:w="1255" w:type="dxa"/>
            <w:noWrap w:val="0"/>
            <w:vAlign w:val="center"/>
          </w:tcPr>
          <w:p w14:paraId="66F10A4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危险废物类别</w:t>
            </w:r>
          </w:p>
        </w:tc>
        <w:tc>
          <w:tcPr>
            <w:tcW w:w="1796" w:type="dxa"/>
            <w:noWrap w:val="0"/>
            <w:vAlign w:val="center"/>
          </w:tcPr>
          <w:p w14:paraId="54C7F51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危险废物代码</w:t>
            </w:r>
          </w:p>
        </w:tc>
        <w:tc>
          <w:tcPr>
            <w:tcW w:w="851" w:type="dxa"/>
            <w:noWrap w:val="0"/>
            <w:vAlign w:val="center"/>
          </w:tcPr>
          <w:p w14:paraId="6328189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产生量（t/a）</w:t>
            </w:r>
          </w:p>
        </w:tc>
        <w:tc>
          <w:tcPr>
            <w:tcW w:w="1701" w:type="dxa"/>
            <w:noWrap w:val="0"/>
            <w:vAlign w:val="center"/>
          </w:tcPr>
          <w:p w14:paraId="682A6AC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产生工序及装置</w:t>
            </w:r>
          </w:p>
        </w:tc>
        <w:tc>
          <w:tcPr>
            <w:tcW w:w="850" w:type="dxa"/>
            <w:noWrap w:val="0"/>
            <w:vAlign w:val="center"/>
          </w:tcPr>
          <w:p w14:paraId="3777480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形态</w:t>
            </w:r>
          </w:p>
        </w:tc>
        <w:tc>
          <w:tcPr>
            <w:tcW w:w="1418" w:type="dxa"/>
            <w:noWrap w:val="0"/>
            <w:vAlign w:val="center"/>
          </w:tcPr>
          <w:p w14:paraId="6534A4A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主要成分</w:t>
            </w:r>
          </w:p>
        </w:tc>
        <w:tc>
          <w:tcPr>
            <w:tcW w:w="1276" w:type="dxa"/>
            <w:noWrap w:val="0"/>
            <w:vAlign w:val="center"/>
          </w:tcPr>
          <w:p w14:paraId="7A5835E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有害成分</w:t>
            </w:r>
          </w:p>
        </w:tc>
        <w:tc>
          <w:tcPr>
            <w:tcW w:w="1275" w:type="dxa"/>
            <w:noWrap w:val="0"/>
            <w:vAlign w:val="center"/>
          </w:tcPr>
          <w:p w14:paraId="0087202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产废周期</w:t>
            </w:r>
          </w:p>
        </w:tc>
        <w:tc>
          <w:tcPr>
            <w:tcW w:w="993" w:type="dxa"/>
            <w:noWrap w:val="0"/>
            <w:vAlign w:val="center"/>
          </w:tcPr>
          <w:p w14:paraId="3EC5374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w:t>
            </w:r>
          </w:p>
          <w:p w14:paraId="52BE9E4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特性*</w:t>
            </w:r>
          </w:p>
        </w:tc>
        <w:tc>
          <w:tcPr>
            <w:tcW w:w="1417" w:type="dxa"/>
            <w:noWrap w:val="0"/>
            <w:vAlign w:val="center"/>
          </w:tcPr>
          <w:p w14:paraId="0DCB26F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污染防治措施</w:t>
            </w:r>
          </w:p>
        </w:tc>
      </w:tr>
      <w:tr w14:paraId="02124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14:paraId="7248A19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579" w:type="dxa"/>
            <w:vMerge w:val="restart"/>
            <w:noWrap w:val="0"/>
            <w:vAlign w:val="center"/>
          </w:tcPr>
          <w:p w14:paraId="21FCC4B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电镀槽槽渣</w:t>
            </w:r>
          </w:p>
        </w:tc>
        <w:tc>
          <w:tcPr>
            <w:tcW w:w="1331" w:type="dxa"/>
            <w:noWrap w:val="0"/>
            <w:vAlign w:val="center"/>
          </w:tcPr>
          <w:p w14:paraId="494386F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含</w:t>
            </w:r>
            <w:r>
              <w:rPr>
                <w:rFonts w:hint="default" w:ascii="Times New Roman" w:hAnsi="Times New Roman" w:eastAsia="宋体" w:cs="Times New Roman"/>
                <w:color w:val="auto"/>
                <w:sz w:val="21"/>
                <w:szCs w:val="21"/>
                <w:highlight w:val="none"/>
                <w:u w:val="none" w:color="auto"/>
                <w:lang w:eastAsia="zh-CN"/>
              </w:rPr>
              <w:t>镍槽渣</w:t>
            </w:r>
          </w:p>
        </w:tc>
        <w:tc>
          <w:tcPr>
            <w:tcW w:w="1255" w:type="dxa"/>
            <w:vMerge w:val="restart"/>
            <w:noWrap w:val="0"/>
            <w:vAlign w:val="center"/>
          </w:tcPr>
          <w:p w14:paraId="47333AA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HW17表面处理废物</w:t>
            </w:r>
          </w:p>
        </w:tc>
        <w:tc>
          <w:tcPr>
            <w:tcW w:w="1796" w:type="dxa"/>
            <w:noWrap w:val="0"/>
            <w:vAlign w:val="center"/>
          </w:tcPr>
          <w:p w14:paraId="3977126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64C2655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336-054-17</w:t>
            </w:r>
          </w:p>
        </w:tc>
        <w:tc>
          <w:tcPr>
            <w:tcW w:w="851" w:type="dxa"/>
            <w:noWrap w:val="0"/>
            <w:vAlign w:val="center"/>
          </w:tcPr>
          <w:p w14:paraId="00EA011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0.5</w:t>
            </w:r>
          </w:p>
        </w:tc>
        <w:tc>
          <w:tcPr>
            <w:tcW w:w="1701" w:type="dxa"/>
            <w:noWrap w:val="0"/>
            <w:vAlign w:val="center"/>
          </w:tcPr>
          <w:p w14:paraId="6263ECE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镀镍、镀超硬材料工序</w:t>
            </w:r>
          </w:p>
        </w:tc>
        <w:tc>
          <w:tcPr>
            <w:tcW w:w="850" w:type="dxa"/>
            <w:noWrap w:val="0"/>
            <w:vAlign w:val="center"/>
          </w:tcPr>
          <w:p w14:paraId="7CEB091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4FBF3FE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镍等重金属</w:t>
            </w:r>
          </w:p>
        </w:tc>
        <w:tc>
          <w:tcPr>
            <w:tcW w:w="1276" w:type="dxa"/>
            <w:noWrap w:val="0"/>
            <w:vAlign w:val="center"/>
          </w:tcPr>
          <w:p w14:paraId="2D2BC4D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镍等重金属</w:t>
            </w:r>
          </w:p>
        </w:tc>
        <w:tc>
          <w:tcPr>
            <w:tcW w:w="1275" w:type="dxa"/>
            <w:noWrap w:val="0"/>
            <w:vAlign w:val="center"/>
          </w:tcPr>
          <w:p w14:paraId="3A51770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4D10C63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T/C</w:t>
            </w:r>
          </w:p>
        </w:tc>
        <w:tc>
          <w:tcPr>
            <w:tcW w:w="1417" w:type="dxa"/>
            <w:vMerge w:val="restart"/>
            <w:noWrap w:val="0"/>
            <w:vAlign w:val="center"/>
          </w:tcPr>
          <w:p w14:paraId="3892F8C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专用收集桶分类收集密封包装好后分类暂存于厂内危废暂存间，再委托有资质单位定期清运处置</w:t>
            </w:r>
          </w:p>
        </w:tc>
      </w:tr>
      <w:tr w14:paraId="784AD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14:paraId="6E1FF586">
            <w:pPr>
              <w:spacing w:line="240" w:lineRule="auto"/>
              <w:jc w:val="center"/>
              <w:rPr>
                <w:rFonts w:hint="default" w:ascii="Times New Roman" w:hAnsi="Times New Roman" w:eastAsia="宋体" w:cs="Times New Roman"/>
                <w:color w:val="auto"/>
                <w:sz w:val="21"/>
                <w:szCs w:val="21"/>
                <w:highlight w:val="none"/>
                <w:u w:val="none" w:color="auto"/>
              </w:rPr>
            </w:pPr>
          </w:p>
        </w:tc>
        <w:tc>
          <w:tcPr>
            <w:tcW w:w="579" w:type="dxa"/>
            <w:vMerge w:val="continue"/>
            <w:noWrap w:val="0"/>
            <w:vAlign w:val="center"/>
          </w:tcPr>
          <w:p w14:paraId="558D8F05">
            <w:pPr>
              <w:spacing w:line="240" w:lineRule="auto"/>
              <w:jc w:val="center"/>
              <w:rPr>
                <w:rFonts w:hint="default" w:ascii="Times New Roman" w:hAnsi="Times New Roman" w:eastAsia="宋体" w:cs="Times New Roman"/>
                <w:color w:val="auto"/>
                <w:sz w:val="21"/>
                <w:szCs w:val="21"/>
                <w:highlight w:val="none"/>
                <w:u w:val="none" w:color="auto"/>
              </w:rPr>
            </w:pPr>
          </w:p>
        </w:tc>
        <w:tc>
          <w:tcPr>
            <w:tcW w:w="1331" w:type="dxa"/>
            <w:noWrap w:val="0"/>
            <w:vAlign w:val="center"/>
          </w:tcPr>
          <w:p w14:paraId="5C59127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含铁槽渣</w:t>
            </w:r>
          </w:p>
        </w:tc>
        <w:tc>
          <w:tcPr>
            <w:tcW w:w="1255" w:type="dxa"/>
            <w:vMerge w:val="continue"/>
            <w:noWrap w:val="0"/>
            <w:vAlign w:val="center"/>
          </w:tcPr>
          <w:p w14:paraId="62EB52A3">
            <w:pPr>
              <w:spacing w:line="240" w:lineRule="auto"/>
              <w:jc w:val="center"/>
              <w:rPr>
                <w:rFonts w:hint="default" w:ascii="Times New Roman" w:hAnsi="Times New Roman" w:eastAsia="宋体" w:cs="Times New Roman"/>
                <w:color w:val="auto"/>
                <w:sz w:val="21"/>
                <w:szCs w:val="21"/>
                <w:highlight w:val="none"/>
                <w:u w:val="none" w:color="auto"/>
              </w:rPr>
            </w:pPr>
          </w:p>
        </w:tc>
        <w:tc>
          <w:tcPr>
            <w:tcW w:w="1796" w:type="dxa"/>
            <w:noWrap w:val="0"/>
            <w:vAlign w:val="center"/>
          </w:tcPr>
          <w:p w14:paraId="04791C9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4F67D98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336-064-17</w:t>
            </w:r>
          </w:p>
        </w:tc>
        <w:tc>
          <w:tcPr>
            <w:tcW w:w="851" w:type="dxa"/>
            <w:noWrap w:val="0"/>
            <w:vAlign w:val="center"/>
          </w:tcPr>
          <w:p w14:paraId="2AD1CE3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0.7</w:t>
            </w:r>
          </w:p>
        </w:tc>
        <w:tc>
          <w:tcPr>
            <w:tcW w:w="1701" w:type="dxa"/>
            <w:noWrap w:val="0"/>
            <w:vAlign w:val="center"/>
          </w:tcPr>
          <w:p w14:paraId="5916827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酸洗、活化工序</w:t>
            </w:r>
          </w:p>
        </w:tc>
        <w:tc>
          <w:tcPr>
            <w:tcW w:w="850" w:type="dxa"/>
            <w:noWrap w:val="0"/>
            <w:vAlign w:val="center"/>
          </w:tcPr>
          <w:p w14:paraId="0DFB21C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1E8488C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铁</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2D9E751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铁</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3161F00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176A1AB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5F243FB1">
            <w:pPr>
              <w:spacing w:line="240" w:lineRule="auto"/>
              <w:jc w:val="center"/>
              <w:rPr>
                <w:rFonts w:hint="default" w:ascii="Times New Roman" w:hAnsi="Times New Roman" w:eastAsia="宋体" w:cs="Times New Roman"/>
                <w:color w:val="auto"/>
                <w:sz w:val="21"/>
                <w:szCs w:val="21"/>
                <w:highlight w:val="none"/>
                <w:u w:val="none" w:color="auto"/>
              </w:rPr>
            </w:pPr>
          </w:p>
        </w:tc>
      </w:tr>
      <w:tr w14:paraId="620C4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14:paraId="50A94F45">
            <w:pPr>
              <w:spacing w:line="240" w:lineRule="auto"/>
              <w:jc w:val="center"/>
              <w:rPr>
                <w:rFonts w:hint="default" w:ascii="Times New Roman" w:hAnsi="Times New Roman" w:eastAsia="宋体" w:cs="Times New Roman"/>
                <w:color w:val="auto"/>
                <w:sz w:val="21"/>
                <w:szCs w:val="21"/>
                <w:highlight w:val="none"/>
                <w:u w:val="none" w:color="auto"/>
              </w:rPr>
            </w:pPr>
          </w:p>
        </w:tc>
        <w:tc>
          <w:tcPr>
            <w:tcW w:w="579" w:type="dxa"/>
            <w:vMerge w:val="continue"/>
            <w:noWrap w:val="0"/>
            <w:vAlign w:val="center"/>
          </w:tcPr>
          <w:p w14:paraId="76498A5F">
            <w:pPr>
              <w:spacing w:line="240" w:lineRule="auto"/>
              <w:jc w:val="center"/>
              <w:rPr>
                <w:rFonts w:hint="default" w:ascii="Times New Roman" w:hAnsi="Times New Roman" w:eastAsia="宋体" w:cs="Times New Roman"/>
                <w:color w:val="auto"/>
                <w:sz w:val="21"/>
                <w:szCs w:val="21"/>
                <w:highlight w:val="none"/>
                <w:u w:val="none" w:color="auto"/>
              </w:rPr>
            </w:pPr>
          </w:p>
        </w:tc>
        <w:tc>
          <w:tcPr>
            <w:tcW w:w="1331" w:type="dxa"/>
            <w:noWrap w:val="0"/>
            <w:vAlign w:val="center"/>
          </w:tcPr>
          <w:p w14:paraId="4562912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含</w:t>
            </w:r>
            <w:r>
              <w:rPr>
                <w:rFonts w:hint="default" w:ascii="Times New Roman" w:hAnsi="Times New Roman" w:eastAsia="宋体" w:cs="Times New Roman"/>
                <w:color w:val="auto"/>
                <w:sz w:val="21"/>
                <w:szCs w:val="21"/>
                <w:highlight w:val="none"/>
                <w:u w:val="none" w:color="auto"/>
                <w:lang w:eastAsia="zh-CN"/>
              </w:rPr>
              <w:t>油槽渣</w:t>
            </w:r>
          </w:p>
        </w:tc>
        <w:tc>
          <w:tcPr>
            <w:tcW w:w="1255" w:type="dxa"/>
            <w:vMerge w:val="continue"/>
            <w:noWrap w:val="0"/>
            <w:vAlign w:val="center"/>
          </w:tcPr>
          <w:p w14:paraId="32D23718">
            <w:pPr>
              <w:spacing w:line="240" w:lineRule="auto"/>
              <w:jc w:val="center"/>
              <w:rPr>
                <w:rFonts w:hint="default" w:ascii="Times New Roman" w:hAnsi="Times New Roman" w:eastAsia="宋体" w:cs="Times New Roman"/>
                <w:color w:val="auto"/>
                <w:sz w:val="21"/>
                <w:szCs w:val="21"/>
                <w:highlight w:val="none"/>
                <w:u w:val="none" w:color="auto"/>
              </w:rPr>
            </w:pPr>
          </w:p>
        </w:tc>
        <w:tc>
          <w:tcPr>
            <w:tcW w:w="1796" w:type="dxa"/>
            <w:noWrap w:val="0"/>
            <w:vAlign w:val="center"/>
          </w:tcPr>
          <w:p w14:paraId="4FEA86B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7CCD2C7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336-064-17</w:t>
            </w:r>
          </w:p>
        </w:tc>
        <w:tc>
          <w:tcPr>
            <w:tcW w:w="851" w:type="dxa"/>
            <w:noWrap w:val="0"/>
            <w:vAlign w:val="center"/>
          </w:tcPr>
          <w:p w14:paraId="18F80A2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0.5</w:t>
            </w:r>
          </w:p>
        </w:tc>
        <w:tc>
          <w:tcPr>
            <w:tcW w:w="1701" w:type="dxa"/>
            <w:noWrap w:val="0"/>
            <w:vAlign w:val="center"/>
          </w:tcPr>
          <w:p w14:paraId="2DF7C8F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除油工序</w:t>
            </w:r>
          </w:p>
        </w:tc>
        <w:tc>
          <w:tcPr>
            <w:tcW w:w="850" w:type="dxa"/>
            <w:noWrap w:val="0"/>
            <w:vAlign w:val="center"/>
          </w:tcPr>
          <w:p w14:paraId="41CFED5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26CB526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矿物油</w:t>
            </w:r>
          </w:p>
        </w:tc>
        <w:tc>
          <w:tcPr>
            <w:tcW w:w="1276" w:type="dxa"/>
            <w:noWrap w:val="0"/>
            <w:vAlign w:val="center"/>
          </w:tcPr>
          <w:p w14:paraId="0C0397C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矿物油</w:t>
            </w:r>
          </w:p>
        </w:tc>
        <w:tc>
          <w:tcPr>
            <w:tcW w:w="1275" w:type="dxa"/>
            <w:noWrap w:val="0"/>
            <w:vAlign w:val="center"/>
          </w:tcPr>
          <w:p w14:paraId="1EFDCEB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124B917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4E278DE4">
            <w:pPr>
              <w:spacing w:line="240" w:lineRule="auto"/>
              <w:jc w:val="center"/>
              <w:rPr>
                <w:rFonts w:hint="default" w:ascii="Times New Roman" w:hAnsi="Times New Roman" w:eastAsia="宋体" w:cs="Times New Roman"/>
                <w:color w:val="auto"/>
                <w:sz w:val="21"/>
                <w:szCs w:val="21"/>
                <w:highlight w:val="none"/>
                <w:u w:val="none" w:color="auto"/>
              </w:rPr>
            </w:pPr>
          </w:p>
        </w:tc>
      </w:tr>
      <w:tr w14:paraId="02AD5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14:paraId="55CA7D9F">
            <w:pPr>
              <w:spacing w:line="240" w:lineRule="auto"/>
              <w:jc w:val="center"/>
              <w:rPr>
                <w:rFonts w:hint="default" w:ascii="Times New Roman" w:hAnsi="Times New Roman" w:eastAsia="宋体" w:cs="Times New Roman"/>
                <w:color w:val="auto"/>
                <w:sz w:val="21"/>
                <w:szCs w:val="21"/>
                <w:highlight w:val="none"/>
                <w:u w:val="none" w:color="auto"/>
              </w:rPr>
            </w:pPr>
          </w:p>
        </w:tc>
        <w:tc>
          <w:tcPr>
            <w:tcW w:w="579" w:type="dxa"/>
            <w:vMerge w:val="continue"/>
            <w:noWrap w:val="0"/>
            <w:vAlign w:val="center"/>
          </w:tcPr>
          <w:p w14:paraId="20B58A57">
            <w:pPr>
              <w:spacing w:line="240" w:lineRule="auto"/>
              <w:jc w:val="center"/>
              <w:rPr>
                <w:rFonts w:hint="default" w:ascii="Times New Roman" w:hAnsi="Times New Roman" w:eastAsia="宋体" w:cs="Times New Roman"/>
                <w:color w:val="auto"/>
                <w:sz w:val="21"/>
                <w:szCs w:val="21"/>
                <w:highlight w:val="none"/>
                <w:u w:val="none" w:color="auto"/>
              </w:rPr>
            </w:pPr>
          </w:p>
        </w:tc>
        <w:tc>
          <w:tcPr>
            <w:tcW w:w="1331" w:type="dxa"/>
            <w:noWrap w:val="0"/>
            <w:vAlign w:val="center"/>
          </w:tcPr>
          <w:p w14:paraId="5D53B36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含铜</w:t>
            </w:r>
            <w:r>
              <w:rPr>
                <w:rFonts w:hint="default" w:ascii="Times New Roman" w:hAnsi="Times New Roman" w:eastAsia="宋体" w:cs="Times New Roman"/>
                <w:color w:val="auto"/>
                <w:sz w:val="21"/>
                <w:szCs w:val="21"/>
                <w:highlight w:val="none"/>
                <w:u w:val="none" w:color="auto"/>
                <w:lang w:eastAsia="zh-CN"/>
              </w:rPr>
              <w:t>槽渣</w:t>
            </w:r>
          </w:p>
        </w:tc>
        <w:tc>
          <w:tcPr>
            <w:tcW w:w="1255" w:type="dxa"/>
            <w:vMerge w:val="continue"/>
            <w:noWrap w:val="0"/>
            <w:vAlign w:val="center"/>
          </w:tcPr>
          <w:p w14:paraId="0BFF9CB7">
            <w:pPr>
              <w:spacing w:line="240" w:lineRule="auto"/>
              <w:jc w:val="center"/>
              <w:rPr>
                <w:rFonts w:hint="default" w:ascii="Times New Roman" w:hAnsi="Times New Roman" w:eastAsia="宋体" w:cs="Times New Roman"/>
                <w:color w:val="auto"/>
                <w:sz w:val="21"/>
                <w:szCs w:val="21"/>
                <w:highlight w:val="none"/>
                <w:u w:val="none" w:color="auto"/>
              </w:rPr>
            </w:pPr>
          </w:p>
        </w:tc>
        <w:tc>
          <w:tcPr>
            <w:tcW w:w="1796" w:type="dxa"/>
            <w:noWrap w:val="0"/>
            <w:vAlign w:val="center"/>
          </w:tcPr>
          <w:p w14:paraId="028BC31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4CBB2BE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336-062-17</w:t>
            </w:r>
          </w:p>
        </w:tc>
        <w:tc>
          <w:tcPr>
            <w:tcW w:w="851" w:type="dxa"/>
            <w:noWrap w:val="0"/>
            <w:vAlign w:val="center"/>
          </w:tcPr>
          <w:p w14:paraId="59934E0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0.3</w:t>
            </w:r>
          </w:p>
        </w:tc>
        <w:tc>
          <w:tcPr>
            <w:tcW w:w="1701" w:type="dxa"/>
            <w:noWrap w:val="0"/>
            <w:vAlign w:val="center"/>
          </w:tcPr>
          <w:p w14:paraId="46C9BE0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镀铜工序</w:t>
            </w:r>
          </w:p>
        </w:tc>
        <w:tc>
          <w:tcPr>
            <w:tcW w:w="850" w:type="dxa"/>
            <w:noWrap w:val="0"/>
            <w:vAlign w:val="center"/>
          </w:tcPr>
          <w:p w14:paraId="67D0975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2522F97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铜等重金属</w:t>
            </w:r>
          </w:p>
        </w:tc>
        <w:tc>
          <w:tcPr>
            <w:tcW w:w="1276" w:type="dxa"/>
            <w:noWrap w:val="0"/>
            <w:vAlign w:val="center"/>
          </w:tcPr>
          <w:p w14:paraId="789F715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铜等重金属</w:t>
            </w:r>
          </w:p>
        </w:tc>
        <w:tc>
          <w:tcPr>
            <w:tcW w:w="1275" w:type="dxa"/>
            <w:noWrap w:val="0"/>
            <w:vAlign w:val="center"/>
          </w:tcPr>
          <w:p w14:paraId="2A87ED3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730FB2B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477F4467">
            <w:pPr>
              <w:spacing w:line="240" w:lineRule="auto"/>
              <w:jc w:val="center"/>
              <w:rPr>
                <w:rFonts w:hint="default" w:ascii="Times New Roman" w:hAnsi="Times New Roman" w:eastAsia="宋体" w:cs="Times New Roman"/>
                <w:color w:val="auto"/>
                <w:sz w:val="21"/>
                <w:szCs w:val="21"/>
                <w:highlight w:val="none"/>
                <w:u w:val="none" w:color="auto"/>
              </w:rPr>
            </w:pPr>
          </w:p>
        </w:tc>
      </w:tr>
      <w:tr w14:paraId="19741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14:paraId="600173F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579" w:type="dxa"/>
            <w:vMerge w:val="restart"/>
            <w:noWrap w:val="0"/>
            <w:vAlign w:val="center"/>
          </w:tcPr>
          <w:p w14:paraId="075C053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电镀废水处理污泥</w:t>
            </w:r>
          </w:p>
        </w:tc>
        <w:tc>
          <w:tcPr>
            <w:tcW w:w="1331" w:type="dxa"/>
            <w:noWrap w:val="0"/>
            <w:vAlign w:val="center"/>
          </w:tcPr>
          <w:p w14:paraId="71CE79D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含油、酸性废水处理污泥</w:t>
            </w:r>
          </w:p>
        </w:tc>
        <w:tc>
          <w:tcPr>
            <w:tcW w:w="1255" w:type="dxa"/>
            <w:vMerge w:val="restart"/>
            <w:noWrap w:val="0"/>
            <w:vAlign w:val="center"/>
          </w:tcPr>
          <w:p w14:paraId="39DB306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HW17表面处理废物</w:t>
            </w:r>
          </w:p>
        </w:tc>
        <w:tc>
          <w:tcPr>
            <w:tcW w:w="1796" w:type="dxa"/>
            <w:noWrap w:val="0"/>
            <w:vAlign w:val="center"/>
          </w:tcPr>
          <w:p w14:paraId="1BA2D66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7116DBA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336-064-17</w:t>
            </w:r>
          </w:p>
        </w:tc>
        <w:tc>
          <w:tcPr>
            <w:tcW w:w="851" w:type="dxa"/>
            <w:noWrap w:val="0"/>
            <w:vAlign w:val="center"/>
          </w:tcPr>
          <w:p w14:paraId="38B5D57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1701" w:type="dxa"/>
            <w:noWrap w:val="0"/>
            <w:vAlign w:val="center"/>
          </w:tcPr>
          <w:p w14:paraId="0CFE467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电镀废水处理</w:t>
            </w:r>
          </w:p>
        </w:tc>
        <w:tc>
          <w:tcPr>
            <w:tcW w:w="850" w:type="dxa"/>
            <w:noWrap w:val="0"/>
            <w:vAlign w:val="center"/>
          </w:tcPr>
          <w:p w14:paraId="6D20150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1323046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矿物油</w:t>
            </w:r>
          </w:p>
        </w:tc>
        <w:tc>
          <w:tcPr>
            <w:tcW w:w="1276" w:type="dxa"/>
            <w:noWrap w:val="0"/>
            <w:vAlign w:val="center"/>
          </w:tcPr>
          <w:p w14:paraId="7272A60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矿物油</w:t>
            </w:r>
          </w:p>
        </w:tc>
        <w:tc>
          <w:tcPr>
            <w:tcW w:w="1275" w:type="dxa"/>
            <w:noWrap w:val="0"/>
            <w:vAlign w:val="center"/>
          </w:tcPr>
          <w:p w14:paraId="5AA9CB2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半月/次</w:t>
            </w:r>
          </w:p>
        </w:tc>
        <w:tc>
          <w:tcPr>
            <w:tcW w:w="993" w:type="dxa"/>
            <w:noWrap w:val="0"/>
            <w:vAlign w:val="center"/>
          </w:tcPr>
          <w:p w14:paraId="0D7B8BC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T、I</w:t>
            </w:r>
          </w:p>
        </w:tc>
        <w:tc>
          <w:tcPr>
            <w:tcW w:w="1417" w:type="dxa"/>
            <w:vMerge w:val="restart"/>
            <w:noWrap w:val="0"/>
            <w:vAlign w:val="center"/>
          </w:tcPr>
          <w:p w14:paraId="2468851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专用收集桶分类收集密封包装好后分类暂存于厂内危废暂存间，再委托有资质单位定期清运处置</w:t>
            </w:r>
          </w:p>
        </w:tc>
      </w:tr>
      <w:tr w14:paraId="55BD2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14:paraId="36F76E0E">
            <w:pPr>
              <w:spacing w:line="240" w:lineRule="auto"/>
              <w:jc w:val="center"/>
              <w:rPr>
                <w:rFonts w:hint="default" w:ascii="Times New Roman" w:hAnsi="Times New Roman" w:eastAsia="宋体" w:cs="Times New Roman"/>
                <w:color w:val="auto"/>
                <w:sz w:val="21"/>
                <w:szCs w:val="21"/>
                <w:highlight w:val="none"/>
                <w:u w:val="none" w:color="auto"/>
              </w:rPr>
            </w:pPr>
          </w:p>
        </w:tc>
        <w:tc>
          <w:tcPr>
            <w:tcW w:w="579" w:type="dxa"/>
            <w:vMerge w:val="continue"/>
            <w:noWrap w:val="0"/>
            <w:vAlign w:val="center"/>
          </w:tcPr>
          <w:p w14:paraId="69582AE0">
            <w:pPr>
              <w:spacing w:line="240" w:lineRule="auto"/>
              <w:jc w:val="center"/>
              <w:rPr>
                <w:rFonts w:hint="default" w:ascii="Times New Roman" w:hAnsi="Times New Roman" w:eastAsia="宋体" w:cs="Times New Roman"/>
                <w:color w:val="auto"/>
                <w:sz w:val="21"/>
                <w:szCs w:val="21"/>
                <w:highlight w:val="none"/>
                <w:u w:val="none" w:color="auto"/>
              </w:rPr>
            </w:pPr>
          </w:p>
        </w:tc>
        <w:tc>
          <w:tcPr>
            <w:tcW w:w="1331" w:type="dxa"/>
            <w:noWrap w:val="0"/>
            <w:vAlign w:val="center"/>
          </w:tcPr>
          <w:p w14:paraId="5D224D3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w:t>
            </w:r>
            <w:r>
              <w:rPr>
                <w:rFonts w:hint="default" w:ascii="Times New Roman" w:hAnsi="Times New Roman" w:eastAsia="宋体" w:cs="Times New Roman"/>
                <w:color w:val="auto"/>
                <w:sz w:val="21"/>
                <w:szCs w:val="21"/>
                <w:highlight w:val="none"/>
                <w:u w:val="none" w:color="auto"/>
                <w:lang w:eastAsia="zh-CN"/>
              </w:rPr>
              <w:t>重金属</w:t>
            </w:r>
            <w:r>
              <w:rPr>
                <w:rFonts w:hint="default" w:ascii="Times New Roman" w:hAnsi="Times New Roman" w:eastAsia="宋体" w:cs="Times New Roman"/>
                <w:color w:val="auto"/>
                <w:sz w:val="21"/>
                <w:szCs w:val="21"/>
                <w:highlight w:val="none"/>
                <w:u w:val="none" w:color="auto"/>
              </w:rPr>
              <w:t>污泥</w:t>
            </w:r>
          </w:p>
        </w:tc>
        <w:tc>
          <w:tcPr>
            <w:tcW w:w="1255" w:type="dxa"/>
            <w:vMerge w:val="continue"/>
            <w:noWrap w:val="0"/>
            <w:vAlign w:val="center"/>
          </w:tcPr>
          <w:p w14:paraId="6ADA0E86">
            <w:pPr>
              <w:spacing w:line="240" w:lineRule="auto"/>
              <w:jc w:val="center"/>
              <w:rPr>
                <w:rFonts w:hint="default" w:ascii="Times New Roman" w:hAnsi="Times New Roman" w:eastAsia="宋体" w:cs="Times New Roman"/>
                <w:color w:val="auto"/>
                <w:sz w:val="21"/>
                <w:szCs w:val="21"/>
                <w:highlight w:val="none"/>
                <w:u w:val="none" w:color="auto"/>
              </w:rPr>
            </w:pPr>
          </w:p>
        </w:tc>
        <w:tc>
          <w:tcPr>
            <w:tcW w:w="1796" w:type="dxa"/>
            <w:noWrap w:val="0"/>
            <w:vAlign w:val="center"/>
          </w:tcPr>
          <w:p w14:paraId="4E06842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5C45224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336-063-17</w:t>
            </w:r>
          </w:p>
        </w:tc>
        <w:tc>
          <w:tcPr>
            <w:tcW w:w="851" w:type="dxa"/>
            <w:noWrap w:val="0"/>
            <w:vAlign w:val="center"/>
          </w:tcPr>
          <w:p w14:paraId="51EF8C7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1701" w:type="dxa"/>
            <w:noWrap w:val="0"/>
            <w:vAlign w:val="center"/>
          </w:tcPr>
          <w:p w14:paraId="5BF1B6B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电镀废水处理</w:t>
            </w:r>
          </w:p>
        </w:tc>
        <w:tc>
          <w:tcPr>
            <w:tcW w:w="850" w:type="dxa"/>
            <w:noWrap w:val="0"/>
            <w:vAlign w:val="center"/>
          </w:tcPr>
          <w:p w14:paraId="05CFE7E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6B3F23A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2C39B78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4734802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半月/次</w:t>
            </w:r>
          </w:p>
        </w:tc>
        <w:tc>
          <w:tcPr>
            <w:tcW w:w="993" w:type="dxa"/>
            <w:noWrap w:val="0"/>
            <w:vAlign w:val="center"/>
          </w:tcPr>
          <w:p w14:paraId="18449E3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4B1EDACC">
            <w:pPr>
              <w:spacing w:line="240" w:lineRule="auto"/>
              <w:jc w:val="center"/>
              <w:rPr>
                <w:rFonts w:hint="default" w:ascii="Times New Roman" w:hAnsi="Times New Roman" w:eastAsia="宋体" w:cs="Times New Roman"/>
                <w:color w:val="auto"/>
                <w:sz w:val="21"/>
                <w:szCs w:val="21"/>
                <w:highlight w:val="none"/>
                <w:u w:val="none" w:color="auto"/>
              </w:rPr>
            </w:pPr>
          </w:p>
        </w:tc>
      </w:tr>
      <w:tr w14:paraId="521A8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13E107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3</w:t>
            </w:r>
          </w:p>
        </w:tc>
        <w:tc>
          <w:tcPr>
            <w:tcW w:w="1910" w:type="dxa"/>
            <w:gridSpan w:val="2"/>
            <w:noWrap w:val="0"/>
            <w:vAlign w:val="center"/>
          </w:tcPr>
          <w:p w14:paraId="699CE4E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三效蒸发器蒸</w:t>
            </w:r>
            <w:r>
              <w:rPr>
                <w:rFonts w:hint="eastAsia" w:ascii="Times New Roman" w:hAnsi="Times New Roman" w:eastAsia="宋体" w:cs="Times New Roman"/>
                <w:color w:val="auto"/>
                <w:sz w:val="21"/>
                <w:szCs w:val="21"/>
                <w:highlight w:val="none"/>
                <w:u w:val="none" w:color="auto"/>
                <w:lang w:val="en-US" w:eastAsia="zh-CN"/>
              </w:rPr>
              <w:t>发</w:t>
            </w:r>
            <w:r>
              <w:rPr>
                <w:rFonts w:hint="default" w:ascii="Times New Roman" w:hAnsi="Times New Roman" w:eastAsia="宋体" w:cs="Times New Roman"/>
                <w:color w:val="auto"/>
                <w:sz w:val="21"/>
                <w:szCs w:val="21"/>
                <w:highlight w:val="none"/>
                <w:u w:val="none" w:color="auto"/>
              </w:rPr>
              <w:t>残渣</w:t>
            </w:r>
          </w:p>
        </w:tc>
        <w:tc>
          <w:tcPr>
            <w:tcW w:w="1255" w:type="dxa"/>
            <w:noWrap w:val="0"/>
            <w:vAlign w:val="center"/>
          </w:tcPr>
          <w:p w14:paraId="05F2D6A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w:t>
            </w:r>
            <w:r>
              <w:rPr>
                <w:rFonts w:hint="default" w:ascii="Times New Roman" w:hAnsi="Times New Roman" w:eastAsia="宋体" w:cs="Times New Roman"/>
                <w:color w:val="auto"/>
                <w:sz w:val="21"/>
                <w:szCs w:val="21"/>
                <w:highlight w:val="none"/>
                <w:u w:val="none" w:color="auto"/>
                <w:lang w:val="en-US" w:eastAsia="zh-CN"/>
              </w:rPr>
              <w:t>49</w:t>
            </w:r>
            <w:r>
              <w:rPr>
                <w:rFonts w:hint="default" w:ascii="Times New Roman" w:hAnsi="Times New Roman" w:eastAsia="宋体" w:cs="Times New Roman"/>
                <w:color w:val="auto"/>
                <w:sz w:val="21"/>
                <w:szCs w:val="21"/>
                <w:highlight w:val="none"/>
                <w:u w:val="none" w:color="auto"/>
              </w:rPr>
              <w:t>其他废物</w:t>
            </w:r>
          </w:p>
        </w:tc>
        <w:tc>
          <w:tcPr>
            <w:tcW w:w="1796" w:type="dxa"/>
            <w:noWrap w:val="0"/>
            <w:vAlign w:val="center"/>
          </w:tcPr>
          <w:p w14:paraId="16A907D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HW</w:t>
            </w:r>
            <w:r>
              <w:rPr>
                <w:rFonts w:hint="default" w:ascii="Times New Roman" w:hAnsi="Times New Roman" w:eastAsia="宋体" w:cs="Times New Roman"/>
                <w:color w:val="auto"/>
                <w:sz w:val="21"/>
                <w:szCs w:val="21"/>
                <w:highlight w:val="none"/>
                <w:u w:val="none" w:color="auto"/>
                <w:lang w:val="en-US" w:eastAsia="zh-CN"/>
              </w:rPr>
              <w:t>49</w:t>
            </w:r>
          </w:p>
          <w:p w14:paraId="4F7CF0B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772</w:t>
            </w:r>
            <w:r>
              <w:rPr>
                <w:rFonts w:hint="default" w:ascii="Times New Roman" w:hAnsi="Times New Roman" w:eastAsia="宋体" w:cs="Times New Roman"/>
                <w:color w:val="auto"/>
                <w:sz w:val="21"/>
                <w:szCs w:val="21"/>
                <w:highlight w:val="none"/>
                <w:u w:val="none" w:color="auto"/>
              </w:rPr>
              <w:t>-0</w:t>
            </w:r>
            <w:r>
              <w:rPr>
                <w:rFonts w:hint="default" w:ascii="Times New Roman" w:hAnsi="Times New Roman" w:eastAsia="宋体" w:cs="Times New Roman"/>
                <w:color w:val="auto"/>
                <w:sz w:val="21"/>
                <w:szCs w:val="21"/>
                <w:highlight w:val="none"/>
                <w:u w:val="none" w:color="auto"/>
                <w:lang w:val="en-US" w:eastAsia="zh-CN"/>
              </w:rPr>
              <w:t>06</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49</w:t>
            </w:r>
          </w:p>
        </w:tc>
        <w:tc>
          <w:tcPr>
            <w:tcW w:w="851" w:type="dxa"/>
            <w:noWrap w:val="0"/>
            <w:vAlign w:val="center"/>
          </w:tcPr>
          <w:p w14:paraId="33B842C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487.35</w:t>
            </w:r>
          </w:p>
        </w:tc>
        <w:tc>
          <w:tcPr>
            <w:tcW w:w="1701" w:type="dxa"/>
            <w:noWrap w:val="0"/>
            <w:vAlign w:val="center"/>
          </w:tcPr>
          <w:p w14:paraId="76C5393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电镀废水处理零排放系统</w:t>
            </w:r>
          </w:p>
        </w:tc>
        <w:tc>
          <w:tcPr>
            <w:tcW w:w="850" w:type="dxa"/>
            <w:noWrap w:val="0"/>
            <w:vAlign w:val="center"/>
          </w:tcPr>
          <w:p w14:paraId="177E5AA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760A5A4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3096838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6C6564F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一天/次</w:t>
            </w:r>
          </w:p>
        </w:tc>
        <w:tc>
          <w:tcPr>
            <w:tcW w:w="993" w:type="dxa"/>
            <w:noWrap w:val="0"/>
            <w:vAlign w:val="center"/>
          </w:tcPr>
          <w:p w14:paraId="25E1F0F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3BE50396">
            <w:pPr>
              <w:spacing w:line="240" w:lineRule="auto"/>
              <w:jc w:val="center"/>
              <w:rPr>
                <w:rFonts w:hint="default" w:ascii="Times New Roman" w:hAnsi="Times New Roman" w:eastAsia="宋体" w:cs="Times New Roman"/>
                <w:color w:val="auto"/>
                <w:sz w:val="21"/>
                <w:szCs w:val="21"/>
                <w:highlight w:val="none"/>
                <w:u w:val="none" w:color="auto"/>
              </w:rPr>
            </w:pPr>
          </w:p>
        </w:tc>
      </w:tr>
      <w:tr w14:paraId="73DE4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noWrap w:val="0"/>
            <w:vAlign w:val="center"/>
          </w:tcPr>
          <w:p w14:paraId="18A13A8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4</w:t>
            </w:r>
          </w:p>
        </w:tc>
        <w:tc>
          <w:tcPr>
            <w:tcW w:w="1910" w:type="dxa"/>
            <w:gridSpan w:val="2"/>
            <w:noWrap w:val="0"/>
            <w:vAlign w:val="center"/>
          </w:tcPr>
          <w:p w14:paraId="5009BD4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危险化学品包装材料</w:t>
            </w:r>
          </w:p>
        </w:tc>
        <w:tc>
          <w:tcPr>
            <w:tcW w:w="1255" w:type="dxa"/>
            <w:noWrap w:val="0"/>
            <w:vAlign w:val="center"/>
          </w:tcPr>
          <w:p w14:paraId="15F9409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其他废物</w:t>
            </w:r>
          </w:p>
        </w:tc>
        <w:tc>
          <w:tcPr>
            <w:tcW w:w="1796" w:type="dxa"/>
            <w:noWrap w:val="0"/>
            <w:vAlign w:val="center"/>
          </w:tcPr>
          <w:p w14:paraId="0D8B677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HW49</w:t>
            </w:r>
          </w:p>
          <w:p w14:paraId="357D15E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900-041-49</w:t>
            </w:r>
          </w:p>
        </w:tc>
        <w:tc>
          <w:tcPr>
            <w:tcW w:w="851" w:type="dxa"/>
            <w:noWrap w:val="0"/>
            <w:vAlign w:val="center"/>
          </w:tcPr>
          <w:p w14:paraId="752EDA3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1701" w:type="dxa"/>
            <w:noWrap w:val="0"/>
            <w:vAlign w:val="center"/>
          </w:tcPr>
          <w:p w14:paraId="199D3B0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化学品包装</w:t>
            </w:r>
          </w:p>
        </w:tc>
        <w:tc>
          <w:tcPr>
            <w:tcW w:w="850" w:type="dxa"/>
            <w:noWrap w:val="0"/>
            <w:vAlign w:val="center"/>
          </w:tcPr>
          <w:p w14:paraId="677AB6B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6D7D54C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2E86E79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5506A23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一月/次</w:t>
            </w:r>
          </w:p>
        </w:tc>
        <w:tc>
          <w:tcPr>
            <w:tcW w:w="993" w:type="dxa"/>
            <w:noWrap w:val="0"/>
            <w:vAlign w:val="center"/>
          </w:tcPr>
          <w:p w14:paraId="5B20332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21C4E720">
            <w:pPr>
              <w:spacing w:line="240" w:lineRule="auto"/>
              <w:jc w:val="center"/>
              <w:rPr>
                <w:rFonts w:hint="default" w:ascii="Times New Roman" w:hAnsi="Times New Roman" w:eastAsia="宋体" w:cs="Times New Roman"/>
                <w:color w:val="auto"/>
                <w:sz w:val="21"/>
                <w:szCs w:val="21"/>
                <w:highlight w:val="none"/>
                <w:u w:val="none" w:color="auto"/>
              </w:rPr>
            </w:pPr>
          </w:p>
        </w:tc>
      </w:tr>
      <w:tr w14:paraId="2ED91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7F9344A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1910" w:type="dxa"/>
            <w:gridSpan w:val="2"/>
            <w:noWrap w:val="0"/>
            <w:vAlign w:val="center"/>
          </w:tcPr>
          <w:p w14:paraId="06AF4D0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SA"/>
              </w:rPr>
              <w:t>废水处理站及生产过程废过滤材料</w:t>
            </w:r>
          </w:p>
        </w:tc>
        <w:tc>
          <w:tcPr>
            <w:tcW w:w="1255" w:type="dxa"/>
            <w:noWrap w:val="0"/>
            <w:vAlign w:val="center"/>
          </w:tcPr>
          <w:p w14:paraId="669AD34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其他废物</w:t>
            </w:r>
          </w:p>
        </w:tc>
        <w:tc>
          <w:tcPr>
            <w:tcW w:w="1796" w:type="dxa"/>
            <w:noWrap w:val="0"/>
            <w:vAlign w:val="center"/>
          </w:tcPr>
          <w:p w14:paraId="51714BF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HW49</w:t>
            </w:r>
          </w:p>
          <w:p w14:paraId="7594916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900-041-49</w:t>
            </w:r>
          </w:p>
        </w:tc>
        <w:tc>
          <w:tcPr>
            <w:tcW w:w="851" w:type="dxa"/>
            <w:noWrap w:val="0"/>
            <w:vAlign w:val="center"/>
          </w:tcPr>
          <w:p w14:paraId="30B324A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w:t>
            </w:r>
          </w:p>
        </w:tc>
        <w:tc>
          <w:tcPr>
            <w:tcW w:w="1701" w:type="dxa"/>
            <w:noWrap w:val="0"/>
            <w:vAlign w:val="center"/>
          </w:tcPr>
          <w:p w14:paraId="718EC90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电镀废水处理站和渡槽过滤机</w:t>
            </w:r>
          </w:p>
        </w:tc>
        <w:tc>
          <w:tcPr>
            <w:tcW w:w="850" w:type="dxa"/>
            <w:noWrap w:val="0"/>
            <w:vAlign w:val="center"/>
          </w:tcPr>
          <w:p w14:paraId="56BF43C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20DF65A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r>
              <w:rPr>
                <w:rFonts w:hint="default" w:ascii="Times New Roman" w:hAnsi="Times New Roman" w:eastAsia="宋体" w:cs="Times New Roman"/>
                <w:color w:val="auto"/>
                <w:sz w:val="21"/>
                <w:szCs w:val="21"/>
                <w:highlight w:val="none"/>
                <w:u w:val="none" w:color="auto"/>
                <w:lang w:eastAsia="zh-CN"/>
              </w:rPr>
              <w:t>、铜</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591E39B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r>
              <w:rPr>
                <w:rFonts w:hint="default" w:ascii="Times New Roman" w:hAnsi="Times New Roman" w:eastAsia="宋体" w:cs="Times New Roman"/>
                <w:color w:val="auto"/>
                <w:sz w:val="21"/>
                <w:szCs w:val="21"/>
                <w:highlight w:val="none"/>
                <w:u w:val="none" w:color="auto"/>
                <w:lang w:eastAsia="zh-CN"/>
              </w:rPr>
              <w:t>、铜</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769A183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0970C41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6B42234C">
            <w:pPr>
              <w:spacing w:line="240" w:lineRule="auto"/>
              <w:jc w:val="center"/>
              <w:rPr>
                <w:rFonts w:hint="default" w:ascii="Times New Roman" w:hAnsi="Times New Roman" w:eastAsia="宋体" w:cs="Times New Roman"/>
                <w:color w:val="auto"/>
                <w:sz w:val="21"/>
                <w:szCs w:val="21"/>
                <w:highlight w:val="none"/>
                <w:u w:val="none" w:color="auto"/>
              </w:rPr>
            </w:pPr>
          </w:p>
        </w:tc>
      </w:tr>
      <w:tr w14:paraId="241A4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1CB44E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w:t>
            </w:r>
          </w:p>
        </w:tc>
        <w:tc>
          <w:tcPr>
            <w:tcW w:w="1910" w:type="dxa"/>
            <w:gridSpan w:val="2"/>
            <w:noWrap w:val="0"/>
            <w:vAlign w:val="center"/>
          </w:tcPr>
          <w:p w14:paraId="7D7624F6">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废活性炭</w:t>
            </w:r>
          </w:p>
        </w:tc>
        <w:tc>
          <w:tcPr>
            <w:tcW w:w="1255" w:type="dxa"/>
            <w:noWrap w:val="0"/>
            <w:vAlign w:val="center"/>
          </w:tcPr>
          <w:p w14:paraId="76C34FCC">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其他废物</w:t>
            </w:r>
          </w:p>
        </w:tc>
        <w:tc>
          <w:tcPr>
            <w:tcW w:w="1796" w:type="dxa"/>
            <w:noWrap w:val="0"/>
            <w:vAlign w:val="center"/>
          </w:tcPr>
          <w:p w14:paraId="07D406D3">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HW49</w:t>
            </w:r>
          </w:p>
          <w:p w14:paraId="1906C2EA">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900-041-49</w:t>
            </w:r>
          </w:p>
        </w:tc>
        <w:tc>
          <w:tcPr>
            <w:tcW w:w="851" w:type="dxa"/>
            <w:noWrap w:val="0"/>
            <w:vAlign w:val="center"/>
          </w:tcPr>
          <w:p w14:paraId="34B6FA4E">
            <w:pPr>
              <w:spacing w:line="240" w:lineRule="auto"/>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8</w:t>
            </w:r>
          </w:p>
        </w:tc>
        <w:tc>
          <w:tcPr>
            <w:tcW w:w="1701" w:type="dxa"/>
            <w:noWrap w:val="0"/>
            <w:vAlign w:val="center"/>
          </w:tcPr>
          <w:p w14:paraId="34984A2D">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废气处理设施</w:t>
            </w:r>
          </w:p>
        </w:tc>
        <w:tc>
          <w:tcPr>
            <w:tcW w:w="850" w:type="dxa"/>
            <w:noWrap w:val="0"/>
            <w:vAlign w:val="center"/>
          </w:tcPr>
          <w:p w14:paraId="3CEB59C1">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固态</w:t>
            </w:r>
          </w:p>
        </w:tc>
        <w:tc>
          <w:tcPr>
            <w:tcW w:w="1418" w:type="dxa"/>
            <w:noWrap w:val="0"/>
            <w:vAlign w:val="center"/>
          </w:tcPr>
          <w:p w14:paraId="5AE738AB">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镍</w:t>
            </w:r>
            <w:r>
              <w:rPr>
                <w:rFonts w:hint="default" w:ascii="Times New Roman" w:hAnsi="Times New Roman" w:eastAsia="宋体" w:cs="Times New Roman"/>
                <w:color w:val="auto"/>
                <w:sz w:val="21"/>
                <w:szCs w:val="21"/>
                <w:highlight w:val="none"/>
                <w:u w:val="single" w:color="auto"/>
                <w:lang w:eastAsia="zh-CN"/>
              </w:rPr>
              <w:t>、铜、有机物</w:t>
            </w:r>
            <w:r>
              <w:rPr>
                <w:rFonts w:hint="default" w:ascii="Times New Roman" w:hAnsi="Times New Roman" w:eastAsia="宋体" w:cs="Times New Roman"/>
                <w:color w:val="auto"/>
                <w:sz w:val="21"/>
                <w:szCs w:val="21"/>
                <w:highlight w:val="none"/>
                <w:u w:val="single" w:color="auto"/>
              </w:rPr>
              <w:t>等重金属</w:t>
            </w:r>
          </w:p>
        </w:tc>
        <w:tc>
          <w:tcPr>
            <w:tcW w:w="1276" w:type="dxa"/>
            <w:noWrap w:val="0"/>
            <w:vAlign w:val="center"/>
          </w:tcPr>
          <w:p w14:paraId="33E2EA9F">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镍</w:t>
            </w:r>
            <w:r>
              <w:rPr>
                <w:rFonts w:hint="default" w:ascii="Times New Roman" w:hAnsi="Times New Roman" w:eastAsia="宋体" w:cs="Times New Roman"/>
                <w:color w:val="auto"/>
                <w:sz w:val="21"/>
                <w:szCs w:val="21"/>
                <w:highlight w:val="none"/>
                <w:u w:val="single" w:color="auto"/>
                <w:lang w:eastAsia="zh-CN"/>
              </w:rPr>
              <w:t>、铜、有机物</w:t>
            </w:r>
            <w:r>
              <w:rPr>
                <w:rFonts w:hint="default" w:ascii="Times New Roman" w:hAnsi="Times New Roman" w:eastAsia="宋体" w:cs="Times New Roman"/>
                <w:color w:val="auto"/>
                <w:sz w:val="21"/>
                <w:szCs w:val="21"/>
                <w:highlight w:val="none"/>
                <w:u w:val="single" w:color="auto"/>
              </w:rPr>
              <w:t>等重金属</w:t>
            </w:r>
          </w:p>
        </w:tc>
        <w:tc>
          <w:tcPr>
            <w:tcW w:w="1275" w:type="dxa"/>
            <w:noWrap w:val="0"/>
            <w:vAlign w:val="center"/>
          </w:tcPr>
          <w:p w14:paraId="67773513">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一季度一次</w:t>
            </w:r>
          </w:p>
        </w:tc>
        <w:tc>
          <w:tcPr>
            <w:tcW w:w="993" w:type="dxa"/>
            <w:noWrap w:val="0"/>
            <w:vAlign w:val="center"/>
          </w:tcPr>
          <w:p w14:paraId="03F88156">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T</w:t>
            </w:r>
          </w:p>
        </w:tc>
        <w:tc>
          <w:tcPr>
            <w:tcW w:w="1417" w:type="dxa"/>
            <w:vMerge w:val="continue"/>
            <w:noWrap w:val="0"/>
            <w:vAlign w:val="center"/>
          </w:tcPr>
          <w:p w14:paraId="4203008F">
            <w:pPr>
              <w:spacing w:line="240" w:lineRule="auto"/>
              <w:jc w:val="center"/>
              <w:rPr>
                <w:rFonts w:hint="default" w:ascii="Times New Roman" w:hAnsi="Times New Roman" w:eastAsia="宋体" w:cs="Times New Roman"/>
                <w:color w:val="auto"/>
                <w:sz w:val="21"/>
                <w:szCs w:val="21"/>
                <w:highlight w:val="none"/>
                <w:u w:val="none" w:color="auto"/>
              </w:rPr>
            </w:pPr>
          </w:p>
        </w:tc>
      </w:tr>
      <w:tr w14:paraId="019AE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61D6C7B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w:t>
            </w:r>
          </w:p>
        </w:tc>
        <w:tc>
          <w:tcPr>
            <w:tcW w:w="1910" w:type="dxa"/>
            <w:gridSpan w:val="2"/>
            <w:noWrap w:val="0"/>
            <w:vAlign w:val="center"/>
          </w:tcPr>
          <w:p w14:paraId="50B75F0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废切削液</w:t>
            </w:r>
          </w:p>
        </w:tc>
        <w:tc>
          <w:tcPr>
            <w:tcW w:w="1255" w:type="dxa"/>
            <w:noWrap w:val="0"/>
            <w:vAlign w:val="center"/>
          </w:tcPr>
          <w:p w14:paraId="2BEAA43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HW09</w:t>
            </w:r>
          </w:p>
          <w:p w14:paraId="62530DB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油/水、烃</w:t>
            </w:r>
          </w:p>
          <w:p w14:paraId="2C14AC0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/水混合</w:t>
            </w:r>
          </w:p>
          <w:p w14:paraId="0A82086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物或乳化</w:t>
            </w:r>
          </w:p>
          <w:p w14:paraId="5536F85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液</w:t>
            </w:r>
          </w:p>
        </w:tc>
        <w:tc>
          <w:tcPr>
            <w:tcW w:w="1796" w:type="dxa"/>
            <w:noWrap w:val="0"/>
            <w:vAlign w:val="center"/>
          </w:tcPr>
          <w:p w14:paraId="0DDB05E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HW09</w:t>
            </w:r>
          </w:p>
          <w:p w14:paraId="6D0CE99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900-006-09</w:t>
            </w:r>
          </w:p>
        </w:tc>
        <w:tc>
          <w:tcPr>
            <w:tcW w:w="851" w:type="dxa"/>
            <w:noWrap w:val="0"/>
            <w:vAlign w:val="center"/>
          </w:tcPr>
          <w:p w14:paraId="646E9D8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0.5</w:t>
            </w:r>
          </w:p>
        </w:tc>
        <w:tc>
          <w:tcPr>
            <w:tcW w:w="1701" w:type="dxa"/>
            <w:noWrap w:val="0"/>
            <w:vAlign w:val="center"/>
          </w:tcPr>
          <w:p w14:paraId="1546325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机加工</w:t>
            </w:r>
          </w:p>
        </w:tc>
        <w:tc>
          <w:tcPr>
            <w:tcW w:w="850" w:type="dxa"/>
            <w:noWrap w:val="0"/>
            <w:vAlign w:val="center"/>
          </w:tcPr>
          <w:p w14:paraId="5DB163C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液态</w:t>
            </w:r>
          </w:p>
        </w:tc>
        <w:tc>
          <w:tcPr>
            <w:tcW w:w="1418" w:type="dxa"/>
            <w:noWrap w:val="0"/>
            <w:vAlign w:val="center"/>
          </w:tcPr>
          <w:p w14:paraId="217ACB1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切削液</w:t>
            </w:r>
          </w:p>
        </w:tc>
        <w:tc>
          <w:tcPr>
            <w:tcW w:w="1276" w:type="dxa"/>
            <w:noWrap w:val="0"/>
            <w:vAlign w:val="center"/>
          </w:tcPr>
          <w:p w14:paraId="5FFF514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切削液</w:t>
            </w:r>
          </w:p>
        </w:tc>
        <w:tc>
          <w:tcPr>
            <w:tcW w:w="1275" w:type="dxa"/>
            <w:noWrap w:val="0"/>
            <w:vAlign w:val="center"/>
          </w:tcPr>
          <w:p w14:paraId="016698E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一年一次</w:t>
            </w:r>
          </w:p>
        </w:tc>
        <w:tc>
          <w:tcPr>
            <w:tcW w:w="993" w:type="dxa"/>
            <w:noWrap w:val="0"/>
            <w:vAlign w:val="center"/>
          </w:tcPr>
          <w:p w14:paraId="05DA1D7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595E9456">
            <w:pPr>
              <w:spacing w:line="240" w:lineRule="auto"/>
              <w:jc w:val="center"/>
              <w:rPr>
                <w:rFonts w:hint="default" w:ascii="Times New Roman" w:hAnsi="Times New Roman" w:eastAsia="宋体" w:cs="Times New Roman"/>
                <w:color w:val="auto"/>
                <w:sz w:val="21"/>
                <w:szCs w:val="21"/>
                <w:highlight w:val="none"/>
                <w:u w:val="none" w:color="auto"/>
              </w:rPr>
            </w:pPr>
          </w:p>
        </w:tc>
      </w:tr>
      <w:tr w14:paraId="7C6D5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1DD4A67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w:t>
            </w:r>
          </w:p>
        </w:tc>
        <w:tc>
          <w:tcPr>
            <w:tcW w:w="1910" w:type="dxa"/>
            <w:gridSpan w:val="2"/>
            <w:noWrap w:val="0"/>
            <w:vAlign w:val="center"/>
          </w:tcPr>
          <w:p w14:paraId="5FE496C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废矿物油</w:t>
            </w:r>
          </w:p>
        </w:tc>
        <w:tc>
          <w:tcPr>
            <w:tcW w:w="1255" w:type="dxa"/>
            <w:noWrap w:val="0"/>
            <w:vAlign w:val="center"/>
          </w:tcPr>
          <w:p w14:paraId="6072C46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HW08</w:t>
            </w:r>
          </w:p>
          <w:p w14:paraId="0ACCAFB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废矿物油</w:t>
            </w:r>
          </w:p>
          <w:p w14:paraId="675FE07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与含矿物</w:t>
            </w:r>
          </w:p>
          <w:p w14:paraId="203C38A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油废物</w:t>
            </w:r>
          </w:p>
        </w:tc>
        <w:tc>
          <w:tcPr>
            <w:tcW w:w="1796" w:type="dxa"/>
            <w:noWrap w:val="0"/>
            <w:vAlign w:val="center"/>
          </w:tcPr>
          <w:p w14:paraId="2B5E045C">
            <w:pPr>
              <w:spacing w:line="240" w:lineRule="auto"/>
              <w:jc w:val="center"/>
              <w:rPr>
                <w:rFonts w:hint="default" w:ascii="Times New Roman" w:hAnsi="Times New Roman" w:cs="Times New Roman"/>
                <w:bCs/>
                <w:color w:val="auto"/>
                <w:sz w:val="21"/>
                <w:szCs w:val="21"/>
                <w:highlight w:val="none"/>
                <w:u w:val="none" w:color="auto"/>
              </w:rPr>
            </w:pPr>
            <w:r>
              <w:rPr>
                <w:rFonts w:hint="default" w:ascii="Times New Roman" w:hAnsi="Times New Roman" w:eastAsia="TimesNewRomanPSMT" w:cs="Times New Roman"/>
                <w:color w:val="auto"/>
                <w:kern w:val="0"/>
                <w:sz w:val="21"/>
                <w:szCs w:val="21"/>
                <w:highlight w:val="none"/>
                <w:u w:val="none" w:color="auto"/>
              </w:rPr>
              <w:t>HW08</w:t>
            </w:r>
          </w:p>
          <w:p w14:paraId="301B846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900-249-08</w:t>
            </w:r>
          </w:p>
        </w:tc>
        <w:tc>
          <w:tcPr>
            <w:tcW w:w="851" w:type="dxa"/>
            <w:noWrap w:val="0"/>
            <w:vAlign w:val="center"/>
          </w:tcPr>
          <w:p w14:paraId="11F9540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1701" w:type="dxa"/>
            <w:noWrap w:val="0"/>
            <w:vAlign w:val="center"/>
          </w:tcPr>
          <w:p w14:paraId="61BC1CF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设备维修</w:t>
            </w:r>
          </w:p>
        </w:tc>
        <w:tc>
          <w:tcPr>
            <w:tcW w:w="850" w:type="dxa"/>
            <w:noWrap w:val="0"/>
            <w:vAlign w:val="center"/>
          </w:tcPr>
          <w:p w14:paraId="393E074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液态</w:t>
            </w:r>
          </w:p>
        </w:tc>
        <w:tc>
          <w:tcPr>
            <w:tcW w:w="1418" w:type="dxa"/>
            <w:noWrap w:val="0"/>
            <w:vAlign w:val="center"/>
          </w:tcPr>
          <w:p w14:paraId="023C570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废矿物油</w:t>
            </w:r>
          </w:p>
        </w:tc>
        <w:tc>
          <w:tcPr>
            <w:tcW w:w="1276" w:type="dxa"/>
            <w:noWrap w:val="0"/>
            <w:vAlign w:val="center"/>
          </w:tcPr>
          <w:p w14:paraId="1277C83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矿物油</w:t>
            </w:r>
          </w:p>
        </w:tc>
        <w:tc>
          <w:tcPr>
            <w:tcW w:w="1275" w:type="dxa"/>
            <w:noWrap w:val="0"/>
            <w:vAlign w:val="center"/>
          </w:tcPr>
          <w:p w14:paraId="0DACE0A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一季度一次</w:t>
            </w:r>
          </w:p>
        </w:tc>
        <w:tc>
          <w:tcPr>
            <w:tcW w:w="993" w:type="dxa"/>
            <w:noWrap w:val="0"/>
            <w:vAlign w:val="center"/>
          </w:tcPr>
          <w:p w14:paraId="7730748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1762BB76">
            <w:pPr>
              <w:spacing w:line="240" w:lineRule="auto"/>
              <w:jc w:val="center"/>
              <w:rPr>
                <w:rFonts w:hint="default" w:ascii="Times New Roman" w:hAnsi="Times New Roman" w:eastAsia="宋体" w:cs="Times New Roman"/>
                <w:color w:val="auto"/>
                <w:sz w:val="21"/>
                <w:szCs w:val="21"/>
                <w:highlight w:val="none"/>
                <w:u w:val="none" w:color="auto"/>
              </w:rPr>
            </w:pPr>
          </w:p>
        </w:tc>
      </w:tr>
      <w:tr w14:paraId="4673D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4B9643E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9</w:t>
            </w:r>
          </w:p>
        </w:tc>
        <w:tc>
          <w:tcPr>
            <w:tcW w:w="1910" w:type="dxa"/>
            <w:gridSpan w:val="2"/>
            <w:noWrap w:val="0"/>
            <w:vAlign w:val="center"/>
          </w:tcPr>
          <w:p w14:paraId="2466201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含油抹布</w:t>
            </w:r>
          </w:p>
        </w:tc>
        <w:tc>
          <w:tcPr>
            <w:tcW w:w="1255" w:type="dxa"/>
            <w:noWrap w:val="0"/>
            <w:vAlign w:val="center"/>
          </w:tcPr>
          <w:p w14:paraId="0C57FB9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w:t>
            </w:r>
            <w:r>
              <w:rPr>
                <w:rFonts w:hint="default" w:ascii="Times New Roman" w:hAnsi="Times New Roman" w:eastAsia="宋体" w:cs="Times New Roman"/>
                <w:color w:val="auto"/>
                <w:sz w:val="21"/>
                <w:szCs w:val="21"/>
                <w:highlight w:val="none"/>
                <w:u w:val="none" w:color="auto"/>
                <w:lang w:val="en-US" w:eastAsia="zh-CN"/>
              </w:rPr>
              <w:t>49</w:t>
            </w:r>
            <w:r>
              <w:rPr>
                <w:rFonts w:hint="default" w:ascii="Times New Roman" w:hAnsi="Times New Roman" w:eastAsia="宋体" w:cs="Times New Roman"/>
                <w:color w:val="auto"/>
                <w:sz w:val="21"/>
                <w:szCs w:val="21"/>
                <w:highlight w:val="none"/>
                <w:u w:val="none" w:color="auto"/>
              </w:rPr>
              <w:t>其他废物</w:t>
            </w:r>
          </w:p>
        </w:tc>
        <w:tc>
          <w:tcPr>
            <w:tcW w:w="1796" w:type="dxa"/>
            <w:noWrap w:val="0"/>
            <w:vAlign w:val="center"/>
          </w:tcPr>
          <w:p w14:paraId="49185758">
            <w:pPr>
              <w:spacing w:line="240" w:lineRule="auto"/>
              <w:jc w:val="center"/>
              <w:rPr>
                <w:rFonts w:hint="default" w:ascii="Times New Roman" w:hAnsi="Times New Roman" w:cs="Times New Roman"/>
                <w:bCs/>
                <w:color w:val="auto"/>
                <w:sz w:val="21"/>
                <w:szCs w:val="21"/>
                <w:highlight w:val="none"/>
                <w:u w:val="none" w:color="auto"/>
              </w:rPr>
            </w:pPr>
            <w:r>
              <w:rPr>
                <w:rFonts w:hint="default" w:ascii="Times New Roman" w:hAnsi="Times New Roman" w:eastAsia="TimesNewRomanPSMT" w:cs="Times New Roman"/>
                <w:color w:val="auto"/>
                <w:kern w:val="0"/>
                <w:sz w:val="21"/>
                <w:szCs w:val="21"/>
                <w:highlight w:val="none"/>
                <w:u w:val="none" w:color="auto"/>
              </w:rPr>
              <w:t>HW49</w:t>
            </w:r>
          </w:p>
          <w:p w14:paraId="5BF9E875">
            <w:pPr>
              <w:spacing w:line="240" w:lineRule="auto"/>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900-041-49</w:t>
            </w:r>
          </w:p>
        </w:tc>
        <w:tc>
          <w:tcPr>
            <w:tcW w:w="851" w:type="dxa"/>
            <w:noWrap w:val="0"/>
            <w:vAlign w:val="center"/>
          </w:tcPr>
          <w:p w14:paraId="6B51C4A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0.5</w:t>
            </w:r>
          </w:p>
        </w:tc>
        <w:tc>
          <w:tcPr>
            <w:tcW w:w="1701" w:type="dxa"/>
            <w:noWrap w:val="0"/>
            <w:vAlign w:val="center"/>
          </w:tcPr>
          <w:p w14:paraId="33B0A64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设备维修</w:t>
            </w:r>
          </w:p>
        </w:tc>
        <w:tc>
          <w:tcPr>
            <w:tcW w:w="850" w:type="dxa"/>
            <w:noWrap w:val="0"/>
            <w:vAlign w:val="center"/>
          </w:tcPr>
          <w:p w14:paraId="7E90DE2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1E77E32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废矿物油</w:t>
            </w:r>
          </w:p>
        </w:tc>
        <w:tc>
          <w:tcPr>
            <w:tcW w:w="1276" w:type="dxa"/>
            <w:noWrap w:val="0"/>
            <w:vAlign w:val="center"/>
          </w:tcPr>
          <w:p w14:paraId="24BB0E7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矿物油</w:t>
            </w:r>
          </w:p>
        </w:tc>
        <w:tc>
          <w:tcPr>
            <w:tcW w:w="1275" w:type="dxa"/>
            <w:noWrap w:val="0"/>
            <w:vAlign w:val="center"/>
          </w:tcPr>
          <w:p w14:paraId="137D133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一天/次</w:t>
            </w:r>
          </w:p>
        </w:tc>
        <w:tc>
          <w:tcPr>
            <w:tcW w:w="993" w:type="dxa"/>
            <w:noWrap w:val="0"/>
            <w:vAlign w:val="center"/>
          </w:tcPr>
          <w:p w14:paraId="142D61E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55A1C7ED">
            <w:pPr>
              <w:spacing w:line="240" w:lineRule="auto"/>
              <w:jc w:val="center"/>
              <w:rPr>
                <w:rFonts w:hint="default" w:ascii="Times New Roman" w:hAnsi="Times New Roman" w:eastAsia="宋体" w:cs="Times New Roman"/>
                <w:color w:val="auto"/>
                <w:sz w:val="21"/>
                <w:szCs w:val="21"/>
                <w:highlight w:val="none"/>
                <w:u w:val="none" w:color="auto"/>
              </w:rPr>
            </w:pPr>
          </w:p>
        </w:tc>
      </w:tr>
    </w:tbl>
    <w:p w14:paraId="47C232D1">
      <w:pPr>
        <w:spacing w:line="560" w:lineRule="exact"/>
        <w:ind w:firstLine="480" w:firstLineChars="200"/>
        <w:jc w:val="left"/>
        <w:rPr>
          <w:rFonts w:hint="default" w:ascii="Times New Roman" w:hAnsi="Times New Roman" w:cs="Times New Roman"/>
          <w:bCs/>
          <w:color w:val="auto"/>
          <w:sz w:val="24"/>
          <w:highlight w:val="none"/>
          <w:u w:val="none" w:color="auto"/>
        </w:rPr>
      </w:pPr>
    </w:p>
    <w:p w14:paraId="6BE3637F">
      <w:pPr>
        <w:pStyle w:val="10"/>
        <w:rPr>
          <w:rFonts w:hint="default" w:ascii="Times New Roman" w:hAnsi="Times New Roman" w:cs="Times New Roman"/>
          <w:color w:val="auto"/>
          <w:highlight w:val="none"/>
          <w:u w:val="none" w:color="auto"/>
        </w:rPr>
        <w:sectPr>
          <w:pgSz w:w="16838" w:h="11905" w:orient="landscape"/>
          <w:pgMar w:top="1474" w:right="1247" w:bottom="1417" w:left="1247" w:header="851" w:footer="992" w:gutter="0"/>
          <w:pgBorders>
            <w:top w:val="none" w:sz="0" w:space="0"/>
            <w:left w:val="none" w:sz="0" w:space="0"/>
            <w:bottom w:val="none" w:sz="0" w:space="0"/>
            <w:right w:val="none" w:sz="0" w:space="0"/>
          </w:pgBorders>
          <w:cols w:space="720" w:num="1"/>
          <w:docGrid w:linePitch="345" w:charSpace="0"/>
        </w:sectPr>
      </w:pPr>
      <w:r>
        <w:rPr>
          <w:rFonts w:hint="default" w:ascii="Times New Roman" w:hAnsi="Times New Roman" w:cs="Times New Roman"/>
          <w:bCs/>
          <w:color w:val="auto"/>
          <w:sz w:val="24"/>
          <w:highlight w:val="none"/>
          <w:u w:val="none" w:color="auto"/>
        </w:rPr>
        <w:t xml:space="preserve"> </w:t>
      </w:r>
    </w:p>
    <w:p w14:paraId="7A7BE7FC">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（4）固体废弃物产生及处置方式汇总</w:t>
      </w:r>
    </w:p>
    <w:p w14:paraId="6E37AA2F">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项目各类型固体废物产生量及处置情况，详见下表。</w:t>
      </w:r>
    </w:p>
    <w:p w14:paraId="778A5469">
      <w:pPr>
        <w:pStyle w:val="7"/>
        <w:spacing w:line="480" w:lineRule="exact"/>
        <w:ind w:left="480" w:firstLine="0"/>
        <w:jc w:val="center"/>
        <w:rPr>
          <w:rFonts w:hint="default" w:ascii="Times New Roman" w:hAnsi="Times New Roman" w:eastAsia="宋体" w:cs="Times New Roman"/>
          <w:b/>
          <w:color w:val="auto"/>
          <w:kern w:val="2"/>
          <w:sz w:val="21"/>
          <w:szCs w:val="18"/>
          <w:highlight w:val="none"/>
          <w:u w:val="none" w:color="auto"/>
          <w:lang w:val="en-US" w:eastAsia="zh-CN" w:bidi="ar-SA"/>
        </w:rPr>
      </w:pPr>
      <w:r>
        <w:rPr>
          <w:rFonts w:hint="default" w:ascii="Times New Roman" w:hAnsi="Times New Roman" w:eastAsia="宋体" w:cs="Times New Roman"/>
          <w:b/>
          <w:color w:val="auto"/>
          <w:kern w:val="2"/>
          <w:sz w:val="21"/>
          <w:szCs w:val="18"/>
          <w:highlight w:val="none"/>
          <w:u w:val="none" w:color="auto"/>
          <w:lang w:val="en-US" w:eastAsia="zh-CN" w:bidi="ar-SA"/>
        </w:rPr>
        <w:t>表4.4-15  项目各类型固体废物产生量及处置情况表</w:t>
      </w:r>
    </w:p>
    <w:tbl>
      <w:tblPr>
        <w:tblStyle w:val="22"/>
        <w:tblW w:w="89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1335"/>
        <w:gridCol w:w="1095"/>
        <w:gridCol w:w="2250"/>
        <w:gridCol w:w="1921"/>
      </w:tblGrid>
      <w:tr w14:paraId="42437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54ED0495">
            <w:pPr>
              <w:keepNext w:val="0"/>
              <w:keepLines w:val="0"/>
              <w:pageBreakBefore w:val="0"/>
              <w:widowControl w:val="0"/>
              <w:tabs>
                <w:tab w:val="left" w:pos="5226"/>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类别</w:t>
            </w:r>
          </w:p>
        </w:tc>
        <w:tc>
          <w:tcPr>
            <w:tcW w:w="1335" w:type="dxa"/>
            <w:noWrap w:val="0"/>
            <w:vAlign w:val="center"/>
          </w:tcPr>
          <w:p w14:paraId="2260B6EA">
            <w:pPr>
              <w:keepNext w:val="0"/>
              <w:keepLines w:val="0"/>
              <w:pageBreakBefore w:val="0"/>
              <w:widowControl w:val="0"/>
              <w:tabs>
                <w:tab w:val="left" w:pos="5226"/>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产生量（t/a)</w:t>
            </w:r>
          </w:p>
        </w:tc>
        <w:tc>
          <w:tcPr>
            <w:tcW w:w="3345" w:type="dxa"/>
            <w:gridSpan w:val="2"/>
            <w:tcBorders>
              <w:right w:val="single" w:color="auto" w:sz="4" w:space="0"/>
            </w:tcBorders>
            <w:noWrap w:val="0"/>
            <w:vAlign w:val="center"/>
          </w:tcPr>
          <w:p w14:paraId="112D5175">
            <w:pPr>
              <w:keepNext w:val="0"/>
              <w:keepLines w:val="0"/>
              <w:pageBreakBefore w:val="0"/>
              <w:widowControl w:val="0"/>
              <w:tabs>
                <w:tab w:val="left" w:pos="5226"/>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属性及代码</w:t>
            </w:r>
          </w:p>
        </w:tc>
        <w:tc>
          <w:tcPr>
            <w:tcW w:w="1921" w:type="dxa"/>
            <w:noWrap w:val="0"/>
            <w:vAlign w:val="center"/>
          </w:tcPr>
          <w:p w14:paraId="1076E684">
            <w:pPr>
              <w:keepNext w:val="0"/>
              <w:keepLines w:val="0"/>
              <w:pageBreakBefore w:val="0"/>
              <w:widowControl w:val="0"/>
              <w:tabs>
                <w:tab w:val="left" w:pos="5226"/>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处置方式</w:t>
            </w:r>
          </w:p>
        </w:tc>
      </w:tr>
      <w:tr w14:paraId="51440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070C5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一般化学品废包装材料</w:t>
            </w:r>
          </w:p>
        </w:tc>
        <w:tc>
          <w:tcPr>
            <w:tcW w:w="1335" w:type="dxa"/>
            <w:noWrap w:val="0"/>
            <w:vAlign w:val="center"/>
          </w:tcPr>
          <w:p w14:paraId="0FC20C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1095" w:type="dxa"/>
            <w:vMerge w:val="restart"/>
            <w:tcBorders>
              <w:right w:val="single" w:color="auto" w:sz="4" w:space="0"/>
            </w:tcBorders>
            <w:noWrap w:val="0"/>
            <w:vAlign w:val="center"/>
          </w:tcPr>
          <w:p w14:paraId="31FF1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一般工业固体废物</w:t>
            </w:r>
          </w:p>
        </w:tc>
        <w:tc>
          <w:tcPr>
            <w:tcW w:w="2250" w:type="dxa"/>
            <w:tcBorders>
              <w:right w:val="single" w:color="auto" w:sz="4" w:space="0"/>
            </w:tcBorders>
            <w:noWrap w:val="0"/>
            <w:vAlign w:val="center"/>
          </w:tcPr>
          <w:p w14:paraId="0CE817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C336-900-999-99</w:t>
            </w:r>
          </w:p>
        </w:tc>
        <w:tc>
          <w:tcPr>
            <w:tcW w:w="1921" w:type="dxa"/>
            <w:vMerge w:val="restart"/>
            <w:noWrap w:val="0"/>
            <w:vAlign w:val="center"/>
          </w:tcPr>
          <w:p w14:paraId="14D6BC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收集暂存后定期外售综合利用</w:t>
            </w:r>
          </w:p>
        </w:tc>
      </w:tr>
      <w:tr w14:paraId="0B775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2E4FE6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不合格产品及边角料</w:t>
            </w:r>
          </w:p>
        </w:tc>
        <w:tc>
          <w:tcPr>
            <w:tcW w:w="1335" w:type="dxa"/>
            <w:noWrap w:val="0"/>
            <w:vAlign w:val="center"/>
          </w:tcPr>
          <w:p w14:paraId="1ACA1D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c>
          <w:tcPr>
            <w:tcW w:w="1095" w:type="dxa"/>
            <w:vMerge w:val="continue"/>
            <w:tcBorders>
              <w:right w:val="single" w:color="auto" w:sz="4" w:space="0"/>
            </w:tcBorders>
            <w:noWrap w:val="0"/>
            <w:vAlign w:val="center"/>
          </w:tcPr>
          <w:p w14:paraId="7BBBA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2250" w:type="dxa"/>
            <w:tcBorders>
              <w:right w:val="single" w:color="auto" w:sz="4" w:space="0"/>
            </w:tcBorders>
            <w:noWrap w:val="0"/>
            <w:vAlign w:val="center"/>
          </w:tcPr>
          <w:p w14:paraId="5E042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C336-900-999-99</w:t>
            </w:r>
          </w:p>
        </w:tc>
        <w:tc>
          <w:tcPr>
            <w:tcW w:w="1921" w:type="dxa"/>
            <w:vMerge w:val="continue"/>
            <w:noWrap w:val="0"/>
            <w:vAlign w:val="center"/>
          </w:tcPr>
          <w:p w14:paraId="6A9B7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p>
        </w:tc>
      </w:tr>
      <w:tr w14:paraId="7A093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50A71A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纯水站废过滤材料</w:t>
            </w:r>
          </w:p>
        </w:tc>
        <w:tc>
          <w:tcPr>
            <w:tcW w:w="1335" w:type="dxa"/>
            <w:noWrap w:val="0"/>
            <w:vAlign w:val="center"/>
          </w:tcPr>
          <w:p w14:paraId="25A2FE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1095" w:type="dxa"/>
            <w:vMerge w:val="continue"/>
            <w:tcBorders>
              <w:right w:val="single" w:color="auto" w:sz="4" w:space="0"/>
            </w:tcBorders>
            <w:noWrap w:val="0"/>
            <w:vAlign w:val="center"/>
          </w:tcPr>
          <w:p w14:paraId="58A702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2250" w:type="dxa"/>
            <w:tcBorders>
              <w:right w:val="single" w:color="auto" w:sz="4" w:space="0"/>
            </w:tcBorders>
            <w:noWrap w:val="0"/>
            <w:vAlign w:val="center"/>
          </w:tcPr>
          <w:p w14:paraId="70C52B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C336-900-999-99</w:t>
            </w:r>
          </w:p>
        </w:tc>
        <w:tc>
          <w:tcPr>
            <w:tcW w:w="1921" w:type="dxa"/>
            <w:vMerge w:val="continue"/>
            <w:noWrap w:val="0"/>
            <w:vAlign w:val="center"/>
          </w:tcPr>
          <w:p w14:paraId="4A7B7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p>
        </w:tc>
      </w:tr>
      <w:tr w14:paraId="1AA0D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3E969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铝材前处理槽渣</w:t>
            </w:r>
          </w:p>
        </w:tc>
        <w:tc>
          <w:tcPr>
            <w:tcW w:w="1335" w:type="dxa"/>
            <w:noWrap w:val="0"/>
            <w:vAlign w:val="center"/>
          </w:tcPr>
          <w:p w14:paraId="7B08C0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1</w:t>
            </w:r>
          </w:p>
        </w:tc>
        <w:tc>
          <w:tcPr>
            <w:tcW w:w="1095" w:type="dxa"/>
            <w:vMerge w:val="continue"/>
            <w:tcBorders>
              <w:right w:val="single" w:color="auto" w:sz="4" w:space="0"/>
            </w:tcBorders>
            <w:noWrap w:val="0"/>
            <w:vAlign w:val="center"/>
          </w:tcPr>
          <w:p w14:paraId="21692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2250" w:type="dxa"/>
            <w:tcBorders>
              <w:right w:val="single" w:color="auto" w:sz="4" w:space="0"/>
            </w:tcBorders>
            <w:noWrap w:val="0"/>
            <w:vAlign w:val="center"/>
          </w:tcPr>
          <w:p w14:paraId="206FDE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C336-900-999-99</w:t>
            </w:r>
          </w:p>
        </w:tc>
        <w:tc>
          <w:tcPr>
            <w:tcW w:w="1921" w:type="dxa"/>
            <w:vMerge w:val="continue"/>
            <w:noWrap w:val="0"/>
            <w:vAlign w:val="center"/>
          </w:tcPr>
          <w:p w14:paraId="58CBD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p>
        </w:tc>
      </w:tr>
      <w:tr w14:paraId="2D6A1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0DC87D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沉淀池污泥</w:t>
            </w:r>
          </w:p>
        </w:tc>
        <w:tc>
          <w:tcPr>
            <w:tcW w:w="1335" w:type="dxa"/>
            <w:noWrap w:val="0"/>
            <w:vAlign w:val="center"/>
          </w:tcPr>
          <w:p w14:paraId="2F485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w:t>
            </w:r>
          </w:p>
        </w:tc>
        <w:tc>
          <w:tcPr>
            <w:tcW w:w="1095" w:type="dxa"/>
            <w:vMerge w:val="continue"/>
            <w:tcBorders>
              <w:right w:val="single" w:color="auto" w:sz="4" w:space="0"/>
            </w:tcBorders>
            <w:noWrap w:val="0"/>
            <w:vAlign w:val="center"/>
          </w:tcPr>
          <w:p w14:paraId="47DE13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2250" w:type="dxa"/>
            <w:tcBorders>
              <w:right w:val="single" w:color="auto" w:sz="4" w:space="0"/>
            </w:tcBorders>
            <w:noWrap w:val="0"/>
            <w:vAlign w:val="center"/>
          </w:tcPr>
          <w:p w14:paraId="7C1F6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C336-900-999-99</w:t>
            </w:r>
          </w:p>
        </w:tc>
        <w:tc>
          <w:tcPr>
            <w:tcW w:w="1921" w:type="dxa"/>
            <w:noWrap w:val="0"/>
            <w:vAlign w:val="center"/>
          </w:tcPr>
          <w:p w14:paraId="06E88B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送至填埋场</w:t>
            </w:r>
          </w:p>
        </w:tc>
      </w:tr>
      <w:tr w14:paraId="7F67D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573DD0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电镀槽槽渣</w:t>
            </w:r>
          </w:p>
        </w:tc>
        <w:tc>
          <w:tcPr>
            <w:tcW w:w="1335" w:type="dxa"/>
            <w:noWrap w:val="0"/>
            <w:vAlign w:val="center"/>
          </w:tcPr>
          <w:p w14:paraId="61A9C8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1095" w:type="dxa"/>
            <w:vMerge w:val="restart"/>
            <w:tcBorders>
              <w:right w:val="single" w:color="auto" w:sz="4" w:space="0"/>
            </w:tcBorders>
            <w:noWrap w:val="0"/>
            <w:vAlign w:val="center"/>
          </w:tcPr>
          <w:p w14:paraId="0209E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危险废物</w:t>
            </w:r>
          </w:p>
        </w:tc>
        <w:tc>
          <w:tcPr>
            <w:tcW w:w="2250" w:type="dxa"/>
            <w:tcBorders>
              <w:right w:val="single" w:color="auto" w:sz="4" w:space="0"/>
            </w:tcBorders>
            <w:noWrap w:val="0"/>
            <w:vAlign w:val="center"/>
          </w:tcPr>
          <w:p w14:paraId="2617E7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HW17-336-06</w:t>
            </w:r>
            <w:r>
              <w:rPr>
                <w:rFonts w:hint="default" w:ascii="Times New Roman" w:hAnsi="Times New Roman" w:eastAsia="宋体" w:cs="Times New Roman"/>
                <w:color w:val="auto"/>
                <w:sz w:val="21"/>
                <w:szCs w:val="21"/>
                <w:highlight w:val="none"/>
                <w:u w:val="none" w:color="auto"/>
                <w:lang w:val="en-US" w:eastAsia="zh-CN"/>
              </w:rPr>
              <w:t>4</w:t>
            </w:r>
            <w:r>
              <w:rPr>
                <w:rFonts w:hint="default" w:ascii="Times New Roman" w:hAnsi="Times New Roman" w:eastAsia="宋体" w:cs="Times New Roman"/>
                <w:color w:val="auto"/>
                <w:sz w:val="21"/>
                <w:szCs w:val="21"/>
                <w:highlight w:val="none"/>
                <w:u w:val="none" w:color="auto"/>
              </w:rPr>
              <w:t>-17等</w:t>
            </w:r>
          </w:p>
        </w:tc>
        <w:tc>
          <w:tcPr>
            <w:tcW w:w="1921" w:type="dxa"/>
            <w:vMerge w:val="restart"/>
            <w:noWrap w:val="0"/>
            <w:vAlign w:val="center"/>
          </w:tcPr>
          <w:p w14:paraId="1F548E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委托有资质单位定期清运处置</w:t>
            </w:r>
          </w:p>
        </w:tc>
      </w:tr>
      <w:tr w14:paraId="2F9A2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5584A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电镀废水处理污泥</w:t>
            </w:r>
          </w:p>
        </w:tc>
        <w:tc>
          <w:tcPr>
            <w:tcW w:w="1335" w:type="dxa"/>
            <w:noWrap w:val="0"/>
            <w:vAlign w:val="center"/>
          </w:tcPr>
          <w:p w14:paraId="0C23BA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c>
          <w:tcPr>
            <w:tcW w:w="1095" w:type="dxa"/>
            <w:vMerge w:val="continue"/>
            <w:tcBorders>
              <w:right w:val="single" w:color="auto" w:sz="4" w:space="0"/>
            </w:tcBorders>
            <w:noWrap w:val="0"/>
            <w:vAlign w:val="center"/>
          </w:tcPr>
          <w:p w14:paraId="6CD6C8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2250" w:type="dxa"/>
            <w:tcBorders>
              <w:right w:val="single" w:color="auto" w:sz="4" w:space="0"/>
            </w:tcBorders>
            <w:noWrap w:val="0"/>
            <w:vAlign w:val="center"/>
          </w:tcPr>
          <w:p w14:paraId="3250BD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HW17-336-0</w:t>
            </w:r>
            <w:r>
              <w:rPr>
                <w:rFonts w:hint="default" w:ascii="Times New Roman" w:hAnsi="Times New Roman" w:eastAsia="宋体" w:cs="Times New Roman"/>
                <w:color w:val="auto"/>
                <w:sz w:val="21"/>
                <w:szCs w:val="21"/>
                <w:highlight w:val="none"/>
                <w:u w:val="none" w:color="auto"/>
                <w:lang w:val="en-US" w:eastAsia="zh-CN"/>
              </w:rPr>
              <w:t>64</w:t>
            </w:r>
            <w:r>
              <w:rPr>
                <w:rFonts w:hint="default" w:ascii="Times New Roman" w:hAnsi="Times New Roman" w:eastAsia="宋体" w:cs="Times New Roman"/>
                <w:color w:val="auto"/>
                <w:sz w:val="21"/>
                <w:szCs w:val="21"/>
                <w:highlight w:val="none"/>
                <w:u w:val="none" w:color="auto"/>
              </w:rPr>
              <w:t>-17等</w:t>
            </w:r>
          </w:p>
        </w:tc>
        <w:tc>
          <w:tcPr>
            <w:tcW w:w="1921" w:type="dxa"/>
            <w:vMerge w:val="continue"/>
            <w:noWrap w:val="0"/>
            <w:vAlign w:val="center"/>
          </w:tcPr>
          <w:p w14:paraId="751937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r>
      <w:tr w14:paraId="0CBA4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661E56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三效蒸发器蒸</w:t>
            </w:r>
            <w:r>
              <w:rPr>
                <w:rFonts w:hint="eastAsia" w:ascii="Times New Roman" w:hAnsi="Times New Roman" w:eastAsia="宋体" w:cs="Times New Roman"/>
                <w:color w:val="auto"/>
                <w:sz w:val="21"/>
                <w:szCs w:val="21"/>
                <w:highlight w:val="none"/>
                <w:u w:val="none" w:color="auto"/>
                <w:lang w:val="en-US" w:eastAsia="zh-CN"/>
              </w:rPr>
              <w:t>发</w:t>
            </w:r>
            <w:r>
              <w:rPr>
                <w:rFonts w:hint="default" w:ascii="Times New Roman" w:hAnsi="Times New Roman" w:eastAsia="宋体" w:cs="Times New Roman"/>
                <w:color w:val="auto"/>
                <w:sz w:val="21"/>
                <w:szCs w:val="21"/>
                <w:highlight w:val="none"/>
                <w:u w:val="none" w:color="auto"/>
              </w:rPr>
              <w:t>残渣</w:t>
            </w:r>
          </w:p>
        </w:tc>
        <w:tc>
          <w:tcPr>
            <w:tcW w:w="1335" w:type="dxa"/>
            <w:noWrap w:val="0"/>
            <w:vAlign w:val="center"/>
          </w:tcPr>
          <w:p w14:paraId="6BE866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487.35</w:t>
            </w:r>
          </w:p>
        </w:tc>
        <w:tc>
          <w:tcPr>
            <w:tcW w:w="1095" w:type="dxa"/>
            <w:vMerge w:val="continue"/>
            <w:tcBorders>
              <w:right w:val="single" w:color="auto" w:sz="4" w:space="0"/>
            </w:tcBorders>
            <w:noWrap w:val="0"/>
            <w:vAlign w:val="center"/>
          </w:tcPr>
          <w:p w14:paraId="4D4C82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2250" w:type="dxa"/>
            <w:tcBorders>
              <w:right w:val="single" w:color="auto" w:sz="4" w:space="0"/>
            </w:tcBorders>
            <w:noWrap w:val="0"/>
            <w:vAlign w:val="center"/>
          </w:tcPr>
          <w:p w14:paraId="125C7C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w:t>
            </w:r>
            <w:r>
              <w:rPr>
                <w:rFonts w:hint="default" w:ascii="Times New Roman" w:hAnsi="Times New Roman" w:eastAsia="宋体" w:cs="Times New Roman"/>
                <w:color w:val="auto"/>
                <w:sz w:val="21"/>
                <w:szCs w:val="21"/>
                <w:highlight w:val="none"/>
                <w:u w:val="none" w:color="auto"/>
                <w:lang w:val="en-US" w:eastAsia="zh-CN"/>
              </w:rPr>
              <w:t>49-772</w:t>
            </w:r>
            <w:r>
              <w:rPr>
                <w:rFonts w:hint="default" w:ascii="Times New Roman" w:hAnsi="Times New Roman" w:eastAsia="宋体" w:cs="Times New Roman"/>
                <w:color w:val="auto"/>
                <w:sz w:val="21"/>
                <w:szCs w:val="21"/>
                <w:highlight w:val="none"/>
                <w:u w:val="none" w:color="auto"/>
              </w:rPr>
              <w:t>-0</w:t>
            </w:r>
            <w:r>
              <w:rPr>
                <w:rFonts w:hint="default" w:ascii="Times New Roman" w:hAnsi="Times New Roman" w:eastAsia="宋体" w:cs="Times New Roman"/>
                <w:color w:val="auto"/>
                <w:sz w:val="21"/>
                <w:szCs w:val="21"/>
                <w:highlight w:val="none"/>
                <w:u w:val="none" w:color="auto"/>
                <w:lang w:val="en-US" w:eastAsia="zh-CN"/>
              </w:rPr>
              <w:t>06</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49</w:t>
            </w:r>
          </w:p>
        </w:tc>
        <w:tc>
          <w:tcPr>
            <w:tcW w:w="1921" w:type="dxa"/>
            <w:vMerge w:val="continue"/>
            <w:noWrap w:val="0"/>
            <w:vAlign w:val="center"/>
          </w:tcPr>
          <w:p w14:paraId="50D7EF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r>
      <w:tr w14:paraId="033A0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3BC8B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危险化学品包装材料</w:t>
            </w:r>
          </w:p>
        </w:tc>
        <w:tc>
          <w:tcPr>
            <w:tcW w:w="1335" w:type="dxa"/>
            <w:noWrap w:val="0"/>
            <w:vAlign w:val="center"/>
          </w:tcPr>
          <w:p w14:paraId="357D69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1095" w:type="dxa"/>
            <w:vMerge w:val="continue"/>
            <w:tcBorders>
              <w:right w:val="single" w:color="auto" w:sz="4" w:space="0"/>
            </w:tcBorders>
            <w:noWrap w:val="0"/>
            <w:vAlign w:val="center"/>
          </w:tcPr>
          <w:p w14:paraId="57C4E2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2250" w:type="dxa"/>
            <w:tcBorders>
              <w:right w:val="single" w:color="auto" w:sz="4" w:space="0"/>
            </w:tcBorders>
            <w:noWrap w:val="0"/>
            <w:vAlign w:val="center"/>
          </w:tcPr>
          <w:p w14:paraId="1C33A8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HW49-900-041-49</w:t>
            </w:r>
          </w:p>
        </w:tc>
        <w:tc>
          <w:tcPr>
            <w:tcW w:w="1921" w:type="dxa"/>
            <w:vMerge w:val="continue"/>
            <w:noWrap w:val="0"/>
            <w:vAlign w:val="center"/>
          </w:tcPr>
          <w:p w14:paraId="7E818A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r>
      <w:tr w14:paraId="67AF8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7127A2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SA"/>
              </w:rPr>
              <w:t>废水处理站及生产过程废过滤材料</w:t>
            </w:r>
          </w:p>
        </w:tc>
        <w:tc>
          <w:tcPr>
            <w:tcW w:w="1335" w:type="dxa"/>
            <w:noWrap w:val="0"/>
            <w:vAlign w:val="center"/>
          </w:tcPr>
          <w:p w14:paraId="0EACED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w:t>
            </w:r>
          </w:p>
        </w:tc>
        <w:tc>
          <w:tcPr>
            <w:tcW w:w="1095" w:type="dxa"/>
            <w:vMerge w:val="continue"/>
            <w:tcBorders>
              <w:right w:val="single" w:color="auto" w:sz="4" w:space="0"/>
            </w:tcBorders>
            <w:noWrap w:val="0"/>
            <w:vAlign w:val="center"/>
          </w:tcPr>
          <w:p w14:paraId="06D954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2250" w:type="dxa"/>
            <w:tcBorders>
              <w:right w:val="single" w:color="auto" w:sz="4" w:space="0"/>
            </w:tcBorders>
            <w:noWrap w:val="0"/>
            <w:vAlign w:val="center"/>
          </w:tcPr>
          <w:p w14:paraId="19EBCE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HW49-900-041-49</w:t>
            </w:r>
          </w:p>
        </w:tc>
        <w:tc>
          <w:tcPr>
            <w:tcW w:w="1921" w:type="dxa"/>
            <w:vMerge w:val="continue"/>
            <w:noWrap w:val="0"/>
            <w:vAlign w:val="center"/>
          </w:tcPr>
          <w:p w14:paraId="655FAF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r>
      <w:tr w14:paraId="74C0E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21FF8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废活性炭</w:t>
            </w:r>
          </w:p>
        </w:tc>
        <w:tc>
          <w:tcPr>
            <w:tcW w:w="1335" w:type="dxa"/>
            <w:noWrap w:val="0"/>
            <w:vAlign w:val="center"/>
          </w:tcPr>
          <w:p w14:paraId="154F9B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w:t>
            </w:r>
          </w:p>
        </w:tc>
        <w:tc>
          <w:tcPr>
            <w:tcW w:w="1095" w:type="dxa"/>
            <w:vMerge w:val="continue"/>
            <w:tcBorders>
              <w:right w:val="single" w:color="auto" w:sz="4" w:space="0"/>
            </w:tcBorders>
            <w:noWrap w:val="0"/>
            <w:vAlign w:val="center"/>
          </w:tcPr>
          <w:p w14:paraId="1C102B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p>
        </w:tc>
        <w:tc>
          <w:tcPr>
            <w:tcW w:w="2250" w:type="dxa"/>
            <w:tcBorders>
              <w:right w:val="single" w:color="auto" w:sz="4" w:space="0"/>
            </w:tcBorders>
            <w:noWrap w:val="0"/>
            <w:vAlign w:val="center"/>
          </w:tcPr>
          <w:p w14:paraId="42F955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HW49-900-041-49</w:t>
            </w:r>
          </w:p>
        </w:tc>
        <w:tc>
          <w:tcPr>
            <w:tcW w:w="1921" w:type="dxa"/>
            <w:vMerge w:val="continue"/>
            <w:noWrap w:val="0"/>
            <w:vAlign w:val="center"/>
          </w:tcPr>
          <w:p w14:paraId="635B33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r>
      <w:tr w14:paraId="37C06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5140D2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废切削液</w:t>
            </w:r>
          </w:p>
        </w:tc>
        <w:tc>
          <w:tcPr>
            <w:tcW w:w="1335" w:type="dxa"/>
            <w:noWrap w:val="0"/>
            <w:vAlign w:val="center"/>
          </w:tcPr>
          <w:p w14:paraId="3E33F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0.5</w:t>
            </w:r>
          </w:p>
        </w:tc>
        <w:tc>
          <w:tcPr>
            <w:tcW w:w="1095" w:type="dxa"/>
            <w:vMerge w:val="continue"/>
            <w:tcBorders>
              <w:right w:val="single" w:color="auto" w:sz="4" w:space="0"/>
            </w:tcBorders>
            <w:noWrap w:val="0"/>
            <w:vAlign w:val="center"/>
          </w:tcPr>
          <w:p w14:paraId="65D73F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2250" w:type="dxa"/>
            <w:tcBorders>
              <w:right w:val="single" w:color="auto" w:sz="4" w:space="0"/>
            </w:tcBorders>
            <w:noWrap w:val="0"/>
            <w:vAlign w:val="center"/>
          </w:tcPr>
          <w:p w14:paraId="41EA7F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HW09-</w:t>
            </w:r>
            <w:r>
              <w:rPr>
                <w:rFonts w:hint="default" w:ascii="Times New Roman" w:hAnsi="Times New Roman" w:eastAsia="宋体" w:cs="Times New Roman"/>
                <w:color w:val="auto"/>
                <w:sz w:val="21"/>
                <w:szCs w:val="21"/>
                <w:highlight w:val="none"/>
                <w:u w:val="none" w:color="auto"/>
              </w:rPr>
              <w:t>900-006-09</w:t>
            </w:r>
          </w:p>
        </w:tc>
        <w:tc>
          <w:tcPr>
            <w:tcW w:w="1921" w:type="dxa"/>
            <w:vMerge w:val="continue"/>
            <w:noWrap w:val="0"/>
            <w:vAlign w:val="center"/>
          </w:tcPr>
          <w:p w14:paraId="2154F4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r>
      <w:tr w14:paraId="73222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3AA6F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废矿物油</w:t>
            </w:r>
          </w:p>
        </w:tc>
        <w:tc>
          <w:tcPr>
            <w:tcW w:w="1335" w:type="dxa"/>
            <w:noWrap w:val="0"/>
            <w:vAlign w:val="center"/>
          </w:tcPr>
          <w:p w14:paraId="009E6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w:t>
            </w:r>
          </w:p>
        </w:tc>
        <w:tc>
          <w:tcPr>
            <w:tcW w:w="1095" w:type="dxa"/>
            <w:vMerge w:val="continue"/>
            <w:tcBorders>
              <w:right w:val="single" w:color="auto" w:sz="4" w:space="0"/>
            </w:tcBorders>
            <w:noWrap w:val="0"/>
            <w:vAlign w:val="center"/>
          </w:tcPr>
          <w:p w14:paraId="7B5D7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2250" w:type="dxa"/>
            <w:tcBorders>
              <w:right w:val="single" w:color="auto" w:sz="4" w:space="0"/>
            </w:tcBorders>
            <w:noWrap w:val="0"/>
            <w:vAlign w:val="center"/>
          </w:tcPr>
          <w:p w14:paraId="57EEB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HW08</w:t>
            </w:r>
            <w:r>
              <w:rPr>
                <w:rFonts w:hint="default" w:ascii="Times New Roman" w:hAnsi="Times New Roman" w:eastAsia="宋体"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rPr>
              <w:t>900-249-08</w:t>
            </w:r>
          </w:p>
        </w:tc>
        <w:tc>
          <w:tcPr>
            <w:tcW w:w="1921" w:type="dxa"/>
            <w:vMerge w:val="continue"/>
            <w:noWrap w:val="0"/>
            <w:vAlign w:val="center"/>
          </w:tcPr>
          <w:p w14:paraId="4D88B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r>
      <w:tr w14:paraId="5C5B9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532E78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含油抹布</w:t>
            </w:r>
          </w:p>
        </w:tc>
        <w:tc>
          <w:tcPr>
            <w:tcW w:w="1335" w:type="dxa"/>
            <w:noWrap w:val="0"/>
            <w:vAlign w:val="center"/>
          </w:tcPr>
          <w:p w14:paraId="4348FF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0.5</w:t>
            </w:r>
          </w:p>
        </w:tc>
        <w:tc>
          <w:tcPr>
            <w:tcW w:w="1095" w:type="dxa"/>
            <w:vMerge w:val="continue"/>
            <w:tcBorders>
              <w:right w:val="single" w:color="auto" w:sz="4" w:space="0"/>
            </w:tcBorders>
            <w:noWrap w:val="0"/>
            <w:vAlign w:val="center"/>
          </w:tcPr>
          <w:p w14:paraId="7971BD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c>
          <w:tcPr>
            <w:tcW w:w="2250" w:type="dxa"/>
            <w:tcBorders>
              <w:right w:val="single" w:color="auto" w:sz="4" w:space="0"/>
            </w:tcBorders>
            <w:noWrap w:val="0"/>
            <w:vAlign w:val="center"/>
          </w:tcPr>
          <w:p w14:paraId="526AE4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HW49</w:t>
            </w:r>
            <w:r>
              <w:rPr>
                <w:rFonts w:hint="default" w:ascii="Times New Roman" w:hAnsi="Times New Roman" w:eastAsia="宋体"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rPr>
              <w:t>900-041-49</w:t>
            </w:r>
          </w:p>
        </w:tc>
        <w:tc>
          <w:tcPr>
            <w:tcW w:w="1921" w:type="dxa"/>
            <w:vMerge w:val="continue"/>
            <w:noWrap w:val="0"/>
            <w:vAlign w:val="center"/>
          </w:tcPr>
          <w:p w14:paraId="4D491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p>
        </w:tc>
      </w:tr>
      <w:tr w14:paraId="4C4CF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17" w:type="dxa"/>
            <w:noWrap w:val="0"/>
            <w:vAlign w:val="center"/>
          </w:tcPr>
          <w:p w14:paraId="42C80D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w:t>
            </w:r>
          </w:p>
        </w:tc>
        <w:tc>
          <w:tcPr>
            <w:tcW w:w="1335" w:type="dxa"/>
            <w:noWrap w:val="0"/>
            <w:vAlign w:val="center"/>
          </w:tcPr>
          <w:p w14:paraId="00E47F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71.25</w:t>
            </w:r>
          </w:p>
        </w:tc>
        <w:tc>
          <w:tcPr>
            <w:tcW w:w="1095" w:type="dxa"/>
            <w:tcBorders>
              <w:right w:val="single" w:color="auto" w:sz="4" w:space="0"/>
            </w:tcBorders>
            <w:noWrap w:val="0"/>
            <w:vAlign w:val="center"/>
          </w:tcPr>
          <w:p w14:paraId="67DB06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w:t>
            </w:r>
          </w:p>
        </w:tc>
        <w:tc>
          <w:tcPr>
            <w:tcW w:w="2250" w:type="dxa"/>
            <w:tcBorders>
              <w:right w:val="single" w:color="auto" w:sz="4" w:space="0"/>
            </w:tcBorders>
            <w:noWrap w:val="0"/>
            <w:vAlign w:val="center"/>
          </w:tcPr>
          <w:p w14:paraId="5FF567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1921" w:type="dxa"/>
            <w:noWrap w:val="0"/>
            <w:vAlign w:val="center"/>
          </w:tcPr>
          <w:p w14:paraId="3F81A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交由环卫部门处置</w:t>
            </w:r>
          </w:p>
        </w:tc>
      </w:tr>
    </w:tbl>
    <w:p w14:paraId="1808DAE9">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bookmarkStart w:id="44" w:name="_Toc14090"/>
      <w:r>
        <w:rPr>
          <w:rFonts w:hint="default" w:ascii="Times New Roman" w:hAnsi="Times New Roman" w:eastAsia="宋体" w:cs="Times New Roman"/>
          <w:color w:val="auto"/>
          <w:sz w:val="24"/>
          <w:szCs w:val="24"/>
          <w:highlight w:val="none"/>
          <w:u w:val="none" w:color="auto"/>
          <w:lang w:val="en-US" w:eastAsia="zh-CN"/>
        </w:rPr>
        <w:t>4.4.5运营期污染源汇总</w:t>
      </w:r>
    </w:p>
    <w:p w14:paraId="56467DF8">
      <w:pPr>
        <w:pStyle w:val="17"/>
        <w:spacing w:line="540" w:lineRule="exact"/>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本项目运营期污染源排放汇总详见下表：</w:t>
      </w:r>
    </w:p>
    <w:p w14:paraId="4685EC50">
      <w:pPr>
        <w:pStyle w:val="7"/>
        <w:spacing w:line="480" w:lineRule="exact"/>
        <w:ind w:left="480" w:firstLine="0"/>
        <w:jc w:val="center"/>
        <w:rPr>
          <w:rFonts w:hint="default" w:ascii="Times New Roman" w:hAnsi="Times New Roman" w:eastAsia="宋体" w:cs="Times New Roman"/>
          <w:b/>
          <w:color w:val="auto"/>
          <w:kern w:val="2"/>
          <w:sz w:val="21"/>
          <w:szCs w:val="18"/>
          <w:highlight w:val="none"/>
          <w:u w:val="single" w:color="auto"/>
          <w:lang w:val="en-US" w:eastAsia="zh-CN" w:bidi="ar-SA"/>
        </w:rPr>
      </w:pPr>
      <w:r>
        <w:rPr>
          <w:rFonts w:hint="default" w:ascii="Times New Roman" w:hAnsi="Times New Roman" w:eastAsia="宋体" w:cs="Times New Roman"/>
          <w:b/>
          <w:color w:val="auto"/>
          <w:kern w:val="2"/>
          <w:sz w:val="21"/>
          <w:szCs w:val="18"/>
          <w:highlight w:val="none"/>
          <w:u w:val="single" w:color="auto"/>
          <w:lang w:val="en-US" w:eastAsia="zh-CN" w:bidi="ar-SA"/>
        </w:rPr>
        <w:t>表4.4-16本项目污染物排放量情况汇总表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8"/>
        <w:gridCol w:w="989"/>
        <w:gridCol w:w="2414"/>
        <w:gridCol w:w="1415"/>
        <w:gridCol w:w="1560"/>
        <w:gridCol w:w="1186"/>
      </w:tblGrid>
      <w:tr w14:paraId="010AD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62" w:type="pct"/>
            <w:vAlign w:val="center"/>
          </w:tcPr>
          <w:p w14:paraId="4346DA1F">
            <w:pPr>
              <w:adjustRightInd w:val="0"/>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种类</w:t>
            </w:r>
          </w:p>
        </w:tc>
        <w:tc>
          <w:tcPr>
            <w:tcW w:w="1996" w:type="pct"/>
            <w:gridSpan w:val="2"/>
            <w:vAlign w:val="center"/>
          </w:tcPr>
          <w:p w14:paraId="649AC7B1">
            <w:pPr>
              <w:adjustRightInd w:val="0"/>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污染物名称</w:t>
            </w:r>
          </w:p>
        </w:tc>
        <w:tc>
          <w:tcPr>
            <w:tcW w:w="830" w:type="pct"/>
            <w:vAlign w:val="center"/>
          </w:tcPr>
          <w:p w14:paraId="36ECF59F">
            <w:pPr>
              <w:adjustRightInd w:val="0"/>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产生量</w:t>
            </w:r>
          </w:p>
        </w:tc>
        <w:tc>
          <w:tcPr>
            <w:tcW w:w="915" w:type="pct"/>
            <w:vAlign w:val="center"/>
          </w:tcPr>
          <w:p w14:paraId="7916AC1C">
            <w:pPr>
              <w:adjustRightInd w:val="0"/>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削减量</w:t>
            </w:r>
          </w:p>
        </w:tc>
        <w:tc>
          <w:tcPr>
            <w:tcW w:w="695" w:type="pct"/>
            <w:vAlign w:val="center"/>
          </w:tcPr>
          <w:p w14:paraId="2BC1DA27">
            <w:pPr>
              <w:adjustRightInd w:val="0"/>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排放量</w:t>
            </w:r>
          </w:p>
        </w:tc>
      </w:tr>
      <w:tr w14:paraId="38F1C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2" w:type="pct"/>
            <w:vMerge w:val="restart"/>
            <w:vAlign w:val="center"/>
          </w:tcPr>
          <w:p w14:paraId="78885BA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废水</w:t>
            </w:r>
          </w:p>
        </w:tc>
        <w:tc>
          <w:tcPr>
            <w:tcW w:w="1996" w:type="pct"/>
            <w:gridSpan w:val="2"/>
            <w:vAlign w:val="center"/>
          </w:tcPr>
          <w:p w14:paraId="19DCC161">
            <w:pPr>
              <w:adjustRightInd w:val="0"/>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废水量（m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/a）</w:t>
            </w:r>
          </w:p>
        </w:tc>
        <w:tc>
          <w:tcPr>
            <w:tcW w:w="830" w:type="pct"/>
            <w:vAlign w:val="center"/>
          </w:tcPr>
          <w:p w14:paraId="33E92F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30947.1</w:t>
            </w:r>
          </w:p>
        </w:tc>
        <w:tc>
          <w:tcPr>
            <w:tcW w:w="915" w:type="pct"/>
            <w:vAlign w:val="center"/>
          </w:tcPr>
          <w:p w14:paraId="1607DB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16787.1</w:t>
            </w:r>
          </w:p>
        </w:tc>
        <w:tc>
          <w:tcPr>
            <w:tcW w:w="695" w:type="pct"/>
            <w:vAlign w:val="center"/>
          </w:tcPr>
          <w:p w14:paraId="06632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14160</w:t>
            </w:r>
          </w:p>
        </w:tc>
      </w:tr>
      <w:tr w14:paraId="21F3E0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57AB4020">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3B40FCB4">
            <w:pPr>
              <w:adjustRightInd w:val="0"/>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COD（t/a）</w:t>
            </w:r>
          </w:p>
        </w:tc>
        <w:tc>
          <w:tcPr>
            <w:tcW w:w="830" w:type="pct"/>
            <w:vAlign w:val="center"/>
          </w:tcPr>
          <w:p w14:paraId="044BA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7.14</w:t>
            </w:r>
          </w:p>
        </w:tc>
        <w:tc>
          <w:tcPr>
            <w:tcW w:w="1560" w:type="dxa"/>
            <w:vAlign w:val="center"/>
          </w:tcPr>
          <w:p w14:paraId="18CAA3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6.29</w:t>
            </w:r>
          </w:p>
        </w:tc>
        <w:tc>
          <w:tcPr>
            <w:tcW w:w="1186" w:type="dxa"/>
            <w:vAlign w:val="center"/>
          </w:tcPr>
          <w:p w14:paraId="7624EB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0.85</w:t>
            </w:r>
          </w:p>
        </w:tc>
      </w:tr>
      <w:tr w14:paraId="1A462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3157E991">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1FEE1C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NH</w:t>
            </w:r>
            <w:r>
              <w:rPr>
                <w:rFonts w:hint="default" w:ascii="Times New Roman" w:hAnsi="Times New Roman" w:eastAsia="宋体" w:cs="Times New Roman"/>
                <w:color w:val="auto"/>
                <w:sz w:val="21"/>
                <w:szCs w:val="21"/>
                <w:highlight w:val="none"/>
                <w:u w:val="single" w:color="auto"/>
                <w:vertAlign w:val="subscript"/>
              </w:rPr>
              <w:t>3</w:t>
            </w:r>
            <w:r>
              <w:rPr>
                <w:rFonts w:hint="default" w:ascii="Times New Roman" w:hAnsi="Times New Roman" w:eastAsia="宋体" w:cs="Times New Roman"/>
                <w:color w:val="auto"/>
                <w:sz w:val="21"/>
                <w:szCs w:val="21"/>
                <w:highlight w:val="none"/>
                <w:u w:val="single" w:color="auto"/>
              </w:rPr>
              <w:t>-N（t/a）</w:t>
            </w:r>
          </w:p>
        </w:tc>
        <w:tc>
          <w:tcPr>
            <w:tcW w:w="830" w:type="pct"/>
            <w:vAlign w:val="center"/>
          </w:tcPr>
          <w:p w14:paraId="7DF91D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0.4784</w:t>
            </w:r>
          </w:p>
        </w:tc>
        <w:tc>
          <w:tcPr>
            <w:tcW w:w="1560" w:type="dxa"/>
            <w:vAlign w:val="center"/>
          </w:tcPr>
          <w:p w14:paraId="2B9E6C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0.2984</w:t>
            </w:r>
          </w:p>
        </w:tc>
        <w:tc>
          <w:tcPr>
            <w:tcW w:w="1186" w:type="dxa"/>
            <w:vAlign w:val="center"/>
          </w:tcPr>
          <w:p w14:paraId="46FDC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0.18</w:t>
            </w:r>
          </w:p>
        </w:tc>
      </w:tr>
      <w:tr w14:paraId="2AD9E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2" w:type="pct"/>
            <w:vMerge w:val="continue"/>
            <w:vAlign w:val="center"/>
          </w:tcPr>
          <w:p w14:paraId="56AE9236">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331426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总磷（t/a）</w:t>
            </w:r>
          </w:p>
        </w:tc>
        <w:tc>
          <w:tcPr>
            <w:tcW w:w="830" w:type="pct"/>
            <w:vAlign w:val="center"/>
          </w:tcPr>
          <w:p w14:paraId="21686B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0.1152</w:t>
            </w:r>
          </w:p>
        </w:tc>
        <w:tc>
          <w:tcPr>
            <w:tcW w:w="1560" w:type="dxa"/>
            <w:vAlign w:val="center"/>
          </w:tcPr>
          <w:p w14:paraId="7B213A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0.1032</w:t>
            </w:r>
          </w:p>
        </w:tc>
        <w:tc>
          <w:tcPr>
            <w:tcW w:w="1186" w:type="dxa"/>
            <w:vAlign w:val="center"/>
          </w:tcPr>
          <w:p w14:paraId="302737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0.012</w:t>
            </w:r>
          </w:p>
        </w:tc>
      </w:tr>
      <w:tr w14:paraId="2087A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restart"/>
            <w:vAlign w:val="center"/>
          </w:tcPr>
          <w:p w14:paraId="63DE33A1">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废气</w:t>
            </w:r>
          </w:p>
        </w:tc>
        <w:tc>
          <w:tcPr>
            <w:tcW w:w="580" w:type="pct"/>
            <w:vMerge w:val="restart"/>
            <w:vAlign w:val="center"/>
          </w:tcPr>
          <w:p w14:paraId="32EF89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有组织</w:t>
            </w:r>
          </w:p>
        </w:tc>
        <w:tc>
          <w:tcPr>
            <w:tcW w:w="1416" w:type="pct"/>
            <w:vAlign w:val="center"/>
          </w:tcPr>
          <w:p w14:paraId="4CF88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氯化氢</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69F7F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0.2051</w:t>
            </w:r>
          </w:p>
        </w:tc>
        <w:tc>
          <w:tcPr>
            <w:tcW w:w="915" w:type="pct"/>
            <w:vAlign w:val="center"/>
          </w:tcPr>
          <w:p w14:paraId="57514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0.204076</w:t>
            </w:r>
          </w:p>
        </w:tc>
        <w:tc>
          <w:tcPr>
            <w:tcW w:w="695" w:type="pct"/>
            <w:vAlign w:val="center"/>
          </w:tcPr>
          <w:p w14:paraId="379F73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1"/>
                <w:szCs w:val="21"/>
                <w:highlight w:val="none"/>
                <w:u w:val="single" w:color="auto"/>
                <w:lang w:val="en-US" w:eastAsia="zh-CN"/>
              </w:rPr>
              <w:t>0.001024</w:t>
            </w:r>
          </w:p>
        </w:tc>
      </w:tr>
      <w:tr w14:paraId="1D055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2E8E8344">
            <w:pPr>
              <w:widowControl/>
              <w:spacing w:line="240" w:lineRule="auto"/>
              <w:rPr>
                <w:rFonts w:hint="default" w:ascii="Times New Roman" w:hAnsi="Times New Roman" w:eastAsia="宋体" w:cs="Times New Roman"/>
                <w:color w:val="auto"/>
                <w:sz w:val="21"/>
                <w:szCs w:val="21"/>
                <w:highlight w:val="none"/>
                <w:u w:val="single" w:color="auto"/>
              </w:rPr>
            </w:pPr>
          </w:p>
        </w:tc>
        <w:tc>
          <w:tcPr>
            <w:tcW w:w="580" w:type="pct"/>
            <w:vMerge w:val="continue"/>
            <w:vAlign w:val="center"/>
          </w:tcPr>
          <w:p w14:paraId="28380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p>
        </w:tc>
        <w:tc>
          <w:tcPr>
            <w:tcW w:w="1416" w:type="pct"/>
            <w:vAlign w:val="center"/>
          </w:tcPr>
          <w:p w14:paraId="0BD910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硫酸雾</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56D49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1.326</w:t>
            </w:r>
          </w:p>
        </w:tc>
        <w:tc>
          <w:tcPr>
            <w:tcW w:w="915" w:type="pct"/>
            <w:vAlign w:val="center"/>
          </w:tcPr>
          <w:p w14:paraId="6A1235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1.3125</w:t>
            </w:r>
          </w:p>
        </w:tc>
        <w:tc>
          <w:tcPr>
            <w:tcW w:w="695" w:type="pct"/>
            <w:vAlign w:val="center"/>
          </w:tcPr>
          <w:p w14:paraId="772D2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1"/>
                <w:szCs w:val="21"/>
                <w:highlight w:val="none"/>
                <w:u w:val="single" w:color="auto"/>
                <w:lang w:val="en-US" w:eastAsia="zh-CN"/>
              </w:rPr>
              <w:t>0.0135</w:t>
            </w:r>
          </w:p>
        </w:tc>
      </w:tr>
      <w:tr w14:paraId="0C16D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2347561C">
            <w:pPr>
              <w:widowControl/>
              <w:spacing w:line="240" w:lineRule="auto"/>
              <w:rPr>
                <w:rFonts w:hint="default" w:ascii="Times New Roman" w:hAnsi="Times New Roman" w:eastAsia="宋体" w:cs="Times New Roman"/>
                <w:color w:val="auto"/>
                <w:sz w:val="21"/>
                <w:szCs w:val="21"/>
                <w:highlight w:val="none"/>
                <w:u w:val="single" w:color="auto"/>
              </w:rPr>
            </w:pPr>
          </w:p>
        </w:tc>
        <w:tc>
          <w:tcPr>
            <w:tcW w:w="580" w:type="pct"/>
            <w:vMerge w:val="continue"/>
            <w:vAlign w:val="center"/>
          </w:tcPr>
          <w:p w14:paraId="4AD947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p>
        </w:tc>
        <w:tc>
          <w:tcPr>
            <w:tcW w:w="1416" w:type="pct"/>
            <w:vAlign w:val="center"/>
          </w:tcPr>
          <w:p w14:paraId="6441A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氮氧化物</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5718F1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0.399</w:t>
            </w:r>
          </w:p>
        </w:tc>
        <w:tc>
          <w:tcPr>
            <w:tcW w:w="915" w:type="pct"/>
            <w:vAlign w:val="center"/>
          </w:tcPr>
          <w:p w14:paraId="0FF79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0.387</w:t>
            </w:r>
          </w:p>
        </w:tc>
        <w:tc>
          <w:tcPr>
            <w:tcW w:w="695" w:type="pct"/>
            <w:vAlign w:val="center"/>
          </w:tcPr>
          <w:p w14:paraId="142071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1"/>
                <w:szCs w:val="21"/>
                <w:highlight w:val="none"/>
                <w:u w:val="single" w:color="auto"/>
                <w:lang w:val="en-US" w:eastAsia="zh-CN"/>
              </w:rPr>
              <w:t>0.012</w:t>
            </w:r>
          </w:p>
        </w:tc>
      </w:tr>
      <w:tr w14:paraId="24470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62" w:type="pct"/>
            <w:vMerge w:val="continue"/>
            <w:vAlign w:val="center"/>
          </w:tcPr>
          <w:p w14:paraId="6287A83B">
            <w:pPr>
              <w:widowControl/>
              <w:spacing w:line="240" w:lineRule="auto"/>
              <w:rPr>
                <w:rFonts w:hint="default" w:ascii="Times New Roman" w:hAnsi="Times New Roman" w:eastAsia="宋体" w:cs="Times New Roman"/>
                <w:color w:val="auto"/>
                <w:sz w:val="21"/>
                <w:szCs w:val="21"/>
                <w:highlight w:val="none"/>
                <w:u w:val="single" w:color="auto"/>
              </w:rPr>
            </w:pPr>
          </w:p>
        </w:tc>
        <w:tc>
          <w:tcPr>
            <w:tcW w:w="580" w:type="pct"/>
            <w:vMerge w:val="continue"/>
            <w:vAlign w:val="center"/>
          </w:tcPr>
          <w:p w14:paraId="51F904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p>
        </w:tc>
        <w:tc>
          <w:tcPr>
            <w:tcW w:w="1416" w:type="pct"/>
            <w:vAlign w:val="center"/>
          </w:tcPr>
          <w:p w14:paraId="0468C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非甲烷总烃</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2ECAB4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0.097</w:t>
            </w:r>
          </w:p>
        </w:tc>
        <w:tc>
          <w:tcPr>
            <w:tcW w:w="915" w:type="pct"/>
            <w:vAlign w:val="center"/>
          </w:tcPr>
          <w:p w14:paraId="2FD1D1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0.057</w:t>
            </w:r>
          </w:p>
        </w:tc>
        <w:tc>
          <w:tcPr>
            <w:tcW w:w="695" w:type="pct"/>
            <w:vAlign w:val="center"/>
          </w:tcPr>
          <w:p w14:paraId="57F60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0.04</w:t>
            </w:r>
          </w:p>
        </w:tc>
      </w:tr>
      <w:tr w14:paraId="12564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7C6C11F8">
            <w:pPr>
              <w:widowControl/>
              <w:spacing w:line="240" w:lineRule="auto"/>
              <w:rPr>
                <w:rFonts w:hint="default" w:ascii="Times New Roman" w:hAnsi="Times New Roman" w:eastAsia="宋体" w:cs="Times New Roman"/>
                <w:color w:val="auto"/>
                <w:sz w:val="21"/>
                <w:szCs w:val="21"/>
                <w:highlight w:val="none"/>
                <w:u w:val="single" w:color="auto"/>
              </w:rPr>
            </w:pPr>
          </w:p>
        </w:tc>
        <w:tc>
          <w:tcPr>
            <w:tcW w:w="580" w:type="pct"/>
            <w:vMerge w:val="restart"/>
            <w:vAlign w:val="center"/>
          </w:tcPr>
          <w:p w14:paraId="25336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无组织</w:t>
            </w:r>
          </w:p>
        </w:tc>
        <w:tc>
          <w:tcPr>
            <w:tcW w:w="1416" w:type="pct"/>
            <w:vAlign w:val="center"/>
          </w:tcPr>
          <w:p w14:paraId="5376E3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氯化氢（t/a）</w:t>
            </w:r>
          </w:p>
        </w:tc>
        <w:tc>
          <w:tcPr>
            <w:tcW w:w="830" w:type="pct"/>
            <w:vAlign w:val="center"/>
          </w:tcPr>
          <w:p w14:paraId="29F497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0.011</w:t>
            </w:r>
          </w:p>
        </w:tc>
        <w:tc>
          <w:tcPr>
            <w:tcW w:w="915" w:type="pct"/>
            <w:vAlign w:val="center"/>
          </w:tcPr>
          <w:p w14:paraId="3C500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c>
          <w:tcPr>
            <w:tcW w:w="695" w:type="pct"/>
            <w:vAlign w:val="center"/>
          </w:tcPr>
          <w:p w14:paraId="5591E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0.011</w:t>
            </w:r>
          </w:p>
        </w:tc>
      </w:tr>
      <w:tr w14:paraId="05F632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4A8D64E9">
            <w:pPr>
              <w:widowControl/>
              <w:spacing w:line="240" w:lineRule="auto"/>
              <w:rPr>
                <w:rFonts w:hint="default" w:ascii="Times New Roman" w:hAnsi="Times New Roman" w:eastAsia="宋体" w:cs="Times New Roman"/>
                <w:color w:val="auto"/>
                <w:sz w:val="21"/>
                <w:szCs w:val="21"/>
                <w:highlight w:val="none"/>
                <w:u w:val="single" w:color="auto"/>
              </w:rPr>
            </w:pPr>
          </w:p>
        </w:tc>
        <w:tc>
          <w:tcPr>
            <w:tcW w:w="580" w:type="pct"/>
            <w:vMerge w:val="continue"/>
            <w:vAlign w:val="center"/>
          </w:tcPr>
          <w:p w14:paraId="6E9B9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p>
        </w:tc>
        <w:tc>
          <w:tcPr>
            <w:tcW w:w="1416" w:type="pct"/>
            <w:vAlign w:val="center"/>
          </w:tcPr>
          <w:p w14:paraId="371B0E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硫酸雾</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399E0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0.07</w:t>
            </w:r>
          </w:p>
        </w:tc>
        <w:tc>
          <w:tcPr>
            <w:tcW w:w="915" w:type="pct"/>
            <w:vAlign w:val="center"/>
          </w:tcPr>
          <w:p w14:paraId="05EAF9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695" w:type="pct"/>
            <w:vAlign w:val="center"/>
          </w:tcPr>
          <w:p w14:paraId="47932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0.07</w:t>
            </w:r>
          </w:p>
        </w:tc>
      </w:tr>
      <w:tr w14:paraId="6F0C39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5518E043">
            <w:pPr>
              <w:widowControl/>
              <w:spacing w:line="240" w:lineRule="auto"/>
              <w:rPr>
                <w:rFonts w:hint="default" w:ascii="Times New Roman" w:hAnsi="Times New Roman" w:eastAsia="宋体" w:cs="Times New Roman"/>
                <w:color w:val="auto"/>
                <w:sz w:val="21"/>
                <w:szCs w:val="21"/>
                <w:highlight w:val="none"/>
                <w:u w:val="single" w:color="auto"/>
              </w:rPr>
            </w:pPr>
          </w:p>
        </w:tc>
        <w:tc>
          <w:tcPr>
            <w:tcW w:w="580" w:type="pct"/>
            <w:vMerge w:val="continue"/>
            <w:vAlign w:val="center"/>
          </w:tcPr>
          <w:p w14:paraId="220EA9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p>
        </w:tc>
        <w:tc>
          <w:tcPr>
            <w:tcW w:w="1416" w:type="pct"/>
            <w:vAlign w:val="center"/>
          </w:tcPr>
          <w:p w14:paraId="5C7467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氮氧化物（t/a）</w:t>
            </w:r>
          </w:p>
        </w:tc>
        <w:tc>
          <w:tcPr>
            <w:tcW w:w="830" w:type="pct"/>
            <w:vAlign w:val="center"/>
          </w:tcPr>
          <w:p w14:paraId="33452C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0.021</w:t>
            </w:r>
          </w:p>
        </w:tc>
        <w:tc>
          <w:tcPr>
            <w:tcW w:w="915" w:type="pct"/>
            <w:vAlign w:val="center"/>
          </w:tcPr>
          <w:p w14:paraId="6523B8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c>
          <w:tcPr>
            <w:tcW w:w="695" w:type="pct"/>
            <w:vAlign w:val="center"/>
          </w:tcPr>
          <w:p w14:paraId="607FAC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0.021</w:t>
            </w:r>
          </w:p>
        </w:tc>
      </w:tr>
      <w:tr w14:paraId="78668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183820AF">
            <w:pPr>
              <w:widowControl/>
              <w:spacing w:line="240" w:lineRule="auto"/>
              <w:rPr>
                <w:rFonts w:hint="default" w:ascii="Times New Roman" w:hAnsi="Times New Roman" w:eastAsia="宋体" w:cs="Times New Roman"/>
                <w:color w:val="auto"/>
                <w:sz w:val="21"/>
                <w:szCs w:val="21"/>
                <w:highlight w:val="none"/>
                <w:u w:val="single" w:color="auto"/>
              </w:rPr>
            </w:pPr>
          </w:p>
        </w:tc>
        <w:tc>
          <w:tcPr>
            <w:tcW w:w="580" w:type="pct"/>
            <w:vMerge w:val="continue"/>
            <w:vAlign w:val="center"/>
          </w:tcPr>
          <w:p w14:paraId="5996C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p>
        </w:tc>
        <w:tc>
          <w:tcPr>
            <w:tcW w:w="1416" w:type="pct"/>
            <w:vAlign w:val="center"/>
          </w:tcPr>
          <w:p w14:paraId="124982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非甲烷总烃</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4F408A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0.011</w:t>
            </w:r>
          </w:p>
        </w:tc>
        <w:tc>
          <w:tcPr>
            <w:tcW w:w="915" w:type="pct"/>
            <w:vAlign w:val="center"/>
          </w:tcPr>
          <w:p w14:paraId="417811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c>
          <w:tcPr>
            <w:tcW w:w="695" w:type="pct"/>
            <w:vAlign w:val="center"/>
          </w:tcPr>
          <w:p w14:paraId="573FE4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0.011</w:t>
            </w:r>
          </w:p>
        </w:tc>
      </w:tr>
      <w:tr w14:paraId="58B798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083D5DDA">
            <w:pPr>
              <w:widowControl/>
              <w:spacing w:line="240" w:lineRule="auto"/>
              <w:rPr>
                <w:rFonts w:hint="default" w:ascii="Times New Roman" w:hAnsi="Times New Roman" w:eastAsia="宋体" w:cs="Times New Roman"/>
                <w:color w:val="auto"/>
                <w:sz w:val="21"/>
                <w:szCs w:val="21"/>
                <w:highlight w:val="none"/>
                <w:u w:val="single" w:color="auto"/>
              </w:rPr>
            </w:pPr>
          </w:p>
        </w:tc>
        <w:tc>
          <w:tcPr>
            <w:tcW w:w="580" w:type="pct"/>
            <w:vMerge w:val="continue"/>
            <w:vAlign w:val="center"/>
          </w:tcPr>
          <w:p w14:paraId="39ABB5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p>
        </w:tc>
        <w:tc>
          <w:tcPr>
            <w:tcW w:w="1416" w:type="pct"/>
            <w:vAlign w:val="center"/>
          </w:tcPr>
          <w:p w14:paraId="2B5F6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颗粒物</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1A8DE9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1.65</w:t>
            </w:r>
          </w:p>
        </w:tc>
        <w:tc>
          <w:tcPr>
            <w:tcW w:w="915" w:type="pct"/>
            <w:vAlign w:val="center"/>
          </w:tcPr>
          <w:p w14:paraId="4AF09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c>
          <w:tcPr>
            <w:tcW w:w="695" w:type="pct"/>
            <w:vAlign w:val="center"/>
          </w:tcPr>
          <w:p w14:paraId="55D464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1.65</w:t>
            </w:r>
          </w:p>
        </w:tc>
      </w:tr>
      <w:tr w14:paraId="2EBE0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restart"/>
            <w:vAlign w:val="center"/>
          </w:tcPr>
          <w:p w14:paraId="2DBEE39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固废</w:t>
            </w:r>
          </w:p>
          <w:p w14:paraId="61568BE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废物</w:t>
            </w:r>
          </w:p>
        </w:tc>
        <w:tc>
          <w:tcPr>
            <w:tcW w:w="1996" w:type="pct"/>
            <w:gridSpan w:val="2"/>
            <w:vAlign w:val="center"/>
          </w:tcPr>
          <w:p w14:paraId="109F02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一般化学品废包装材料（t/a）</w:t>
            </w:r>
          </w:p>
        </w:tc>
        <w:tc>
          <w:tcPr>
            <w:tcW w:w="830" w:type="pct"/>
            <w:vAlign w:val="center"/>
          </w:tcPr>
          <w:p w14:paraId="128924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1.0</w:t>
            </w:r>
          </w:p>
        </w:tc>
        <w:tc>
          <w:tcPr>
            <w:tcW w:w="915" w:type="pct"/>
            <w:vAlign w:val="center"/>
          </w:tcPr>
          <w:p w14:paraId="48A18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1.0</w:t>
            </w:r>
          </w:p>
        </w:tc>
        <w:tc>
          <w:tcPr>
            <w:tcW w:w="695" w:type="pct"/>
            <w:vAlign w:val="center"/>
          </w:tcPr>
          <w:p w14:paraId="20D9F2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158E8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42DDF287">
            <w:pPr>
              <w:spacing w:line="240" w:lineRule="auto"/>
              <w:jc w:val="center"/>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086D86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沉淀池污泥</w:t>
            </w:r>
          </w:p>
        </w:tc>
        <w:tc>
          <w:tcPr>
            <w:tcW w:w="830" w:type="pct"/>
            <w:vAlign w:val="center"/>
          </w:tcPr>
          <w:p w14:paraId="3DC67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2.0</w:t>
            </w:r>
          </w:p>
        </w:tc>
        <w:tc>
          <w:tcPr>
            <w:tcW w:w="915" w:type="pct"/>
            <w:vAlign w:val="center"/>
          </w:tcPr>
          <w:p w14:paraId="53D3EB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2,0</w:t>
            </w:r>
          </w:p>
        </w:tc>
        <w:tc>
          <w:tcPr>
            <w:tcW w:w="695" w:type="pct"/>
            <w:vAlign w:val="center"/>
          </w:tcPr>
          <w:p w14:paraId="0A49C9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w:t>
            </w:r>
          </w:p>
        </w:tc>
      </w:tr>
      <w:tr w14:paraId="4D824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40C5FE50">
            <w:pPr>
              <w:spacing w:line="240" w:lineRule="auto"/>
              <w:jc w:val="center"/>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1C6D74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不合格产品及边角料</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027247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20</w:t>
            </w:r>
          </w:p>
        </w:tc>
        <w:tc>
          <w:tcPr>
            <w:tcW w:w="915" w:type="pct"/>
            <w:vAlign w:val="center"/>
          </w:tcPr>
          <w:p w14:paraId="401A53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20</w:t>
            </w:r>
          </w:p>
        </w:tc>
        <w:tc>
          <w:tcPr>
            <w:tcW w:w="695" w:type="pct"/>
            <w:vAlign w:val="center"/>
          </w:tcPr>
          <w:p w14:paraId="618601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6F2F0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29D806A8">
            <w:pPr>
              <w:spacing w:line="240" w:lineRule="auto"/>
              <w:jc w:val="center"/>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361587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铝材前处理槽渣</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1AED4E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1</w:t>
            </w:r>
          </w:p>
        </w:tc>
        <w:tc>
          <w:tcPr>
            <w:tcW w:w="915" w:type="pct"/>
            <w:vAlign w:val="center"/>
          </w:tcPr>
          <w:p w14:paraId="62634E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1</w:t>
            </w:r>
          </w:p>
        </w:tc>
        <w:tc>
          <w:tcPr>
            <w:tcW w:w="695" w:type="pct"/>
            <w:vAlign w:val="center"/>
          </w:tcPr>
          <w:p w14:paraId="56437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58F7C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1A91A6F7">
            <w:pPr>
              <w:spacing w:line="240" w:lineRule="auto"/>
              <w:jc w:val="center"/>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3E8829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纯水站废过滤材料</w:t>
            </w:r>
          </w:p>
        </w:tc>
        <w:tc>
          <w:tcPr>
            <w:tcW w:w="830" w:type="pct"/>
            <w:vAlign w:val="center"/>
          </w:tcPr>
          <w:p w14:paraId="28AF51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915" w:type="pct"/>
            <w:vAlign w:val="center"/>
          </w:tcPr>
          <w:p w14:paraId="59A5A0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w:t>
            </w:r>
          </w:p>
        </w:tc>
        <w:tc>
          <w:tcPr>
            <w:tcW w:w="695" w:type="pct"/>
            <w:vAlign w:val="center"/>
          </w:tcPr>
          <w:p w14:paraId="62BEA3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r>
      <w:tr w14:paraId="2F58F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23AEA58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w:t>
            </w:r>
          </w:p>
        </w:tc>
        <w:tc>
          <w:tcPr>
            <w:tcW w:w="1996" w:type="pct"/>
            <w:gridSpan w:val="2"/>
            <w:vAlign w:val="center"/>
          </w:tcPr>
          <w:p w14:paraId="59F382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电镀槽槽渣（t/a）</w:t>
            </w:r>
          </w:p>
        </w:tc>
        <w:tc>
          <w:tcPr>
            <w:tcW w:w="830" w:type="pct"/>
            <w:vAlign w:val="center"/>
          </w:tcPr>
          <w:p w14:paraId="58A42A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w:t>
            </w:r>
          </w:p>
        </w:tc>
        <w:tc>
          <w:tcPr>
            <w:tcW w:w="915" w:type="pct"/>
            <w:vAlign w:val="center"/>
          </w:tcPr>
          <w:p w14:paraId="54D527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w:t>
            </w:r>
          </w:p>
        </w:tc>
        <w:tc>
          <w:tcPr>
            <w:tcW w:w="695" w:type="pct"/>
            <w:vAlign w:val="center"/>
          </w:tcPr>
          <w:p w14:paraId="34EF0D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3BC37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06EAE42F">
            <w:pPr>
              <w:spacing w:line="240" w:lineRule="auto"/>
              <w:jc w:val="center"/>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3A7D8C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电镀废水处理污泥（t/a）</w:t>
            </w:r>
          </w:p>
        </w:tc>
        <w:tc>
          <w:tcPr>
            <w:tcW w:w="830" w:type="pct"/>
            <w:vAlign w:val="center"/>
          </w:tcPr>
          <w:p w14:paraId="2EFE98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20</w:t>
            </w:r>
          </w:p>
        </w:tc>
        <w:tc>
          <w:tcPr>
            <w:tcW w:w="915" w:type="pct"/>
            <w:vAlign w:val="center"/>
          </w:tcPr>
          <w:p w14:paraId="790C6A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20</w:t>
            </w:r>
          </w:p>
        </w:tc>
        <w:tc>
          <w:tcPr>
            <w:tcW w:w="695" w:type="pct"/>
            <w:vAlign w:val="center"/>
          </w:tcPr>
          <w:p w14:paraId="0C8512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184970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62" w:type="pct"/>
            <w:vMerge w:val="continue"/>
            <w:vAlign w:val="center"/>
          </w:tcPr>
          <w:p w14:paraId="04F0E695">
            <w:pPr>
              <w:spacing w:line="240" w:lineRule="auto"/>
              <w:jc w:val="center"/>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7708CB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三效蒸发器</w:t>
            </w:r>
            <w:r>
              <w:rPr>
                <w:rFonts w:hint="default" w:ascii="Times New Roman" w:hAnsi="Times New Roman" w:eastAsia="宋体" w:cs="Times New Roman"/>
                <w:color w:val="auto"/>
                <w:sz w:val="21"/>
                <w:szCs w:val="21"/>
                <w:highlight w:val="none"/>
                <w:u w:val="single" w:color="auto"/>
              </w:rPr>
              <w:t>蒸</w:t>
            </w:r>
            <w:r>
              <w:rPr>
                <w:rFonts w:hint="eastAsia" w:ascii="Times New Roman" w:hAnsi="Times New Roman" w:eastAsia="宋体" w:cs="Times New Roman"/>
                <w:color w:val="auto"/>
                <w:sz w:val="21"/>
                <w:szCs w:val="21"/>
                <w:highlight w:val="none"/>
                <w:u w:val="single" w:color="auto"/>
                <w:lang w:eastAsia="zh-CN"/>
              </w:rPr>
              <w:t>发</w:t>
            </w:r>
            <w:r>
              <w:rPr>
                <w:rFonts w:hint="default" w:ascii="Times New Roman" w:hAnsi="Times New Roman" w:eastAsia="宋体" w:cs="Times New Roman"/>
                <w:color w:val="auto"/>
                <w:sz w:val="21"/>
                <w:szCs w:val="21"/>
                <w:highlight w:val="none"/>
                <w:u w:val="single" w:color="auto"/>
              </w:rPr>
              <w:t>残渣（t/a）</w:t>
            </w:r>
          </w:p>
        </w:tc>
        <w:tc>
          <w:tcPr>
            <w:tcW w:w="830" w:type="pct"/>
            <w:vAlign w:val="center"/>
          </w:tcPr>
          <w:p w14:paraId="17BC4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487.35</w:t>
            </w:r>
          </w:p>
        </w:tc>
        <w:tc>
          <w:tcPr>
            <w:tcW w:w="915" w:type="pct"/>
            <w:vAlign w:val="center"/>
          </w:tcPr>
          <w:p w14:paraId="480C3D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487.35</w:t>
            </w:r>
          </w:p>
        </w:tc>
        <w:tc>
          <w:tcPr>
            <w:tcW w:w="695" w:type="pct"/>
            <w:vAlign w:val="center"/>
          </w:tcPr>
          <w:p w14:paraId="0EBFB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42919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59EAEE51">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73AE2B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危险化学品包装材料（t/a）</w:t>
            </w:r>
          </w:p>
        </w:tc>
        <w:tc>
          <w:tcPr>
            <w:tcW w:w="830" w:type="pct"/>
            <w:vAlign w:val="center"/>
          </w:tcPr>
          <w:p w14:paraId="340C3D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w:t>
            </w:r>
          </w:p>
        </w:tc>
        <w:tc>
          <w:tcPr>
            <w:tcW w:w="915" w:type="pct"/>
            <w:vAlign w:val="center"/>
          </w:tcPr>
          <w:p w14:paraId="785FB2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w:t>
            </w:r>
          </w:p>
        </w:tc>
        <w:tc>
          <w:tcPr>
            <w:tcW w:w="695" w:type="pct"/>
            <w:vAlign w:val="center"/>
          </w:tcPr>
          <w:p w14:paraId="2FE51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59DBF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0B915A73">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2AC832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kern w:val="2"/>
                <w:sz w:val="21"/>
                <w:szCs w:val="21"/>
                <w:highlight w:val="none"/>
                <w:u w:val="single" w:color="auto"/>
                <w:lang w:val="en-US" w:eastAsia="zh-CN" w:bidi="ar-SA"/>
              </w:rPr>
              <w:t>废水处理站及生产过程废过滤材料</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4EC00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0.5</w:t>
            </w:r>
          </w:p>
        </w:tc>
        <w:tc>
          <w:tcPr>
            <w:tcW w:w="915" w:type="pct"/>
            <w:vAlign w:val="center"/>
          </w:tcPr>
          <w:p w14:paraId="57D26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0.5</w:t>
            </w:r>
          </w:p>
        </w:tc>
        <w:tc>
          <w:tcPr>
            <w:tcW w:w="695" w:type="pct"/>
            <w:vAlign w:val="center"/>
          </w:tcPr>
          <w:p w14:paraId="23EAB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1D7099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01F7A984">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5D84D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废活性炭</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47A20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w:t>
            </w:r>
          </w:p>
        </w:tc>
        <w:tc>
          <w:tcPr>
            <w:tcW w:w="915" w:type="pct"/>
            <w:vAlign w:val="center"/>
          </w:tcPr>
          <w:p w14:paraId="5F39F2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8</w:t>
            </w:r>
          </w:p>
        </w:tc>
        <w:tc>
          <w:tcPr>
            <w:tcW w:w="695" w:type="pct"/>
            <w:vAlign w:val="center"/>
          </w:tcPr>
          <w:p w14:paraId="0183E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r>
      <w:tr w14:paraId="3AF981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76370F8B">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35CCE1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废切削液</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6C3D1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0.5</w:t>
            </w:r>
          </w:p>
        </w:tc>
        <w:tc>
          <w:tcPr>
            <w:tcW w:w="915" w:type="pct"/>
            <w:vAlign w:val="center"/>
          </w:tcPr>
          <w:p w14:paraId="67D22B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0.5</w:t>
            </w:r>
          </w:p>
        </w:tc>
        <w:tc>
          <w:tcPr>
            <w:tcW w:w="695" w:type="pct"/>
            <w:vAlign w:val="center"/>
          </w:tcPr>
          <w:p w14:paraId="0474E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308F7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272BAD4C">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5B2C3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废矿物油（t/a）</w:t>
            </w:r>
          </w:p>
        </w:tc>
        <w:tc>
          <w:tcPr>
            <w:tcW w:w="830" w:type="pct"/>
            <w:vAlign w:val="center"/>
          </w:tcPr>
          <w:p w14:paraId="7F27F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w:t>
            </w:r>
          </w:p>
        </w:tc>
        <w:tc>
          <w:tcPr>
            <w:tcW w:w="915" w:type="pct"/>
            <w:vAlign w:val="center"/>
          </w:tcPr>
          <w:p w14:paraId="38F385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2</w:t>
            </w:r>
          </w:p>
        </w:tc>
        <w:tc>
          <w:tcPr>
            <w:tcW w:w="695" w:type="pct"/>
            <w:vAlign w:val="center"/>
          </w:tcPr>
          <w:p w14:paraId="54E861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13BAC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0EDEC77D">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74720F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含油抹布</w:t>
            </w:r>
            <w:r>
              <w:rPr>
                <w:rFonts w:hint="default" w:ascii="Times New Roman" w:hAnsi="Times New Roman" w:eastAsia="宋体" w:cs="Times New Roman"/>
                <w:color w:val="auto"/>
                <w:sz w:val="21"/>
                <w:szCs w:val="21"/>
                <w:highlight w:val="none"/>
                <w:u w:val="single" w:color="auto"/>
              </w:rPr>
              <w:t>（t/a）</w:t>
            </w:r>
          </w:p>
        </w:tc>
        <w:tc>
          <w:tcPr>
            <w:tcW w:w="830" w:type="pct"/>
            <w:vAlign w:val="center"/>
          </w:tcPr>
          <w:p w14:paraId="43217B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0.5</w:t>
            </w:r>
          </w:p>
        </w:tc>
        <w:tc>
          <w:tcPr>
            <w:tcW w:w="915" w:type="pct"/>
            <w:vAlign w:val="center"/>
          </w:tcPr>
          <w:p w14:paraId="22717A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0.5</w:t>
            </w:r>
          </w:p>
        </w:tc>
        <w:tc>
          <w:tcPr>
            <w:tcW w:w="695" w:type="pct"/>
            <w:vAlign w:val="center"/>
          </w:tcPr>
          <w:p w14:paraId="0AD57C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tr w14:paraId="2B184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vMerge w:val="continue"/>
            <w:vAlign w:val="center"/>
          </w:tcPr>
          <w:p w14:paraId="3849DC53">
            <w:pPr>
              <w:widowControl/>
              <w:spacing w:line="240" w:lineRule="auto"/>
              <w:rPr>
                <w:rFonts w:hint="default" w:ascii="Times New Roman" w:hAnsi="Times New Roman" w:eastAsia="宋体" w:cs="Times New Roman"/>
                <w:color w:val="auto"/>
                <w:sz w:val="21"/>
                <w:szCs w:val="21"/>
                <w:highlight w:val="none"/>
                <w:u w:val="single" w:color="auto"/>
              </w:rPr>
            </w:pPr>
          </w:p>
        </w:tc>
        <w:tc>
          <w:tcPr>
            <w:tcW w:w="1996" w:type="pct"/>
            <w:gridSpan w:val="2"/>
            <w:vAlign w:val="center"/>
          </w:tcPr>
          <w:p w14:paraId="5B3684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生活垃圾（t/a）</w:t>
            </w:r>
          </w:p>
        </w:tc>
        <w:tc>
          <w:tcPr>
            <w:tcW w:w="830" w:type="pct"/>
            <w:vAlign w:val="center"/>
          </w:tcPr>
          <w:p w14:paraId="423428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71.25</w:t>
            </w:r>
          </w:p>
        </w:tc>
        <w:tc>
          <w:tcPr>
            <w:tcW w:w="915" w:type="pct"/>
            <w:vAlign w:val="center"/>
          </w:tcPr>
          <w:p w14:paraId="02EAA9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71.25</w:t>
            </w:r>
          </w:p>
        </w:tc>
        <w:tc>
          <w:tcPr>
            <w:tcW w:w="695" w:type="pct"/>
            <w:vAlign w:val="center"/>
          </w:tcPr>
          <w:p w14:paraId="4B9BF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r>
      <w:bookmarkEnd w:id="44"/>
    </w:tbl>
    <w:p w14:paraId="5070883C">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45" w:name="_Toc24024"/>
      <w:r>
        <w:rPr>
          <w:rFonts w:hint="default" w:ascii="Times New Roman" w:hAnsi="Times New Roman" w:eastAsia="宋体" w:cs="Times New Roman"/>
          <w:color w:val="auto"/>
          <w:sz w:val="28"/>
          <w:szCs w:val="28"/>
          <w:highlight w:val="none"/>
          <w:u w:val="none" w:color="auto"/>
          <w:lang w:val="en-US" w:eastAsia="zh-CN"/>
        </w:rPr>
        <w:t>4.5污染物总量控制</w:t>
      </w:r>
      <w:bookmarkEnd w:id="45"/>
    </w:p>
    <w:p w14:paraId="586898A9">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4.5.1污染物总量控制因子的确定</w:t>
      </w:r>
    </w:p>
    <w:p w14:paraId="2F063C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根据《国家环保部建设项目主要污染物排放总量指标审核及管理暂行办法》，国家实施排放总量控制的污染物为COD、NH</w:t>
      </w:r>
      <w:r>
        <w:rPr>
          <w:rFonts w:hint="default" w:ascii="Times New Roman" w:hAnsi="Times New Roman" w:eastAsia="宋体" w:cs="Times New Roman"/>
          <w:color w:val="auto"/>
          <w:sz w:val="24"/>
          <w:szCs w:val="21"/>
          <w:highlight w:val="none"/>
          <w:u w:val="none" w:color="auto"/>
          <w:vertAlign w:val="subscript"/>
          <w:lang w:val="en-GB"/>
        </w:rPr>
        <w:t>3</w:t>
      </w:r>
      <w:r>
        <w:rPr>
          <w:rFonts w:hint="default" w:ascii="Times New Roman" w:hAnsi="Times New Roman" w:eastAsia="宋体" w:cs="Times New Roman"/>
          <w:color w:val="auto"/>
          <w:sz w:val="24"/>
          <w:szCs w:val="21"/>
          <w:highlight w:val="none"/>
          <w:u w:val="none" w:color="auto"/>
          <w:lang w:val="en-GB"/>
        </w:rPr>
        <w:t>-N、SO</w:t>
      </w:r>
      <w:r>
        <w:rPr>
          <w:rFonts w:hint="default" w:ascii="Times New Roman" w:hAnsi="Times New Roman" w:eastAsia="宋体" w:cs="Times New Roman"/>
          <w:color w:val="auto"/>
          <w:sz w:val="24"/>
          <w:szCs w:val="21"/>
          <w:highlight w:val="none"/>
          <w:u w:val="none" w:color="auto"/>
          <w:vertAlign w:val="subscript"/>
          <w:lang w:val="en-GB"/>
        </w:rPr>
        <w:t>2</w:t>
      </w:r>
      <w:r>
        <w:rPr>
          <w:rFonts w:hint="default" w:ascii="Times New Roman" w:hAnsi="Times New Roman" w:eastAsia="宋体" w:cs="Times New Roman"/>
          <w:color w:val="auto"/>
          <w:sz w:val="24"/>
          <w:szCs w:val="21"/>
          <w:highlight w:val="none"/>
          <w:u w:val="none" w:color="auto"/>
          <w:lang w:val="en-GB"/>
        </w:rPr>
        <w:t>、NOx，另外VOCs、烟粉尘、重点区域重金属污染物也参照该办法执行。</w:t>
      </w:r>
    </w:p>
    <w:p w14:paraId="5B02B1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因此，确定本项目总量控制因子为：水污染物总量控制因子：COD、NH</w:t>
      </w:r>
      <w:r>
        <w:rPr>
          <w:rFonts w:hint="default" w:ascii="Times New Roman" w:hAnsi="Times New Roman" w:eastAsia="宋体" w:cs="Times New Roman"/>
          <w:color w:val="auto"/>
          <w:sz w:val="24"/>
          <w:szCs w:val="21"/>
          <w:highlight w:val="none"/>
          <w:u w:val="none" w:color="auto"/>
          <w:vertAlign w:val="subscript"/>
          <w:lang w:val="en-GB"/>
        </w:rPr>
        <w:t>3</w:t>
      </w:r>
      <w:r>
        <w:rPr>
          <w:rFonts w:hint="default" w:ascii="Times New Roman" w:hAnsi="Times New Roman" w:eastAsia="宋体" w:cs="Times New Roman"/>
          <w:color w:val="auto"/>
          <w:sz w:val="24"/>
          <w:szCs w:val="21"/>
          <w:highlight w:val="none"/>
          <w:u w:val="none" w:color="auto"/>
          <w:lang w:val="en-GB"/>
        </w:rPr>
        <w:t>-N，大气污染总量控制因子：</w:t>
      </w:r>
      <w:r>
        <w:rPr>
          <w:rFonts w:hint="default" w:ascii="Times New Roman" w:hAnsi="Times New Roman" w:eastAsia="宋体" w:cs="Times New Roman"/>
          <w:color w:val="auto"/>
          <w:sz w:val="24"/>
          <w:szCs w:val="21"/>
          <w:highlight w:val="none"/>
          <w:u w:val="none" w:color="auto"/>
          <w:lang w:val="en-US" w:eastAsia="zh-CN"/>
        </w:rPr>
        <w:t>VOCs</w:t>
      </w:r>
      <w:r>
        <w:rPr>
          <w:rFonts w:hint="default" w:ascii="Times New Roman" w:hAnsi="Times New Roman" w:eastAsia="宋体" w:cs="Times New Roman"/>
          <w:color w:val="auto"/>
          <w:sz w:val="24"/>
          <w:highlight w:val="none"/>
          <w:u w:val="none" w:color="auto"/>
          <w:lang w:eastAsia="zh-CN"/>
        </w:rPr>
        <w:t>（本项目有机废气以非甲烷总烃表征）</w:t>
      </w:r>
      <w:r>
        <w:rPr>
          <w:rFonts w:hint="default" w:ascii="Times New Roman" w:hAnsi="Times New Roman" w:eastAsia="宋体" w:cs="Times New Roman"/>
          <w:color w:val="auto"/>
          <w:sz w:val="24"/>
          <w:szCs w:val="21"/>
          <w:highlight w:val="none"/>
          <w:u w:val="none" w:color="auto"/>
          <w:lang w:val="en-US" w:eastAsia="zh-CN"/>
        </w:rPr>
        <w:t>、氮氧化物</w:t>
      </w:r>
      <w:r>
        <w:rPr>
          <w:rFonts w:hint="default" w:ascii="Times New Roman" w:hAnsi="Times New Roman" w:eastAsia="宋体" w:cs="Times New Roman"/>
          <w:color w:val="auto"/>
          <w:sz w:val="24"/>
          <w:szCs w:val="21"/>
          <w:highlight w:val="none"/>
          <w:u w:val="none" w:color="auto"/>
          <w:lang w:val="en-GB"/>
        </w:rPr>
        <w:t>。</w:t>
      </w:r>
    </w:p>
    <w:p w14:paraId="100C76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single" w:color="auto"/>
          <w:lang w:val="en-US" w:eastAsia="zh-CN"/>
        </w:rPr>
      </w:pPr>
      <w:r>
        <w:rPr>
          <w:rFonts w:hint="default" w:ascii="Times New Roman" w:hAnsi="Times New Roman" w:eastAsia="宋体" w:cs="Times New Roman"/>
          <w:color w:val="auto"/>
          <w:sz w:val="24"/>
          <w:szCs w:val="21"/>
          <w:highlight w:val="none"/>
          <w:u w:val="single" w:color="auto"/>
          <w:lang w:val="en-GB" w:eastAsia="zh-CN"/>
        </w:rPr>
        <w:t>根据</w:t>
      </w:r>
      <w:r>
        <w:rPr>
          <w:rFonts w:hint="default" w:ascii="Times New Roman" w:hAnsi="Times New Roman" w:eastAsia="宋体" w:cs="Times New Roman"/>
          <w:color w:val="auto"/>
          <w:sz w:val="24"/>
          <w:szCs w:val="21"/>
          <w:highlight w:val="none"/>
          <w:u w:val="single" w:color="auto"/>
          <w:lang w:val="en-GB"/>
        </w:rPr>
        <w:t>《</w:t>
      </w:r>
      <w:r>
        <w:rPr>
          <w:rFonts w:hint="default" w:ascii="Times New Roman" w:hAnsi="Times New Roman" w:eastAsia="宋体" w:cs="Times New Roman"/>
          <w:color w:val="auto"/>
          <w:sz w:val="24"/>
          <w:szCs w:val="21"/>
          <w:highlight w:val="none"/>
          <w:u w:val="single" w:color="auto"/>
          <w:lang w:val="en-GB" w:eastAsia="zh-CN"/>
        </w:rPr>
        <w:t>湖南省</w:t>
      </w:r>
      <w:r>
        <w:rPr>
          <w:rFonts w:hint="default" w:ascii="Times New Roman" w:hAnsi="Times New Roman" w:eastAsia="宋体" w:cs="Times New Roman"/>
          <w:color w:val="auto"/>
          <w:sz w:val="24"/>
          <w:szCs w:val="21"/>
          <w:highlight w:val="none"/>
          <w:u w:val="single" w:color="auto"/>
          <w:lang w:val="en-GB"/>
        </w:rPr>
        <w:t>“十三</w:t>
      </w:r>
      <w:r>
        <w:rPr>
          <w:rFonts w:hint="default" w:ascii="Times New Roman" w:hAnsi="Times New Roman" w:eastAsia="宋体" w:cs="Times New Roman"/>
          <w:color w:val="auto"/>
          <w:sz w:val="24"/>
          <w:szCs w:val="21"/>
          <w:highlight w:val="none"/>
          <w:u w:val="single" w:color="auto"/>
          <w:lang w:val="en-GB" w:eastAsia="zh-CN"/>
        </w:rPr>
        <w:t>四</w:t>
      </w:r>
      <w:r>
        <w:rPr>
          <w:rFonts w:hint="default" w:ascii="Times New Roman" w:hAnsi="Times New Roman" w:eastAsia="宋体" w:cs="Times New Roman"/>
          <w:color w:val="auto"/>
          <w:sz w:val="24"/>
          <w:szCs w:val="21"/>
          <w:highlight w:val="none"/>
          <w:u w:val="single" w:color="auto"/>
          <w:lang w:val="en-GB"/>
        </w:rPr>
        <w:t>五”</w:t>
      </w:r>
      <w:r>
        <w:rPr>
          <w:rFonts w:hint="default" w:ascii="Times New Roman" w:hAnsi="Times New Roman" w:eastAsia="宋体" w:cs="Times New Roman"/>
          <w:color w:val="auto"/>
          <w:sz w:val="24"/>
          <w:szCs w:val="21"/>
          <w:highlight w:val="none"/>
          <w:u w:val="single" w:color="auto"/>
          <w:lang w:val="en-GB" w:eastAsia="zh-CN"/>
        </w:rPr>
        <w:t>生态环境保护规划</w:t>
      </w:r>
      <w:r>
        <w:rPr>
          <w:rFonts w:hint="default" w:ascii="Times New Roman" w:hAnsi="Times New Roman" w:eastAsia="宋体" w:cs="Times New Roman"/>
          <w:color w:val="auto"/>
          <w:sz w:val="24"/>
          <w:szCs w:val="21"/>
          <w:highlight w:val="none"/>
          <w:u w:val="single" w:color="auto"/>
          <w:lang w:val="en-GB"/>
        </w:rPr>
        <w:t>》</w:t>
      </w:r>
      <w:r>
        <w:rPr>
          <w:rFonts w:hint="default" w:ascii="Times New Roman" w:hAnsi="Times New Roman" w:eastAsia="宋体" w:cs="Times New Roman"/>
          <w:color w:val="auto"/>
          <w:sz w:val="24"/>
          <w:szCs w:val="21"/>
          <w:highlight w:val="none"/>
          <w:u w:val="single" w:color="auto"/>
          <w:lang w:val="en-GB" w:eastAsia="zh-CN"/>
        </w:rPr>
        <w:t>：</w:t>
      </w:r>
      <w:r>
        <w:rPr>
          <w:rFonts w:hint="default" w:ascii="Times New Roman" w:hAnsi="Times New Roman" w:eastAsia="宋体" w:cs="Times New Roman"/>
          <w:color w:val="auto"/>
          <w:sz w:val="24"/>
          <w:szCs w:val="21"/>
          <w:highlight w:val="none"/>
          <w:u w:val="single" w:color="auto"/>
          <w:lang w:val="en-GB"/>
        </w:rPr>
        <w:t>强化重点行业VOCs科学治理。以工业涂装、石化、化工、包装印刷、油品储运销等行业为重点，实施企业VOCs原料替代、排放全过程控制。按照“分业施策、一行一策”的原则，加大低VOCs含量原辅材料的推广使用力度，从源头减少VOCs产生。推进使用先进生产工艺设备，减少无组织排放。实行重点排放源排放浓度与去除效率双重控制。加强汽修行业 VOCs 综合治理，加大餐饮油烟污染治理力度，推进县级以上城市餐饮油烟治理全覆盖。</w:t>
      </w:r>
      <w:r>
        <w:rPr>
          <w:rFonts w:hint="default" w:ascii="Times New Roman" w:hAnsi="Times New Roman" w:eastAsia="宋体" w:cs="Times New Roman"/>
          <w:color w:val="auto"/>
          <w:sz w:val="24"/>
          <w:szCs w:val="21"/>
          <w:highlight w:val="none"/>
          <w:u w:val="single" w:color="auto"/>
          <w:lang w:val="en-GB" w:eastAsia="zh-CN"/>
        </w:rPr>
        <w:t>本项目</w:t>
      </w:r>
      <w:r>
        <w:rPr>
          <w:rFonts w:hint="default" w:ascii="Times New Roman" w:hAnsi="Times New Roman" w:eastAsia="宋体" w:cs="Times New Roman"/>
          <w:color w:val="auto"/>
          <w:sz w:val="24"/>
          <w:szCs w:val="21"/>
          <w:highlight w:val="none"/>
          <w:u w:val="single" w:color="auto"/>
          <w:lang w:val="en-US" w:eastAsia="zh-CN"/>
        </w:rPr>
        <w:t>使用的树脂原料为酚醛树脂，</w:t>
      </w:r>
      <w:r>
        <w:rPr>
          <w:rFonts w:hint="default" w:ascii="Times New Roman" w:hAnsi="Times New Roman" w:eastAsia="宋体" w:cs="Times New Roman"/>
          <w:color w:val="auto"/>
          <w:sz w:val="24"/>
          <w:szCs w:val="24"/>
          <w:highlight w:val="none"/>
          <w:u w:val="single" w:color="auto"/>
          <w:lang w:eastAsia="zh-CN"/>
        </w:rPr>
        <w:t>工作温度为</w:t>
      </w:r>
      <w:r>
        <w:rPr>
          <w:rFonts w:hint="default" w:ascii="Times New Roman" w:hAnsi="Times New Roman" w:eastAsia="宋体" w:cs="Times New Roman"/>
          <w:color w:val="auto"/>
          <w:sz w:val="24"/>
          <w:szCs w:val="24"/>
          <w:highlight w:val="none"/>
          <w:u w:val="single" w:color="auto"/>
          <w:lang w:val="en-US" w:eastAsia="zh-CN"/>
        </w:rPr>
        <w:t>150~200</w:t>
      </w:r>
      <w:r>
        <w:rPr>
          <w:rFonts w:hint="default" w:ascii="Times New Roman" w:hAnsi="Times New Roman" w:eastAsia="宋体" w:cs="Times New Roman"/>
          <w:color w:val="auto"/>
          <w:sz w:val="24"/>
          <w:szCs w:val="24"/>
          <w:highlight w:val="none"/>
          <w:u w:val="single" w:color="auto"/>
          <w:lang w:eastAsia="zh-CN"/>
        </w:rPr>
        <w:t>℃，低于树脂原料的分解温度，故</w:t>
      </w:r>
      <w:r>
        <w:rPr>
          <w:rFonts w:hint="default" w:ascii="Times New Roman" w:hAnsi="Times New Roman" w:eastAsia="宋体" w:cs="Times New Roman"/>
          <w:color w:val="auto"/>
          <w:sz w:val="24"/>
          <w:szCs w:val="24"/>
          <w:highlight w:val="none"/>
          <w:u w:val="single" w:color="auto"/>
          <w:lang w:val="en-US" w:eastAsia="zh-CN"/>
        </w:rPr>
        <w:t>VOCs产生量不大，同时生产过程中在</w:t>
      </w:r>
      <w:r>
        <w:rPr>
          <w:rFonts w:hint="default" w:ascii="Times New Roman" w:hAnsi="Times New Roman" w:eastAsia="宋体" w:cs="Times New Roman"/>
          <w:color w:val="auto"/>
          <w:sz w:val="24"/>
          <w:szCs w:val="24"/>
          <w:highlight w:val="none"/>
          <w:u w:val="single" w:color="auto"/>
          <w:lang w:eastAsia="zh-CN"/>
        </w:rPr>
        <w:t>压制烧结设施</w:t>
      </w:r>
      <w:r>
        <w:rPr>
          <w:rFonts w:hint="default" w:ascii="Times New Roman" w:hAnsi="Times New Roman" w:eastAsia="宋体" w:cs="Times New Roman"/>
          <w:color w:val="auto"/>
          <w:sz w:val="24"/>
          <w:szCs w:val="24"/>
          <w:highlight w:val="none"/>
          <w:u w:val="single" w:color="auto"/>
        </w:rPr>
        <w:t>的上方设置集气罩的方式对</w:t>
      </w:r>
      <w:r>
        <w:rPr>
          <w:rFonts w:hint="default" w:ascii="Times New Roman" w:hAnsi="Times New Roman" w:eastAsia="宋体" w:cs="Times New Roman"/>
          <w:color w:val="auto"/>
          <w:sz w:val="24"/>
          <w:szCs w:val="24"/>
          <w:highlight w:val="none"/>
          <w:u w:val="single" w:color="auto"/>
          <w:lang w:eastAsia="zh-CN"/>
        </w:rPr>
        <w:t>压制、烧结</w:t>
      </w:r>
      <w:r>
        <w:rPr>
          <w:rFonts w:hint="default" w:ascii="Times New Roman" w:hAnsi="Times New Roman" w:eastAsia="宋体" w:cs="Times New Roman"/>
          <w:color w:val="auto"/>
          <w:sz w:val="24"/>
          <w:szCs w:val="24"/>
          <w:highlight w:val="none"/>
          <w:u w:val="single" w:color="auto"/>
        </w:rPr>
        <w:t>工序产生的废气进行收集后经</w:t>
      </w:r>
      <w:r>
        <w:rPr>
          <w:rFonts w:hint="eastAsia" w:ascii="Times New Roman" w:hAnsi="Times New Roman" w:eastAsia="宋体" w:cs="Times New Roman"/>
          <w:color w:val="auto"/>
          <w:sz w:val="24"/>
          <w:szCs w:val="24"/>
          <w:highlight w:val="none"/>
          <w:u w:val="single" w:color="auto"/>
          <w:lang w:eastAsia="zh-CN"/>
        </w:rPr>
        <w:t>冷却塔</w:t>
      </w:r>
      <w:r>
        <w:rPr>
          <w:rFonts w:hint="eastAsia" w:ascii="Times New Roman" w:hAnsi="Times New Roman" w:eastAsia="宋体" w:cs="Times New Roman"/>
          <w:color w:val="auto"/>
          <w:sz w:val="24"/>
          <w:szCs w:val="24"/>
          <w:highlight w:val="none"/>
          <w:u w:val="single" w:color="auto"/>
          <w:lang w:val="en-US" w:eastAsia="zh-CN"/>
        </w:rPr>
        <w:t>+干湿过滤器+</w:t>
      </w:r>
      <w:r>
        <w:rPr>
          <w:rFonts w:hint="default" w:ascii="Times New Roman" w:hAnsi="Times New Roman" w:eastAsia="宋体" w:cs="Times New Roman"/>
          <w:color w:val="auto"/>
          <w:sz w:val="24"/>
          <w:szCs w:val="24"/>
          <w:highlight w:val="none"/>
          <w:u w:val="single" w:color="auto"/>
          <w:lang w:eastAsia="zh-CN"/>
        </w:rPr>
        <w:t>一级活性炭</w:t>
      </w:r>
      <w:r>
        <w:rPr>
          <w:rFonts w:hint="default" w:ascii="Times New Roman" w:hAnsi="Times New Roman" w:eastAsia="宋体" w:cs="Times New Roman"/>
          <w:color w:val="auto"/>
          <w:sz w:val="24"/>
          <w:szCs w:val="24"/>
          <w:highlight w:val="none"/>
          <w:u w:val="single" w:color="auto"/>
        </w:rPr>
        <w:t>处理后</w:t>
      </w:r>
      <w:r>
        <w:rPr>
          <w:rFonts w:hint="default" w:ascii="Times New Roman" w:hAnsi="Times New Roman" w:eastAsia="宋体" w:cs="Times New Roman"/>
          <w:color w:val="auto"/>
          <w:sz w:val="24"/>
          <w:szCs w:val="24"/>
          <w:highlight w:val="none"/>
          <w:u w:val="single" w:color="auto"/>
          <w:lang w:val="en-US" w:eastAsia="zh-CN"/>
        </w:rPr>
        <w:t>15m</w:t>
      </w:r>
      <w:r>
        <w:rPr>
          <w:rFonts w:hint="default" w:ascii="Times New Roman" w:hAnsi="Times New Roman" w:eastAsia="宋体" w:cs="Times New Roman"/>
          <w:color w:val="auto"/>
          <w:sz w:val="24"/>
          <w:szCs w:val="24"/>
          <w:highlight w:val="none"/>
          <w:u w:val="single" w:color="auto"/>
        </w:rPr>
        <w:t>高空排放</w:t>
      </w:r>
      <w:r>
        <w:rPr>
          <w:rFonts w:hint="default" w:ascii="Times New Roman" w:hAnsi="Times New Roman" w:eastAsia="宋体" w:cs="Times New Roman"/>
          <w:color w:val="auto"/>
          <w:sz w:val="24"/>
          <w:szCs w:val="24"/>
          <w:highlight w:val="none"/>
          <w:u w:val="single" w:color="auto"/>
          <w:lang w:eastAsia="zh-CN"/>
        </w:rPr>
        <w:t>，可有效削减</w:t>
      </w:r>
      <w:r>
        <w:rPr>
          <w:rFonts w:hint="default" w:ascii="Times New Roman" w:hAnsi="Times New Roman" w:eastAsia="宋体" w:cs="Times New Roman"/>
          <w:color w:val="auto"/>
          <w:sz w:val="24"/>
          <w:szCs w:val="24"/>
          <w:highlight w:val="none"/>
          <w:u w:val="single" w:color="auto"/>
          <w:lang w:val="en-US" w:eastAsia="zh-CN"/>
        </w:rPr>
        <w:t>VOCs的</w:t>
      </w:r>
      <w:r>
        <w:rPr>
          <w:rFonts w:hint="default" w:ascii="Times New Roman" w:hAnsi="Times New Roman" w:eastAsia="宋体" w:cs="Times New Roman"/>
          <w:color w:val="auto"/>
          <w:sz w:val="24"/>
          <w:szCs w:val="24"/>
          <w:highlight w:val="none"/>
          <w:u w:val="single" w:color="auto"/>
          <w:lang w:eastAsia="zh-CN"/>
        </w:rPr>
        <w:t>排放。</w:t>
      </w:r>
    </w:p>
    <w:p w14:paraId="3D8BFB0E">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4.5.2主要污染物排放总量及总量控制指标建议</w:t>
      </w:r>
    </w:p>
    <w:p w14:paraId="5515FF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eastAsia" w:ascii="Times New Roman" w:hAnsi="Times New Roman" w:eastAsia="宋体" w:cs="Times New Roman"/>
          <w:color w:val="auto"/>
          <w:sz w:val="24"/>
          <w:szCs w:val="24"/>
          <w:highlight w:val="none"/>
          <w:u w:val="none" w:color="auto"/>
          <w:lang w:val="en-US" w:eastAsia="zh-CN"/>
        </w:rPr>
        <w:t>本项目外排废水经厂区预处理后</w:t>
      </w:r>
      <w:r>
        <w:rPr>
          <w:rFonts w:hint="default" w:ascii="Times New Roman" w:hAnsi="Times New Roman" w:eastAsia="宋体" w:cs="Times New Roman"/>
          <w:color w:val="auto"/>
          <w:sz w:val="24"/>
          <w:szCs w:val="24"/>
          <w:highlight w:val="none"/>
          <w:u w:val="none" w:color="auto"/>
        </w:rPr>
        <w:t>排至</w:t>
      </w:r>
      <w:r>
        <w:rPr>
          <w:rFonts w:hint="default" w:ascii="Times New Roman" w:hAnsi="Times New Roman" w:eastAsia="宋体" w:cs="Times New Roman"/>
          <w:color w:val="auto"/>
          <w:sz w:val="24"/>
          <w:szCs w:val="24"/>
          <w:highlight w:val="none"/>
          <w:u w:val="none" w:color="auto"/>
          <w:lang w:eastAsia="zh-CN"/>
        </w:rPr>
        <w:t>松木污水处理厂</w:t>
      </w:r>
      <w:r>
        <w:rPr>
          <w:rFonts w:hint="eastAsia" w:ascii="Times New Roman" w:hAnsi="Times New Roman" w:eastAsia="宋体" w:cs="Times New Roman"/>
          <w:color w:val="auto"/>
          <w:sz w:val="24"/>
          <w:szCs w:val="24"/>
          <w:highlight w:val="none"/>
          <w:u w:val="none" w:color="auto"/>
          <w:lang w:val="en-US" w:eastAsia="zh-CN"/>
        </w:rPr>
        <w:t>深度</w:t>
      </w:r>
      <w:r>
        <w:rPr>
          <w:rFonts w:hint="default" w:ascii="Times New Roman" w:hAnsi="Times New Roman" w:eastAsia="宋体" w:cs="Times New Roman"/>
          <w:color w:val="auto"/>
          <w:sz w:val="24"/>
          <w:szCs w:val="24"/>
          <w:highlight w:val="none"/>
          <w:u w:val="none" w:color="auto"/>
        </w:rPr>
        <w:t>处理</w:t>
      </w:r>
      <w:r>
        <w:rPr>
          <w:rFonts w:hint="eastAsia" w:ascii="Times New Roman" w:hAnsi="Times New Roman" w:eastAsia="宋体" w:cs="Times New Roman"/>
          <w:color w:val="auto"/>
          <w:sz w:val="24"/>
          <w:szCs w:val="24"/>
          <w:highlight w:val="none"/>
          <w:u w:val="none" w:color="auto"/>
          <w:lang w:val="en-US" w:eastAsia="zh-CN"/>
        </w:rPr>
        <w:t>后外排湘江，故本项目废水排放总量详见表4.4-11~4.4-12</w:t>
      </w:r>
      <w:r>
        <w:rPr>
          <w:rFonts w:hint="default" w:ascii="Times New Roman" w:hAnsi="Times New Roman" w:eastAsia="宋体" w:cs="Times New Roman"/>
          <w:color w:val="auto"/>
          <w:sz w:val="24"/>
          <w:szCs w:val="24"/>
          <w:highlight w:val="none"/>
          <w:u w:val="none" w:color="auto"/>
        </w:rPr>
        <w:t>，</w:t>
      </w:r>
      <w:r>
        <w:rPr>
          <w:rFonts w:hint="eastAsia" w:ascii="Times New Roman" w:hAnsi="Times New Roman" w:eastAsia="宋体" w:cs="Times New Roman"/>
          <w:color w:val="auto"/>
          <w:sz w:val="24"/>
          <w:szCs w:val="24"/>
          <w:highlight w:val="none"/>
          <w:u w:val="none" w:color="auto"/>
          <w:lang w:val="en-US" w:eastAsia="zh-CN"/>
        </w:rPr>
        <w:t>故</w:t>
      </w:r>
      <w:r>
        <w:rPr>
          <w:rFonts w:hint="default" w:ascii="Times New Roman" w:hAnsi="Times New Roman" w:eastAsia="宋体" w:cs="Times New Roman"/>
          <w:color w:val="auto"/>
          <w:sz w:val="24"/>
          <w:szCs w:val="21"/>
          <w:highlight w:val="none"/>
          <w:u w:val="none" w:color="auto"/>
          <w:lang w:val="en-GB"/>
        </w:rPr>
        <w:t>本项目建成后各类污染物预计排放量及总量控制建议指标见表</w:t>
      </w:r>
      <w:r>
        <w:rPr>
          <w:rFonts w:hint="default" w:ascii="Times New Roman" w:hAnsi="Times New Roman" w:eastAsia="宋体" w:cs="Times New Roman"/>
          <w:color w:val="auto"/>
          <w:sz w:val="24"/>
          <w:szCs w:val="21"/>
          <w:highlight w:val="none"/>
          <w:u w:val="none" w:color="auto"/>
          <w:lang w:val="en-US" w:eastAsia="zh-CN"/>
        </w:rPr>
        <w:t>4</w:t>
      </w:r>
      <w:r>
        <w:rPr>
          <w:rFonts w:hint="default" w:ascii="Times New Roman" w:hAnsi="Times New Roman" w:eastAsia="宋体" w:cs="Times New Roman"/>
          <w:color w:val="auto"/>
          <w:sz w:val="24"/>
          <w:szCs w:val="21"/>
          <w:highlight w:val="none"/>
          <w:u w:val="none" w:color="auto"/>
          <w:lang w:val="en-GB"/>
        </w:rPr>
        <w:t>.</w:t>
      </w:r>
      <w:r>
        <w:rPr>
          <w:rFonts w:hint="eastAsia" w:ascii="Times New Roman" w:hAnsi="Times New Roman" w:eastAsia="宋体" w:cs="Times New Roman"/>
          <w:color w:val="auto"/>
          <w:sz w:val="24"/>
          <w:szCs w:val="21"/>
          <w:highlight w:val="none"/>
          <w:u w:val="none" w:color="auto"/>
          <w:lang w:val="en-US" w:eastAsia="zh-CN"/>
        </w:rPr>
        <w:t>5</w:t>
      </w:r>
      <w:r>
        <w:rPr>
          <w:rFonts w:hint="default" w:ascii="Times New Roman" w:hAnsi="Times New Roman" w:eastAsia="宋体" w:cs="Times New Roman"/>
          <w:color w:val="auto"/>
          <w:sz w:val="24"/>
          <w:szCs w:val="21"/>
          <w:highlight w:val="none"/>
          <w:u w:val="none" w:color="auto"/>
          <w:lang w:val="en-GB"/>
        </w:rPr>
        <w:t>-1，纳入总量控制指标体系的控制因子总量控制指标情况详见表</w:t>
      </w:r>
      <w:r>
        <w:rPr>
          <w:rFonts w:hint="default" w:ascii="Times New Roman" w:hAnsi="Times New Roman" w:eastAsia="宋体" w:cs="Times New Roman"/>
          <w:color w:val="auto"/>
          <w:sz w:val="24"/>
          <w:szCs w:val="21"/>
          <w:highlight w:val="none"/>
          <w:u w:val="none" w:color="auto"/>
          <w:lang w:val="en-US" w:eastAsia="zh-CN"/>
        </w:rPr>
        <w:t>4</w:t>
      </w:r>
      <w:r>
        <w:rPr>
          <w:rFonts w:hint="default" w:ascii="Times New Roman" w:hAnsi="Times New Roman" w:eastAsia="宋体" w:cs="Times New Roman"/>
          <w:color w:val="auto"/>
          <w:sz w:val="24"/>
          <w:szCs w:val="21"/>
          <w:highlight w:val="none"/>
          <w:u w:val="none" w:color="auto"/>
          <w:lang w:val="en-GB"/>
        </w:rPr>
        <w:t>.</w:t>
      </w:r>
      <w:r>
        <w:rPr>
          <w:rFonts w:hint="eastAsia" w:ascii="Times New Roman" w:hAnsi="Times New Roman" w:eastAsia="宋体" w:cs="Times New Roman"/>
          <w:color w:val="auto"/>
          <w:sz w:val="24"/>
          <w:szCs w:val="21"/>
          <w:highlight w:val="none"/>
          <w:u w:val="none" w:color="auto"/>
          <w:lang w:val="en-US" w:eastAsia="zh-CN"/>
        </w:rPr>
        <w:t>5</w:t>
      </w:r>
      <w:r>
        <w:rPr>
          <w:rFonts w:hint="default" w:ascii="Times New Roman" w:hAnsi="Times New Roman" w:eastAsia="宋体" w:cs="Times New Roman"/>
          <w:color w:val="auto"/>
          <w:sz w:val="24"/>
          <w:szCs w:val="21"/>
          <w:highlight w:val="none"/>
          <w:u w:val="none" w:color="auto"/>
          <w:lang w:val="en-GB"/>
        </w:rPr>
        <w:t>-2。</w:t>
      </w:r>
    </w:p>
    <w:p w14:paraId="0720952A">
      <w:pPr>
        <w:jc w:val="center"/>
        <w:rPr>
          <w:rFonts w:hint="default" w:ascii="Times New Roman" w:hAnsi="Times New Roman" w:eastAsia="宋体" w:cs="Times New Roman"/>
          <w:b/>
          <w:color w:val="auto"/>
          <w:sz w:val="21"/>
          <w:szCs w:val="16"/>
          <w:highlight w:val="none"/>
          <w:u w:val="single" w:color="auto"/>
        </w:rPr>
      </w:pPr>
      <w:r>
        <w:rPr>
          <w:rFonts w:hint="default" w:ascii="Times New Roman" w:hAnsi="Times New Roman" w:eastAsia="宋体" w:cs="Times New Roman"/>
          <w:b/>
          <w:color w:val="auto"/>
          <w:sz w:val="21"/>
          <w:szCs w:val="16"/>
          <w:highlight w:val="none"/>
          <w:u w:val="single" w:color="auto"/>
        </w:rPr>
        <w:t>表</w:t>
      </w:r>
      <w:r>
        <w:rPr>
          <w:rFonts w:hint="default" w:ascii="Times New Roman" w:hAnsi="Times New Roman" w:eastAsia="宋体" w:cs="Times New Roman"/>
          <w:b/>
          <w:color w:val="auto"/>
          <w:sz w:val="21"/>
          <w:szCs w:val="16"/>
          <w:highlight w:val="none"/>
          <w:u w:val="single" w:color="auto"/>
          <w:lang w:val="en-US" w:eastAsia="zh-CN"/>
        </w:rPr>
        <w:t>4</w:t>
      </w:r>
      <w:r>
        <w:rPr>
          <w:rFonts w:hint="default" w:ascii="Times New Roman" w:hAnsi="Times New Roman" w:eastAsia="宋体" w:cs="Times New Roman"/>
          <w:b/>
          <w:color w:val="auto"/>
          <w:sz w:val="21"/>
          <w:szCs w:val="16"/>
          <w:highlight w:val="none"/>
          <w:u w:val="single" w:color="auto"/>
        </w:rPr>
        <w:t>.</w:t>
      </w:r>
      <w:r>
        <w:rPr>
          <w:rFonts w:hint="eastAsia" w:ascii="Times New Roman" w:hAnsi="Times New Roman" w:eastAsia="宋体" w:cs="Times New Roman"/>
          <w:b/>
          <w:color w:val="auto"/>
          <w:sz w:val="21"/>
          <w:szCs w:val="16"/>
          <w:highlight w:val="none"/>
          <w:u w:val="single" w:color="auto"/>
          <w:lang w:val="en-US" w:eastAsia="zh-CN"/>
        </w:rPr>
        <w:t>5</w:t>
      </w:r>
      <w:r>
        <w:rPr>
          <w:rFonts w:hint="default" w:ascii="Times New Roman" w:hAnsi="Times New Roman" w:eastAsia="宋体" w:cs="Times New Roman"/>
          <w:b/>
          <w:color w:val="auto"/>
          <w:sz w:val="21"/>
          <w:szCs w:val="16"/>
          <w:highlight w:val="none"/>
          <w:u w:val="single" w:color="auto"/>
        </w:rPr>
        <w:t>-1 污染物预计排放量及总量控制建议指标表</w:t>
      </w:r>
      <w:r>
        <w:rPr>
          <w:rFonts w:hint="default" w:ascii="Times New Roman" w:hAnsi="Times New Roman" w:eastAsia="宋体" w:cs="Times New Roman"/>
          <w:b/>
          <w:color w:val="auto"/>
          <w:sz w:val="21"/>
          <w:szCs w:val="16"/>
          <w:highlight w:val="none"/>
          <w:u w:val="single" w:color="auto"/>
          <w:lang w:val="en-US" w:eastAsia="zh-CN"/>
        </w:rPr>
        <w:t xml:space="preserve">  </w:t>
      </w:r>
      <w:r>
        <w:rPr>
          <w:rFonts w:hint="default" w:ascii="Times New Roman" w:hAnsi="Times New Roman" w:eastAsia="宋体" w:cs="Times New Roman"/>
          <w:b/>
          <w:color w:val="auto"/>
          <w:sz w:val="21"/>
          <w:szCs w:val="16"/>
          <w:highlight w:val="none"/>
          <w:u w:val="single" w:color="auto"/>
        </w:rPr>
        <w:t>单位：t/a</w:t>
      </w:r>
    </w:p>
    <w:tbl>
      <w:tblPr>
        <w:tblStyle w:val="22"/>
        <w:tblW w:w="849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48"/>
        <w:gridCol w:w="1317"/>
        <w:gridCol w:w="2633"/>
        <w:gridCol w:w="3201"/>
      </w:tblGrid>
      <w:tr w14:paraId="1E5988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2" w:hRule="atLeast"/>
          <w:jc w:val="center"/>
        </w:trPr>
        <w:tc>
          <w:tcPr>
            <w:tcW w:w="1348" w:type="dxa"/>
            <w:vAlign w:val="center"/>
          </w:tcPr>
          <w:p w14:paraId="71D499A9">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项目</w:t>
            </w:r>
          </w:p>
        </w:tc>
        <w:tc>
          <w:tcPr>
            <w:tcW w:w="1317" w:type="dxa"/>
            <w:vAlign w:val="center"/>
          </w:tcPr>
          <w:p w14:paraId="70C9E8B6">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污染物</w:t>
            </w:r>
          </w:p>
        </w:tc>
        <w:tc>
          <w:tcPr>
            <w:tcW w:w="2633" w:type="dxa"/>
            <w:vAlign w:val="center"/>
          </w:tcPr>
          <w:p w14:paraId="7432CAEE">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排放量</w:t>
            </w:r>
          </w:p>
        </w:tc>
        <w:tc>
          <w:tcPr>
            <w:tcW w:w="3201" w:type="dxa"/>
            <w:vAlign w:val="center"/>
          </w:tcPr>
          <w:p w14:paraId="1CD734AE">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总量控制建议指标</w:t>
            </w:r>
          </w:p>
        </w:tc>
      </w:tr>
      <w:tr w14:paraId="7D601B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7" w:hRule="atLeast"/>
          <w:jc w:val="center"/>
        </w:trPr>
        <w:tc>
          <w:tcPr>
            <w:tcW w:w="1348" w:type="dxa"/>
            <w:vMerge w:val="restart"/>
            <w:vAlign w:val="center"/>
          </w:tcPr>
          <w:p w14:paraId="7BD31784">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大气污染物</w:t>
            </w:r>
          </w:p>
        </w:tc>
        <w:tc>
          <w:tcPr>
            <w:tcW w:w="1317" w:type="dxa"/>
            <w:vAlign w:val="center"/>
          </w:tcPr>
          <w:p w14:paraId="02908583">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VOCs</w:t>
            </w:r>
          </w:p>
        </w:tc>
        <w:tc>
          <w:tcPr>
            <w:tcW w:w="2633" w:type="dxa"/>
            <w:vAlign w:val="center"/>
          </w:tcPr>
          <w:p w14:paraId="05F3CBD7">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0.051</w:t>
            </w:r>
          </w:p>
        </w:tc>
        <w:tc>
          <w:tcPr>
            <w:tcW w:w="3201" w:type="dxa"/>
            <w:vAlign w:val="center"/>
          </w:tcPr>
          <w:p w14:paraId="177BD9A0">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0.051</w:t>
            </w:r>
          </w:p>
        </w:tc>
      </w:tr>
      <w:tr w14:paraId="16B0EC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7" w:hRule="atLeast"/>
          <w:jc w:val="center"/>
        </w:trPr>
        <w:tc>
          <w:tcPr>
            <w:tcW w:w="1348" w:type="dxa"/>
            <w:vMerge w:val="continue"/>
            <w:vAlign w:val="center"/>
          </w:tcPr>
          <w:p w14:paraId="49702449">
            <w:pPr>
              <w:snapToGrid w:val="0"/>
              <w:spacing w:line="240" w:lineRule="auto"/>
              <w:jc w:val="center"/>
              <w:rPr>
                <w:rFonts w:hint="default" w:ascii="Times New Roman" w:hAnsi="Times New Roman" w:eastAsia="宋体" w:cs="Times New Roman"/>
                <w:color w:val="auto"/>
                <w:sz w:val="21"/>
                <w:szCs w:val="21"/>
                <w:highlight w:val="none"/>
                <w:u w:val="single" w:color="auto"/>
              </w:rPr>
            </w:pPr>
          </w:p>
        </w:tc>
        <w:tc>
          <w:tcPr>
            <w:tcW w:w="1317" w:type="dxa"/>
            <w:vAlign w:val="center"/>
          </w:tcPr>
          <w:p w14:paraId="27718F17">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2633" w:type="dxa"/>
            <w:vAlign w:val="center"/>
          </w:tcPr>
          <w:p w14:paraId="7F758C69">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0.033</w:t>
            </w:r>
          </w:p>
        </w:tc>
        <w:tc>
          <w:tcPr>
            <w:tcW w:w="3201" w:type="dxa"/>
            <w:vAlign w:val="center"/>
          </w:tcPr>
          <w:p w14:paraId="441A7C18">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0.033</w:t>
            </w:r>
          </w:p>
        </w:tc>
      </w:tr>
      <w:tr w14:paraId="36B9A1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7" w:hRule="atLeast"/>
          <w:jc w:val="center"/>
        </w:trPr>
        <w:tc>
          <w:tcPr>
            <w:tcW w:w="1348" w:type="dxa"/>
            <w:vMerge w:val="restart"/>
            <w:vAlign w:val="center"/>
          </w:tcPr>
          <w:p w14:paraId="76E9F3B2">
            <w:pPr>
              <w:snapToGrid w:val="0"/>
              <w:spacing w:line="240" w:lineRule="auto"/>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水污染物</w:t>
            </w:r>
          </w:p>
        </w:tc>
        <w:tc>
          <w:tcPr>
            <w:tcW w:w="1317" w:type="dxa"/>
            <w:vAlign w:val="center"/>
          </w:tcPr>
          <w:p w14:paraId="7039C7AE">
            <w:pPr>
              <w:snapToGrid w:val="0"/>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u w:val="single" w:color="auto"/>
              </w:rPr>
              <w:t>COD</w:t>
            </w:r>
          </w:p>
        </w:tc>
        <w:tc>
          <w:tcPr>
            <w:tcW w:w="2633" w:type="dxa"/>
            <w:vAlign w:val="center"/>
          </w:tcPr>
          <w:p w14:paraId="505DD75F">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0.85</w:t>
            </w:r>
          </w:p>
        </w:tc>
        <w:tc>
          <w:tcPr>
            <w:tcW w:w="3201" w:type="dxa"/>
            <w:vAlign w:val="center"/>
          </w:tcPr>
          <w:p w14:paraId="2DCE5D1D">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0.85</w:t>
            </w:r>
          </w:p>
        </w:tc>
      </w:tr>
      <w:tr w14:paraId="64D583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7" w:hRule="atLeast"/>
          <w:jc w:val="center"/>
        </w:trPr>
        <w:tc>
          <w:tcPr>
            <w:tcW w:w="1348" w:type="dxa"/>
            <w:vMerge w:val="continue"/>
            <w:vAlign w:val="center"/>
          </w:tcPr>
          <w:p w14:paraId="010D9A84">
            <w:pPr>
              <w:snapToGrid w:val="0"/>
              <w:spacing w:line="240" w:lineRule="auto"/>
              <w:jc w:val="center"/>
              <w:rPr>
                <w:rFonts w:hint="default" w:ascii="Times New Roman" w:hAnsi="Times New Roman" w:eastAsia="宋体" w:cs="Times New Roman"/>
                <w:color w:val="auto"/>
                <w:sz w:val="21"/>
                <w:szCs w:val="21"/>
                <w:highlight w:val="none"/>
                <w:u w:val="single" w:color="auto"/>
              </w:rPr>
            </w:pPr>
          </w:p>
        </w:tc>
        <w:tc>
          <w:tcPr>
            <w:tcW w:w="1317" w:type="dxa"/>
            <w:vAlign w:val="center"/>
          </w:tcPr>
          <w:p w14:paraId="48E10705">
            <w:pPr>
              <w:snapToGrid w:val="0"/>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u w:val="single" w:color="auto"/>
              </w:rPr>
              <w:t>NH</w:t>
            </w:r>
            <w:r>
              <w:rPr>
                <w:rFonts w:hint="default" w:ascii="Times New Roman" w:hAnsi="Times New Roman" w:eastAsia="宋体" w:cs="Times New Roman"/>
                <w:color w:val="auto"/>
                <w:sz w:val="21"/>
                <w:szCs w:val="21"/>
                <w:u w:val="single" w:color="auto"/>
                <w:vertAlign w:val="subscript"/>
              </w:rPr>
              <w:t>3</w:t>
            </w:r>
            <w:r>
              <w:rPr>
                <w:rFonts w:hint="default" w:ascii="Times New Roman" w:hAnsi="Times New Roman" w:eastAsia="宋体" w:cs="Times New Roman"/>
                <w:color w:val="auto"/>
                <w:sz w:val="21"/>
                <w:szCs w:val="21"/>
                <w:u w:val="single" w:color="auto"/>
              </w:rPr>
              <w:t>-N</w:t>
            </w:r>
          </w:p>
        </w:tc>
        <w:tc>
          <w:tcPr>
            <w:tcW w:w="2633" w:type="dxa"/>
            <w:vAlign w:val="center"/>
          </w:tcPr>
          <w:p w14:paraId="3983591C">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0.18</w:t>
            </w:r>
          </w:p>
        </w:tc>
        <w:tc>
          <w:tcPr>
            <w:tcW w:w="3201" w:type="dxa"/>
            <w:vAlign w:val="center"/>
          </w:tcPr>
          <w:p w14:paraId="2AD10C3C">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0.18</w:t>
            </w:r>
          </w:p>
        </w:tc>
      </w:tr>
    </w:tbl>
    <w:p w14:paraId="3860108F">
      <w:pPr>
        <w:jc w:val="center"/>
        <w:rPr>
          <w:rFonts w:hint="default" w:ascii="Times New Roman" w:hAnsi="Times New Roman" w:eastAsia="宋体" w:cs="Times New Roman"/>
          <w:b/>
          <w:color w:val="auto"/>
          <w:sz w:val="21"/>
          <w:szCs w:val="16"/>
          <w:highlight w:val="none"/>
          <w:u w:val="single" w:color="auto"/>
        </w:rPr>
      </w:pPr>
      <w:r>
        <w:rPr>
          <w:rFonts w:hint="default" w:ascii="Times New Roman" w:hAnsi="Times New Roman" w:eastAsia="宋体" w:cs="Times New Roman"/>
          <w:b/>
          <w:color w:val="auto"/>
          <w:sz w:val="21"/>
          <w:szCs w:val="16"/>
          <w:highlight w:val="none"/>
          <w:u w:val="single" w:color="auto"/>
        </w:rPr>
        <w:t>表</w:t>
      </w:r>
      <w:r>
        <w:rPr>
          <w:rFonts w:hint="default" w:ascii="Times New Roman" w:hAnsi="Times New Roman" w:eastAsia="宋体" w:cs="Times New Roman"/>
          <w:b/>
          <w:color w:val="auto"/>
          <w:sz w:val="21"/>
          <w:szCs w:val="16"/>
          <w:highlight w:val="none"/>
          <w:u w:val="single" w:color="auto"/>
          <w:lang w:val="en-US" w:eastAsia="zh-CN"/>
        </w:rPr>
        <w:t>4</w:t>
      </w:r>
      <w:r>
        <w:rPr>
          <w:rFonts w:hint="default" w:ascii="Times New Roman" w:hAnsi="Times New Roman" w:eastAsia="宋体" w:cs="Times New Roman"/>
          <w:b/>
          <w:color w:val="auto"/>
          <w:sz w:val="21"/>
          <w:szCs w:val="16"/>
          <w:highlight w:val="none"/>
          <w:u w:val="single" w:color="auto"/>
        </w:rPr>
        <w:t>.</w:t>
      </w:r>
      <w:r>
        <w:rPr>
          <w:rFonts w:hint="eastAsia" w:ascii="Times New Roman" w:hAnsi="Times New Roman" w:eastAsia="宋体" w:cs="Times New Roman"/>
          <w:b/>
          <w:color w:val="auto"/>
          <w:sz w:val="21"/>
          <w:szCs w:val="16"/>
          <w:highlight w:val="none"/>
          <w:u w:val="single" w:color="auto"/>
          <w:lang w:val="en-US" w:eastAsia="zh-CN"/>
        </w:rPr>
        <w:t>5</w:t>
      </w:r>
      <w:r>
        <w:rPr>
          <w:rFonts w:hint="default" w:ascii="Times New Roman" w:hAnsi="Times New Roman" w:eastAsia="宋体" w:cs="Times New Roman"/>
          <w:b/>
          <w:color w:val="auto"/>
          <w:sz w:val="21"/>
          <w:szCs w:val="16"/>
          <w:highlight w:val="none"/>
          <w:u w:val="single" w:color="auto"/>
        </w:rPr>
        <w:t>-2本项目纳入总量指标体系的污染物总量单位：t/a</w:t>
      </w:r>
    </w:p>
    <w:tbl>
      <w:tblPr>
        <w:tblStyle w:val="2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098"/>
        <w:gridCol w:w="1277"/>
        <w:gridCol w:w="1702"/>
        <w:gridCol w:w="1841"/>
        <w:gridCol w:w="2604"/>
      </w:tblGrid>
      <w:tr w14:paraId="4280B7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4" w:type="pct"/>
            <w:vAlign w:val="center"/>
          </w:tcPr>
          <w:p w14:paraId="2BF8B001">
            <w:pPr>
              <w:snapToGrid w:val="0"/>
              <w:spacing w:line="320" w:lineRule="exact"/>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项目</w:t>
            </w:r>
          </w:p>
        </w:tc>
        <w:tc>
          <w:tcPr>
            <w:tcW w:w="749" w:type="pct"/>
            <w:vAlign w:val="center"/>
          </w:tcPr>
          <w:p w14:paraId="0FC34DD1">
            <w:pPr>
              <w:snapToGrid w:val="0"/>
              <w:spacing w:line="320" w:lineRule="exact"/>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污染物</w:t>
            </w:r>
          </w:p>
        </w:tc>
        <w:tc>
          <w:tcPr>
            <w:tcW w:w="998" w:type="pct"/>
            <w:vAlign w:val="center"/>
          </w:tcPr>
          <w:p w14:paraId="2075B899">
            <w:pPr>
              <w:snapToGrid w:val="0"/>
              <w:spacing w:line="320" w:lineRule="exact"/>
              <w:jc w:val="center"/>
              <w:rPr>
                <w:rFonts w:hint="default" w:ascii="Times New Roman" w:hAnsi="Times New Roman" w:eastAsia="宋体" w:cs="Times New Roman"/>
                <w:color w:val="auto"/>
                <w:spacing w:val="-10"/>
                <w:sz w:val="21"/>
                <w:szCs w:val="21"/>
                <w:highlight w:val="none"/>
                <w:u w:val="single" w:color="auto"/>
              </w:rPr>
            </w:pPr>
            <w:r>
              <w:rPr>
                <w:rFonts w:hint="default" w:ascii="Times New Roman" w:hAnsi="Times New Roman" w:eastAsia="宋体" w:cs="Times New Roman"/>
                <w:color w:val="auto"/>
                <w:spacing w:val="-10"/>
                <w:sz w:val="21"/>
                <w:szCs w:val="21"/>
                <w:highlight w:val="none"/>
                <w:u w:val="single" w:color="auto"/>
              </w:rPr>
              <w:t>本工程排放总量</w:t>
            </w:r>
          </w:p>
        </w:tc>
        <w:tc>
          <w:tcPr>
            <w:tcW w:w="1080" w:type="pct"/>
            <w:vAlign w:val="center"/>
          </w:tcPr>
          <w:p w14:paraId="79AB4F77">
            <w:pPr>
              <w:snapToGrid w:val="0"/>
              <w:spacing w:line="320" w:lineRule="exact"/>
              <w:jc w:val="center"/>
              <w:rPr>
                <w:rFonts w:hint="default" w:ascii="Times New Roman" w:hAnsi="Times New Roman" w:eastAsia="宋体" w:cs="Times New Roman"/>
                <w:color w:val="auto"/>
                <w:spacing w:val="-10"/>
                <w:sz w:val="21"/>
                <w:szCs w:val="21"/>
                <w:highlight w:val="none"/>
                <w:u w:val="single" w:color="auto"/>
              </w:rPr>
            </w:pPr>
            <w:r>
              <w:rPr>
                <w:rFonts w:hint="default" w:ascii="Times New Roman" w:hAnsi="Times New Roman" w:eastAsia="宋体" w:cs="Times New Roman"/>
                <w:color w:val="auto"/>
                <w:spacing w:val="-10"/>
                <w:sz w:val="21"/>
                <w:szCs w:val="21"/>
                <w:highlight w:val="none"/>
                <w:u w:val="single" w:color="auto"/>
              </w:rPr>
              <w:t>企业已有总量指标</w:t>
            </w:r>
          </w:p>
        </w:tc>
        <w:tc>
          <w:tcPr>
            <w:tcW w:w="1527" w:type="pct"/>
            <w:vAlign w:val="center"/>
          </w:tcPr>
          <w:p w14:paraId="6DFE4612">
            <w:pPr>
              <w:snapToGrid w:val="0"/>
              <w:spacing w:line="320" w:lineRule="exact"/>
              <w:jc w:val="center"/>
              <w:rPr>
                <w:rFonts w:hint="default" w:ascii="Times New Roman" w:hAnsi="Times New Roman" w:eastAsia="宋体" w:cs="Times New Roman"/>
                <w:color w:val="auto"/>
                <w:spacing w:val="-10"/>
                <w:sz w:val="21"/>
                <w:szCs w:val="21"/>
                <w:highlight w:val="none"/>
                <w:u w:val="single" w:color="auto"/>
              </w:rPr>
            </w:pPr>
            <w:r>
              <w:rPr>
                <w:rFonts w:hint="default" w:ascii="Times New Roman" w:hAnsi="Times New Roman" w:eastAsia="宋体" w:cs="Times New Roman"/>
                <w:color w:val="auto"/>
                <w:spacing w:val="-10"/>
                <w:sz w:val="21"/>
                <w:szCs w:val="21"/>
                <w:highlight w:val="none"/>
                <w:u w:val="single" w:color="auto"/>
              </w:rPr>
              <w:t>建议申请交易指标</w:t>
            </w:r>
          </w:p>
        </w:tc>
      </w:tr>
      <w:tr w14:paraId="062BE6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4" w:type="pct"/>
            <w:vMerge w:val="restart"/>
            <w:vAlign w:val="center"/>
          </w:tcPr>
          <w:p w14:paraId="372ED15D">
            <w:pPr>
              <w:snapToGrid w:val="0"/>
              <w:spacing w:line="320" w:lineRule="exact"/>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废气</w:t>
            </w:r>
          </w:p>
        </w:tc>
        <w:tc>
          <w:tcPr>
            <w:tcW w:w="749" w:type="pct"/>
            <w:vAlign w:val="center"/>
          </w:tcPr>
          <w:p w14:paraId="5238B212">
            <w:pPr>
              <w:snapToGrid w:val="0"/>
              <w:spacing w:line="320" w:lineRule="exact"/>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VOCs</w:t>
            </w:r>
          </w:p>
        </w:tc>
        <w:tc>
          <w:tcPr>
            <w:tcW w:w="998" w:type="pct"/>
            <w:vAlign w:val="center"/>
          </w:tcPr>
          <w:p w14:paraId="59B851FC">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0.051</w:t>
            </w:r>
          </w:p>
        </w:tc>
        <w:tc>
          <w:tcPr>
            <w:tcW w:w="1080" w:type="pct"/>
            <w:vAlign w:val="center"/>
          </w:tcPr>
          <w:p w14:paraId="6E695DF9">
            <w:pPr>
              <w:snapToGrid w:val="0"/>
              <w:spacing w:line="320" w:lineRule="exact"/>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0</w:t>
            </w:r>
          </w:p>
        </w:tc>
        <w:tc>
          <w:tcPr>
            <w:tcW w:w="1527" w:type="pct"/>
            <w:vAlign w:val="center"/>
          </w:tcPr>
          <w:p w14:paraId="7233895F">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0.051</w:t>
            </w:r>
          </w:p>
        </w:tc>
      </w:tr>
      <w:tr w14:paraId="261A24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4" w:type="pct"/>
            <w:vMerge w:val="continue"/>
            <w:vAlign w:val="center"/>
          </w:tcPr>
          <w:p w14:paraId="10A203EF">
            <w:pPr>
              <w:snapToGrid w:val="0"/>
              <w:spacing w:line="320" w:lineRule="exact"/>
              <w:jc w:val="center"/>
              <w:rPr>
                <w:rFonts w:hint="default" w:ascii="Times New Roman" w:hAnsi="Times New Roman" w:eastAsia="宋体" w:cs="Times New Roman"/>
                <w:color w:val="auto"/>
                <w:sz w:val="21"/>
                <w:szCs w:val="21"/>
                <w:highlight w:val="none"/>
                <w:u w:val="single" w:color="auto"/>
              </w:rPr>
            </w:pPr>
          </w:p>
        </w:tc>
        <w:tc>
          <w:tcPr>
            <w:tcW w:w="749" w:type="pct"/>
            <w:vAlign w:val="center"/>
          </w:tcPr>
          <w:p w14:paraId="3C83CCC1">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氮氧化物</w:t>
            </w:r>
          </w:p>
        </w:tc>
        <w:tc>
          <w:tcPr>
            <w:tcW w:w="998" w:type="pct"/>
            <w:vAlign w:val="center"/>
          </w:tcPr>
          <w:p w14:paraId="5085FFD1">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0.033</w:t>
            </w:r>
          </w:p>
        </w:tc>
        <w:tc>
          <w:tcPr>
            <w:tcW w:w="1080" w:type="pct"/>
            <w:vAlign w:val="center"/>
          </w:tcPr>
          <w:p w14:paraId="123A8DE9">
            <w:pPr>
              <w:snapToGrid w:val="0"/>
              <w:spacing w:line="320" w:lineRule="exact"/>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w:t>
            </w:r>
          </w:p>
        </w:tc>
        <w:tc>
          <w:tcPr>
            <w:tcW w:w="1527" w:type="pct"/>
            <w:vAlign w:val="center"/>
          </w:tcPr>
          <w:p w14:paraId="2A0E2990">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0.033</w:t>
            </w:r>
          </w:p>
        </w:tc>
      </w:tr>
      <w:tr w14:paraId="4C70BE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4" w:type="pct"/>
            <w:vMerge w:val="restart"/>
            <w:vAlign w:val="center"/>
          </w:tcPr>
          <w:p w14:paraId="5CA54AE0">
            <w:pPr>
              <w:snapToGrid w:val="0"/>
              <w:spacing w:line="320" w:lineRule="exact"/>
              <w:jc w:val="center"/>
              <w:rPr>
                <w:rFonts w:hint="eastAsia"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废水</w:t>
            </w:r>
          </w:p>
        </w:tc>
        <w:tc>
          <w:tcPr>
            <w:tcW w:w="749" w:type="pct"/>
            <w:vAlign w:val="center"/>
          </w:tcPr>
          <w:p w14:paraId="528B0063">
            <w:pPr>
              <w:snapToGrid w:val="0"/>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u w:val="single" w:color="auto"/>
              </w:rPr>
              <w:t>COD</w:t>
            </w:r>
          </w:p>
        </w:tc>
        <w:tc>
          <w:tcPr>
            <w:tcW w:w="1702" w:type="dxa"/>
            <w:vAlign w:val="center"/>
          </w:tcPr>
          <w:p w14:paraId="7D5D3906">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0.85</w:t>
            </w:r>
          </w:p>
        </w:tc>
        <w:tc>
          <w:tcPr>
            <w:tcW w:w="1080" w:type="pct"/>
            <w:vAlign w:val="center"/>
          </w:tcPr>
          <w:p w14:paraId="6DF0DA1C">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w:t>
            </w:r>
          </w:p>
        </w:tc>
        <w:tc>
          <w:tcPr>
            <w:tcW w:w="2604" w:type="dxa"/>
            <w:vAlign w:val="center"/>
          </w:tcPr>
          <w:p w14:paraId="38B49AB1">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0.85</w:t>
            </w:r>
          </w:p>
        </w:tc>
      </w:tr>
      <w:tr w14:paraId="69BE2F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44" w:type="pct"/>
            <w:vMerge w:val="continue"/>
            <w:vAlign w:val="center"/>
          </w:tcPr>
          <w:p w14:paraId="58AAEFB2">
            <w:pPr>
              <w:snapToGrid w:val="0"/>
              <w:spacing w:line="320" w:lineRule="exact"/>
              <w:jc w:val="center"/>
              <w:rPr>
                <w:rFonts w:hint="default" w:ascii="Times New Roman" w:hAnsi="Times New Roman" w:eastAsia="宋体" w:cs="Times New Roman"/>
                <w:color w:val="auto"/>
                <w:sz w:val="21"/>
                <w:szCs w:val="21"/>
                <w:highlight w:val="none"/>
                <w:u w:val="single" w:color="auto"/>
              </w:rPr>
            </w:pPr>
          </w:p>
        </w:tc>
        <w:tc>
          <w:tcPr>
            <w:tcW w:w="749" w:type="pct"/>
            <w:vAlign w:val="center"/>
          </w:tcPr>
          <w:p w14:paraId="081E6EA8">
            <w:pPr>
              <w:snapToGrid w:val="0"/>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u w:val="single" w:color="auto"/>
              </w:rPr>
              <w:t>NH</w:t>
            </w:r>
            <w:r>
              <w:rPr>
                <w:rFonts w:hint="default" w:ascii="Times New Roman" w:hAnsi="Times New Roman" w:eastAsia="宋体" w:cs="Times New Roman"/>
                <w:color w:val="auto"/>
                <w:sz w:val="21"/>
                <w:szCs w:val="21"/>
                <w:u w:val="single" w:color="auto"/>
                <w:vertAlign w:val="subscript"/>
              </w:rPr>
              <w:t>3</w:t>
            </w:r>
            <w:r>
              <w:rPr>
                <w:rFonts w:hint="default" w:ascii="Times New Roman" w:hAnsi="Times New Roman" w:eastAsia="宋体" w:cs="Times New Roman"/>
                <w:color w:val="auto"/>
                <w:sz w:val="21"/>
                <w:szCs w:val="21"/>
                <w:u w:val="single" w:color="auto"/>
              </w:rPr>
              <w:t>-N</w:t>
            </w:r>
          </w:p>
        </w:tc>
        <w:tc>
          <w:tcPr>
            <w:tcW w:w="1702" w:type="dxa"/>
            <w:vAlign w:val="center"/>
          </w:tcPr>
          <w:p w14:paraId="26C343D4">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0.18</w:t>
            </w:r>
          </w:p>
        </w:tc>
        <w:tc>
          <w:tcPr>
            <w:tcW w:w="1080" w:type="pct"/>
            <w:vAlign w:val="center"/>
          </w:tcPr>
          <w:p w14:paraId="2888EF48">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0</w:t>
            </w:r>
          </w:p>
        </w:tc>
        <w:tc>
          <w:tcPr>
            <w:tcW w:w="2604" w:type="dxa"/>
            <w:vAlign w:val="center"/>
          </w:tcPr>
          <w:p w14:paraId="21829A12">
            <w:pPr>
              <w:snapToGrid w:val="0"/>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0.18</w:t>
            </w:r>
          </w:p>
        </w:tc>
      </w:tr>
    </w:tbl>
    <w:p w14:paraId="1C34A1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根据上表的统计结果，本次评价建议</w:t>
      </w:r>
      <w:r>
        <w:rPr>
          <w:rFonts w:hint="default" w:ascii="Times New Roman" w:hAnsi="Times New Roman" w:eastAsia="宋体" w:cs="Times New Roman"/>
          <w:color w:val="auto"/>
          <w:sz w:val="24"/>
          <w:szCs w:val="21"/>
          <w:highlight w:val="none"/>
          <w:u w:val="none" w:color="auto"/>
          <w:lang w:val="en-GB"/>
        </w:rPr>
        <w:t>：</w:t>
      </w:r>
      <w:r>
        <w:rPr>
          <w:rFonts w:hint="default" w:ascii="Times New Roman" w:hAnsi="Times New Roman" w:eastAsia="宋体" w:cs="Times New Roman"/>
          <w:color w:val="auto"/>
          <w:sz w:val="24"/>
          <w:szCs w:val="21"/>
          <w:highlight w:val="none"/>
          <w:u w:val="none" w:color="auto"/>
          <w:lang w:val="en-US" w:eastAsia="zh-CN"/>
        </w:rPr>
        <w:t>VOCs、氮氧化物</w:t>
      </w:r>
      <w:r>
        <w:rPr>
          <w:rFonts w:hint="eastAsia" w:ascii="Times New Roman" w:hAnsi="Times New Roman" w:eastAsia="宋体" w:cs="Times New Roman"/>
          <w:color w:val="auto"/>
          <w:sz w:val="24"/>
          <w:szCs w:val="21"/>
          <w:highlight w:val="none"/>
          <w:u w:val="none" w:color="auto"/>
          <w:lang w:val="en-US" w:eastAsia="zh-CN"/>
        </w:rPr>
        <w:t>、COD、</w:t>
      </w:r>
      <w:r>
        <w:rPr>
          <w:rFonts w:hint="default" w:ascii="Times New Roman" w:hAnsi="Times New Roman" w:eastAsia="宋体" w:cs="Times New Roman"/>
          <w:color w:val="auto"/>
          <w:sz w:val="24"/>
          <w:szCs w:val="22"/>
          <w:u w:val="none" w:color="auto"/>
        </w:rPr>
        <w:t>NH</w:t>
      </w:r>
      <w:r>
        <w:rPr>
          <w:rFonts w:hint="default" w:ascii="Times New Roman" w:hAnsi="Times New Roman" w:eastAsia="宋体" w:cs="Times New Roman"/>
          <w:color w:val="auto"/>
          <w:sz w:val="24"/>
          <w:szCs w:val="22"/>
          <w:u w:val="none" w:color="auto"/>
          <w:vertAlign w:val="subscript"/>
        </w:rPr>
        <w:t>3</w:t>
      </w:r>
      <w:r>
        <w:rPr>
          <w:rFonts w:hint="default" w:ascii="Times New Roman" w:hAnsi="Times New Roman" w:eastAsia="宋体" w:cs="Times New Roman"/>
          <w:color w:val="auto"/>
          <w:sz w:val="24"/>
          <w:szCs w:val="22"/>
          <w:u w:val="none" w:color="auto"/>
        </w:rPr>
        <w:t>-N</w:t>
      </w:r>
      <w:r>
        <w:rPr>
          <w:rFonts w:hint="default" w:ascii="Times New Roman" w:hAnsi="Times New Roman" w:eastAsia="宋体" w:cs="Times New Roman"/>
          <w:color w:val="auto"/>
          <w:sz w:val="24"/>
          <w:szCs w:val="21"/>
          <w:highlight w:val="none"/>
          <w:u w:val="none" w:color="auto"/>
          <w:lang w:val="en-US" w:eastAsia="zh-CN"/>
        </w:rPr>
        <w:t>总量指标</w:t>
      </w:r>
      <w:r>
        <w:rPr>
          <w:rFonts w:hint="default" w:ascii="Times New Roman" w:hAnsi="Times New Roman" w:eastAsia="宋体" w:cs="Times New Roman"/>
          <w:color w:val="auto"/>
          <w:sz w:val="24"/>
          <w:szCs w:val="21"/>
          <w:highlight w:val="none"/>
          <w:u w:val="none" w:color="auto"/>
        </w:rPr>
        <w:t>通过排污权交易获得。</w:t>
      </w:r>
    </w:p>
    <w:p w14:paraId="196F471B">
      <w:pPr>
        <w:pageBreakBefore w:val="0"/>
        <w:kinsoku/>
        <w:wordWrap/>
        <w:overflowPunct/>
        <w:topLinePunct w:val="0"/>
        <w:bidi w:val="0"/>
        <w:spacing w:line="360" w:lineRule="auto"/>
        <w:rPr>
          <w:rFonts w:hint="default" w:ascii="Times New Roman" w:hAnsi="Times New Roman" w:eastAsia="宋体" w:cs="Times New Roman"/>
          <w:color w:val="auto"/>
          <w:sz w:val="24"/>
          <w:szCs w:val="24"/>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ABB89C9">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val="en-US" w:eastAsia="zh-CN"/>
        </w:rPr>
      </w:pPr>
      <w:bookmarkStart w:id="46" w:name="_Toc10326"/>
      <w:bookmarkStart w:id="47" w:name="_Toc23014"/>
      <w:bookmarkStart w:id="48" w:name="_Toc71881204"/>
      <w:r>
        <w:rPr>
          <w:rFonts w:hint="default" w:ascii="Times New Roman" w:hAnsi="Times New Roman" w:eastAsia="宋体" w:cs="Times New Roman"/>
          <w:color w:val="auto"/>
          <w:sz w:val="32"/>
          <w:szCs w:val="32"/>
          <w:highlight w:val="none"/>
          <w:u w:val="none" w:color="auto"/>
          <w:lang w:val="en-US" w:eastAsia="zh-CN"/>
        </w:rPr>
        <w:t>5区域环境概况</w:t>
      </w:r>
      <w:bookmarkEnd w:id="46"/>
      <w:bookmarkEnd w:id="47"/>
      <w:bookmarkEnd w:id="48"/>
    </w:p>
    <w:p w14:paraId="67B38D09">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49" w:name="_Toc531626609"/>
      <w:bookmarkStart w:id="50" w:name="_Toc29091_WPSOffice_Level2"/>
      <w:bookmarkStart w:id="51" w:name="_Toc71881205"/>
      <w:bookmarkStart w:id="52" w:name="_Toc515563819"/>
      <w:bookmarkStart w:id="53" w:name="_Toc15679"/>
      <w:bookmarkStart w:id="54" w:name="_Toc531043382"/>
      <w:bookmarkStart w:id="55" w:name="_Toc9383_WPSOffice_Level2"/>
      <w:bookmarkStart w:id="56" w:name="_Toc19627"/>
      <w:r>
        <w:rPr>
          <w:rFonts w:hint="default" w:ascii="Times New Roman" w:hAnsi="Times New Roman" w:eastAsia="宋体" w:cs="Times New Roman"/>
          <w:color w:val="auto"/>
          <w:sz w:val="28"/>
          <w:szCs w:val="28"/>
          <w:highlight w:val="none"/>
          <w:u w:val="none" w:color="auto"/>
          <w:lang w:val="en-US" w:eastAsia="zh-CN"/>
        </w:rPr>
        <w:t>5.1自然环境状况</w:t>
      </w:r>
      <w:bookmarkEnd w:id="49"/>
      <w:bookmarkEnd w:id="50"/>
      <w:bookmarkEnd w:id="51"/>
      <w:bookmarkEnd w:id="52"/>
      <w:bookmarkEnd w:id="53"/>
      <w:bookmarkEnd w:id="54"/>
      <w:bookmarkEnd w:id="55"/>
      <w:bookmarkEnd w:id="56"/>
    </w:p>
    <w:p w14:paraId="2F9F3C09">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5.1.1地理位置</w:t>
      </w:r>
    </w:p>
    <w:p w14:paraId="04C0B9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衡阳市位于湖南省中南部，湘江中游。地处东经110°32′16″～113°16′32″，北纬26°07′05″～27°27′24″，市域南北长150公里，东西宽173公里，总面积15310平方公里。东邻株洲、攸县、安仁；南界永兴、桂阳；西接冷水滩、祁阳、东安、邵阳、邵东；北靠双峰、湘潭。</w:t>
      </w:r>
    </w:p>
    <w:p w14:paraId="16A09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lang w:eastAsia="zh-CN"/>
        </w:rPr>
        <w:t>本项目位于</w:t>
      </w:r>
      <w:r>
        <w:rPr>
          <w:rFonts w:hint="default" w:ascii="Times New Roman" w:hAnsi="Times New Roman" w:eastAsia="宋体" w:cs="Times New Roman"/>
          <w:color w:val="auto"/>
          <w:sz w:val="24"/>
          <w:szCs w:val="21"/>
          <w:highlight w:val="none"/>
          <w:u w:val="none" w:color="auto"/>
        </w:rPr>
        <w:t>湖南省衡阳市石鼓区松木经济开发区内，</w:t>
      </w:r>
      <w:r>
        <w:rPr>
          <w:rFonts w:hint="default" w:ascii="Times New Roman" w:hAnsi="Times New Roman" w:eastAsia="宋体" w:cs="Times New Roman"/>
          <w:color w:val="auto"/>
          <w:sz w:val="24"/>
          <w:szCs w:val="21"/>
          <w:highlight w:val="none"/>
          <w:u w:val="none" w:color="auto"/>
          <w:lang w:eastAsia="zh-CN"/>
        </w:rPr>
        <w:t>项目中心</w:t>
      </w:r>
      <w:r>
        <w:rPr>
          <w:rFonts w:hint="default" w:ascii="Times New Roman" w:hAnsi="Times New Roman" w:eastAsia="宋体" w:cs="Times New Roman"/>
          <w:color w:val="auto"/>
          <w:sz w:val="24"/>
          <w:szCs w:val="21"/>
          <w:highlight w:val="none"/>
          <w:u w:val="none" w:color="auto"/>
        </w:rPr>
        <w:t>地理坐标为东经112°38′4.43″，北纬26°58′2.3</w:t>
      </w:r>
      <w:r>
        <w:rPr>
          <w:rFonts w:hint="default" w:ascii="Times New Roman" w:hAnsi="Times New Roman" w:eastAsia="宋体" w:cs="Times New Roman"/>
          <w:color w:val="auto"/>
          <w:sz w:val="24"/>
          <w:szCs w:val="21"/>
          <w:highlight w:val="none"/>
          <w:u w:val="none" w:color="auto"/>
          <w:lang w:val="en-US" w:eastAsia="zh-CN"/>
        </w:rPr>
        <w:t>3</w:t>
      </w:r>
      <w:r>
        <w:rPr>
          <w:rFonts w:hint="default" w:ascii="Times New Roman" w:hAnsi="Times New Roman" w:eastAsia="宋体" w:cs="Times New Roman"/>
          <w:color w:val="auto"/>
          <w:sz w:val="24"/>
          <w:szCs w:val="21"/>
          <w:highlight w:val="none"/>
          <w:u w:val="none" w:color="auto"/>
        </w:rPr>
        <w:t>″。项目场地北侧紧靠</w:t>
      </w:r>
      <w:r>
        <w:rPr>
          <w:rFonts w:hint="default" w:ascii="Times New Roman" w:hAnsi="Times New Roman" w:eastAsia="宋体" w:cs="Times New Roman"/>
          <w:color w:val="auto"/>
          <w:sz w:val="24"/>
          <w:szCs w:val="21"/>
          <w:highlight w:val="none"/>
          <w:u w:val="none" w:color="auto"/>
          <w:lang w:eastAsia="zh-CN"/>
        </w:rPr>
        <w:t>松枫路</w:t>
      </w:r>
      <w:r>
        <w:rPr>
          <w:rFonts w:hint="default" w:ascii="Times New Roman" w:hAnsi="Times New Roman" w:eastAsia="宋体" w:cs="Times New Roman"/>
          <w:color w:val="auto"/>
          <w:sz w:val="24"/>
          <w:szCs w:val="21"/>
          <w:highlight w:val="none"/>
          <w:u w:val="none" w:color="auto"/>
        </w:rPr>
        <w:t>，</w:t>
      </w:r>
      <w:r>
        <w:rPr>
          <w:rFonts w:hint="default" w:ascii="Times New Roman" w:hAnsi="Times New Roman" w:eastAsia="宋体" w:cs="Times New Roman"/>
          <w:color w:val="auto"/>
          <w:sz w:val="24"/>
          <w:szCs w:val="21"/>
          <w:highlight w:val="none"/>
          <w:u w:val="none" w:color="auto"/>
          <w:lang w:eastAsia="zh-CN"/>
        </w:rPr>
        <w:t>西</w:t>
      </w:r>
      <w:r>
        <w:rPr>
          <w:rFonts w:hint="default" w:ascii="Times New Roman" w:hAnsi="Times New Roman" w:eastAsia="宋体" w:cs="Times New Roman"/>
          <w:color w:val="auto"/>
          <w:sz w:val="24"/>
          <w:szCs w:val="21"/>
          <w:highlight w:val="none"/>
          <w:u w:val="none" w:color="auto"/>
        </w:rPr>
        <w:t>侧与</w:t>
      </w:r>
      <w:r>
        <w:rPr>
          <w:rFonts w:hint="default" w:ascii="Times New Roman" w:hAnsi="Times New Roman" w:eastAsia="宋体" w:cs="Times New Roman"/>
          <w:color w:val="auto"/>
          <w:sz w:val="24"/>
          <w:szCs w:val="21"/>
          <w:highlight w:val="none"/>
          <w:u w:val="none" w:color="auto"/>
          <w:lang w:eastAsia="zh-CN"/>
        </w:rPr>
        <w:t>恒缘新材料</w:t>
      </w:r>
      <w:r>
        <w:rPr>
          <w:rFonts w:hint="default" w:ascii="Times New Roman" w:hAnsi="Times New Roman" w:eastAsia="宋体" w:cs="Times New Roman"/>
          <w:color w:val="auto"/>
          <w:sz w:val="24"/>
          <w:szCs w:val="21"/>
          <w:highlight w:val="none"/>
          <w:u w:val="none" w:color="auto"/>
        </w:rPr>
        <w:t>相邻，东侧紧靠</w:t>
      </w:r>
      <w:r>
        <w:rPr>
          <w:rFonts w:hint="default" w:ascii="Times New Roman" w:hAnsi="Times New Roman" w:eastAsia="宋体" w:cs="Times New Roman"/>
          <w:color w:val="auto"/>
          <w:sz w:val="24"/>
          <w:szCs w:val="21"/>
          <w:highlight w:val="none"/>
          <w:u w:val="none" w:color="auto"/>
          <w:lang w:eastAsia="zh-CN"/>
        </w:rPr>
        <w:t>中民筑友</w:t>
      </w:r>
      <w:r>
        <w:rPr>
          <w:rFonts w:hint="default" w:ascii="Times New Roman" w:hAnsi="Times New Roman" w:eastAsia="宋体" w:cs="Times New Roman"/>
          <w:color w:val="auto"/>
          <w:sz w:val="24"/>
          <w:szCs w:val="21"/>
          <w:highlight w:val="none"/>
          <w:u w:val="none" w:color="auto"/>
        </w:rPr>
        <w:t>，</w:t>
      </w:r>
      <w:r>
        <w:rPr>
          <w:rFonts w:hint="default" w:ascii="Times New Roman" w:hAnsi="Times New Roman" w:eastAsia="宋体" w:cs="Times New Roman"/>
          <w:color w:val="auto"/>
          <w:sz w:val="24"/>
          <w:szCs w:val="21"/>
          <w:highlight w:val="none"/>
          <w:u w:val="none" w:color="auto"/>
          <w:lang w:eastAsia="zh-CN"/>
        </w:rPr>
        <w:t>南</w:t>
      </w:r>
      <w:r>
        <w:rPr>
          <w:rFonts w:hint="default" w:ascii="Times New Roman" w:hAnsi="Times New Roman" w:eastAsia="宋体" w:cs="Times New Roman"/>
          <w:color w:val="auto"/>
          <w:sz w:val="24"/>
          <w:szCs w:val="21"/>
          <w:highlight w:val="none"/>
          <w:u w:val="none" w:color="auto"/>
        </w:rPr>
        <w:t>侧现状为山</w:t>
      </w:r>
      <w:r>
        <w:rPr>
          <w:rFonts w:hint="default" w:ascii="Times New Roman" w:hAnsi="Times New Roman" w:eastAsia="宋体" w:cs="Times New Roman"/>
          <w:color w:val="auto"/>
          <w:sz w:val="24"/>
          <w:szCs w:val="21"/>
          <w:highlight w:val="none"/>
          <w:u w:val="none" w:color="auto"/>
          <w:lang w:eastAsia="zh-CN"/>
        </w:rPr>
        <w:t>丘</w:t>
      </w:r>
      <w:r>
        <w:rPr>
          <w:rFonts w:hint="default" w:ascii="Times New Roman" w:hAnsi="Times New Roman" w:eastAsia="宋体" w:cs="Times New Roman"/>
          <w:color w:val="auto"/>
          <w:sz w:val="24"/>
          <w:szCs w:val="21"/>
          <w:highlight w:val="none"/>
          <w:u w:val="none" w:color="auto"/>
        </w:rPr>
        <w:t>。具体地理位置图见附图 1。</w:t>
      </w:r>
    </w:p>
    <w:p w14:paraId="5166FDD8">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5.1.2地形地貌</w:t>
      </w:r>
    </w:p>
    <w:p w14:paraId="3E6B77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衡阳市处于湖南省凹形面的轴带部分，周围环绕着古老宕层形成的断续环带的岭脊山地，内镶大面积白垩系和下第三系红层的色丘陵台地，构成典型的盆地形势，构造侵蚀低丘地貌，为“红层”低缓丘陵地形。</w:t>
      </w:r>
    </w:p>
    <w:p w14:paraId="078060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lang w:eastAsia="zh-CN"/>
        </w:rPr>
        <w:t>评价区域</w:t>
      </w:r>
      <w:r>
        <w:rPr>
          <w:rFonts w:hint="default" w:ascii="Times New Roman" w:hAnsi="Times New Roman" w:eastAsia="宋体" w:cs="Times New Roman"/>
          <w:color w:val="auto"/>
          <w:sz w:val="24"/>
          <w:szCs w:val="21"/>
          <w:highlight w:val="none"/>
          <w:u w:val="none" w:color="auto"/>
        </w:rPr>
        <w:t>在“衡阳红色盆地”内，属堆积微丘平原地貌类型，地形起伏不大，丘顶平缓，园区选址位置地质条件优良，区内西高东低，西面为丘陵地，高程在80-125m之间，东面为平坦地，高程为51-70m之间，最大高差相差70m左右。区域地层从上至下为第四纪中更新统亚粘土、轻亚粘土、粉细砂及砂卵石，基底第三系霞流市组茶山坳段主要为灰绿色泥岩、泥质粉砂岩、砂岩，含石膏、钙芒硝、石盐等，本区无不良地质现象。衡阳市地震基本烈度小于6度。</w:t>
      </w:r>
    </w:p>
    <w:p w14:paraId="7B64F460">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5.1.3气象特征</w:t>
      </w:r>
    </w:p>
    <w:p w14:paraId="3D62A3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lang w:eastAsia="zh-CN"/>
        </w:rPr>
        <w:t>评价区域</w:t>
      </w:r>
      <w:r>
        <w:rPr>
          <w:rFonts w:hint="default" w:ascii="Times New Roman" w:hAnsi="Times New Roman" w:eastAsia="宋体" w:cs="Times New Roman"/>
          <w:color w:val="auto"/>
          <w:sz w:val="24"/>
          <w:szCs w:val="21"/>
          <w:highlight w:val="none"/>
          <w:u w:val="none" w:color="auto"/>
        </w:rPr>
        <w:t>属亚热带湿润季风气候，寒暑变化明显，四季分明，春多寒潮阴雨，夏多暴雨、高温，秋伏易旱，年平均气压1008.6hpa，年平均气温18℃，年平均降雨量1337.4mm；年平均蒸发量1468.7mm；平均相对湿度78%；年日照时数1663.5h；多年平均风速2.0m/s。</w:t>
      </w:r>
    </w:p>
    <w:p w14:paraId="5D7022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根据衡阳市气象台观测资料统计，衡阳市多年的风向频率，以及各风向平均风速统计结果见表5.1-1、表5.1-2，图5.1-1是相应的风向频率玫瑰图。</w:t>
      </w:r>
    </w:p>
    <w:p w14:paraId="0C4A3C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该地区全年主导风向为NNE，频率为11.25%，其次为NE，频率为11.0%，静风频率为25%。冬季主导风向为NE和NNE，频率分别为15%和14%；夏季主导风向为S和SSE，频率分别为20%和15%。</w:t>
      </w:r>
    </w:p>
    <w:p w14:paraId="2F76B3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（1）年平均气温 17.9℃</w:t>
      </w:r>
    </w:p>
    <w:p w14:paraId="5A0BC5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（2）年平均相对湿度 78%</w:t>
      </w:r>
    </w:p>
    <w:p w14:paraId="2BB5A4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（3）年平均气压 1008.6hPa</w:t>
      </w:r>
    </w:p>
    <w:p w14:paraId="169D90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（4）年平均降水量 1346.2mm</w:t>
      </w:r>
    </w:p>
    <w:p w14:paraId="1210BF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（5）年平均日照时数 1684.0h</w:t>
      </w:r>
    </w:p>
    <w:p w14:paraId="6A4D4C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（6）日最高气压 1016.5hPa</w:t>
      </w:r>
    </w:p>
    <w:p w14:paraId="643841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（7）年平均风速 2.0m/s</w:t>
      </w:r>
    </w:p>
    <w:p w14:paraId="62C081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（8）年主导风向 NNE（频率为 11.25%）</w:t>
      </w:r>
    </w:p>
    <w:p w14:paraId="046399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（9）年静风频率 25.0%</w:t>
      </w:r>
    </w:p>
    <w:p w14:paraId="367A2A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（10）夏季主导风向 S（频率为 20%）和 SSE（频率为 15%）</w:t>
      </w:r>
    </w:p>
    <w:p w14:paraId="6339BA68">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5.1.4水文</w:t>
      </w:r>
    </w:p>
    <w:p w14:paraId="71FCBA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评价区域范围内地表水体较发育，较大的地表水为湘江。湘江是长江中游南岸重要支流，又称湘水。主源海洋河，源出广西临桂县海洋坪的龙门界，于全州附近，汇灌江和罗江，北流入湖南省，经17县市，在湘阴濠河口分为东西两支，至芦林潭又汇合注入洞庭湖。干流全长856千米，流域面积9.46万平方千米，沿途接纳大小支流1300多条，主要支流有潇水、春陵水、耒水、洣水、蒸水、涟水等。评价水域湘江衡阳段位于湘江中下游。</w:t>
      </w:r>
    </w:p>
    <w:p w14:paraId="7C1161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评价区域范围水体湘江为蒸水口至大浦镇师塘村上游6000m江段，长度22.4km，为工业用水区，执行《地表水环境质量标准》中的（GB3838-2002）III类标准；湘江大浦镇师塘村上游6000m至大浦镇师塘村6km江段为渔业用水区，执行《地表水环境质量标准》（GB3838-2002）中的III类标准；大浦镇师塘村至大浦水厂取水口上游1000m的江段长约2km，为饮用水水源保护区，执行《地表水环境质量标准》（GB3838-2002）中的III类标准；大浦水厂取水口上游1000m至下游200m江段长约1.2km，为饮用水源保护区，执行《地表水环境质量标准》（GB3838-2002）中的II类标准。大浦水厂取水口下游200m至湘华化工厂取水口上游1000m江段长约31.8km，为渔业用水区，执行《地表水环境质量标准》（GB3838 -2002）中的III类标准。</w:t>
      </w:r>
    </w:p>
    <w:p w14:paraId="7A7191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根据湘江衡阳水文站资料，纳污水体湘江衡阳段水文特征详见下表。</w:t>
      </w:r>
    </w:p>
    <w:p w14:paraId="0E7D63A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表5.1-1  湘江衡阳段水文特征</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4065"/>
        <w:gridCol w:w="3385"/>
      </w:tblGrid>
      <w:tr w14:paraId="27DFE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3EC8507D">
            <w:pPr>
              <w:spacing w:line="240" w:lineRule="auto"/>
              <w:jc w:val="center"/>
              <w:rPr>
                <w:rFonts w:hint="default" w:ascii="Times New Roman" w:hAnsi="Times New Roman" w:eastAsia="宋体" w:cs="Times New Roman"/>
                <w:b/>
                <w:color w:val="auto"/>
                <w:sz w:val="21"/>
                <w:szCs w:val="21"/>
                <w:highlight w:val="none"/>
                <w:u w:val="none" w:color="auto"/>
                <w:lang w:val="zh-CN"/>
              </w:rPr>
            </w:pPr>
            <w:r>
              <w:rPr>
                <w:rFonts w:hint="default" w:ascii="Times New Roman" w:hAnsi="Times New Roman" w:eastAsia="宋体" w:cs="Times New Roman"/>
                <w:b/>
                <w:color w:val="auto"/>
                <w:sz w:val="21"/>
                <w:szCs w:val="21"/>
                <w:highlight w:val="none"/>
                <w:u w:val="none" w:color="auto"/>
                <w:lang w:val="zh-CN"/>
              </w:rPr>
              <w:t>序号</w:t>
            </w:r>
          </w:p>
        </w:tc>
        <w:tc>
          <w:tcPr>
            <w:tcW w:w="4065" w:type="dxa"/>
          </w:tcPr>
          <w:p w14:paraId="6D60A747">
            <w:pPr>
              <w:spacing w:line="240" w:lineRule="auto"/>
              <w:jc w:val="center"/>
              <w:rPr>
                <w:rFonts w:hint="default" w:ascii="Times New Roman" w:hAnsi="Times New Roman" w:eastAsia="宋体" w:cs="Times New Roman"/>
                <w:b/>
                <w:color w:val="auto"/>
                <w:sz w:val="21"/>
                <w:szCs w:val="21"/>
                <w:highlight w:val="none"/>
                <w:u w:val="none" w:color="auto"/>
                <w:lang w:val="zh-CN"/>
              </w:rPr>
            </w:pPr>
            <w:r>
              <w:rPr>
                <w:rFonts w:hint="default" w:ascii="Times New Roman" w:hAnsi="Times New Roman" w:eastAsia="宋体" w:cs="Times New Roman"/>
                <w:b/>
                <w:color w:val="auto"/>
                <w:sz w:val="21"/>
                <w:szCs w:val="21"/>
                <w:highlight w:val="none"/>
                <w:u w:val="none" w:color="auto"/>
                <w:lang w:val="zh-CN"/>
              </w:rPr>
              <w:t>项目</w:t>
            </w:r>
          </w:p>
        </w:tc>
        <w:tc>
          <w:tcPr>
            <w:tcW w:w="3385" w:type="dxa"/>
          </w:tcPr>
          <w:p w14:paraId="5BE0829A">
            <w:pPr>
              <w:spacing w:line="240" w:lineRule="auto"/>
              <w:jc w:val="center"/>
              <w:rPr>
                <w:rFonts w:hint="default" w:ascii="Times New Roman" w:hAnsi="Times New Roman" w:eastAsia="宋体" w:cs="Times New Roman"/>
                <w:b/>
                <w:color w:val="auto"/>
                <w:sz w:val="21"/>
                <w:szCs w:val="21"/>
                <w:highlight w:val="none"/>
                <w:u w:val="none" w:color="auto"/>
                <w:lang w:val="zh-CN"/>
              </w:rPr>
            </w:pPr>
            <w:r>
              <w:rPr>
                <w:rFonts w:hint="default" w:ascii="Times New Roman" w:hAnsi="Times New Roman" w:eastAsia="宋体" w:cs="Times New Roman"/>
                <w:b/>
                <w:color w:val="auto"/>
                <w:sz w:val="21"/>
                <w:szCs w:val="21"/>
                <w:highlight w:val="none"/>
                <w:u w:val="none" w:color="auto"/>
                <w:lang w:val="zh-CN"/>
              </w:rPr>
              <w:t>具体情况</w:t>
            </w:r>
          </w:p>
        </w:tc>
      </w:tr>
      <w:tr w14:paraId="5D778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15E13972">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1</w:t>
            </w:r>
          </w:p>
        </w:tc>
        <w:tc>
          <w:tcPr>
            <w:tcW w:w="4065" w:type="dxa"/>
          </w:tcPr>
          <w:p w14:paraId="46D54104">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平均流量</w:t>
            </w:r>
          </w:p>
        </w:tc>
        <w:tc>
          <w:tcPr>
            <w:tcW w:w="3385" w:type="dxa"/>
          </w:tcPr>
          <w:p w14:paraId="20EF480E">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1320m³/s</w:t>
            </w:r>
          </w:p>
        </w:tc>
      </w:tr>
      <w:tr w14:paraId="2ABBC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7493E313">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2</w:t>
            </w:r>
          </w:p>
        </w:tc>
        <w:tc>
          <w:tcPr>
            <w:tcW w:w="4065" w:type="dxa"/>
          </w:tcPr>
          <w:p w14:paraId="2FECF6A8">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最大流量</w:t>
            </w:r>
          </w:p>
        </w:tc>
        <w:tc>
          <w:tcPr>
            <w:tcW w:w="3385" w:type="dxa"/>
          </w:tcPr>
          <w:p w14:paraId="74E8768E">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2780m³/s</w:t>
            </w:r>
          </w:p>
        </w:tc>
      </w:tr>
      <w:tr w14:paraId="14401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22EB11D7">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3</w:t>
            </w:r>
          </w:p>
        </w:tc>
        <w:tc>
          <w:tcPr>
            <w:tcW w:w="4065" w:type="dxa"/>
          </w:tcPr>
          <w:p w14:paraId="0A142EEC">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最小流量</w:t>
            </w:r>
          </w:p>
        </w:tc>
        <w:tc>
          <w:tcPr>
            <w:tcW w:w="3385" w:type="dxa"/>
          </w:tcPr>
          <w:p w14:paraId="388E72FA">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150m³/s</w:t>
            </w:r>
          </w:p>
        </w:tc>
      </w:tr>
      <w:tr w14:paraId="241D1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38217AAC">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4</w:t>
            </w:r>
          </w:p>
        </w:tc>
        <w:tc>
          <w:tcPr>
            <w:tcW w:w="4065" w:type="dxa"/>
          </w:tcPr>
          <w:p w14:paraId="72C842BF">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90%枯水期保证流量</w:t>
            </w:r>
          </w:p>
        </w:tc>
        <w:tc>
          <w:tcPr>
            <w:tcW w:w="3385" w:type="dxa"/>
          </w:tcPr>
          <w:p w14:paraId="5F3BC8C1">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489m³/s</w:t>
            </w:r>
          </w:p>
        </w:tc>
      </w:tr>
      <w:tr w14:paraId="25ED7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2463E876">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5</w:t>
            </w:r>
          </w:p>
        </w:tc>
        <w:tc>
          <w:tcPr>
            <w:tcW w:w="4065" w:type="dxa"/>
          </w:tcPr>
          <w:p w14:paraId="1D334ECC">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平均流速</w:t>
            </w:r>
          </w:p>
        </w:tc>
        <w:tc>
          <w:tcPr>
            <w:tcW w:w="3385" w:type="dxa"/>
          </w:tcPr>
          <w:p w14:paraId="6413068C">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0.31m/s</w:t>
            </w:r>
          </w:p>
        </w:tc>
      </w:tr>
      <w:tr w14:paraId="37B6F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67DEADD9">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6</w:t>
            </w:r>
          </w:p>
        </w:tc>
        <w:tc>
          <w:tcPr>
            <w:tcW w:w="4065" w:type="dxa"/>
          </w:tcPr>
          <w:p w14:paraId="479B4821">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平均水位</w:t>
            </w:r>
          </w:p>
        </w:tc>
        <w:tc>
          <w:tcPr>
            <w:tcW w:w="3385" w:type="dxa"/>
          </w:tcPr>
          <w:p w14:paraId="54B30C4D">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51.54m</w:t>
            </w:r>
          </w:p>
        </w:tc>
      </w:tr>
      <w:tr w14:paraId="561FA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33F8E171">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7</w:t>
            </w:r>
          </w:p>
        </w:tc>
        <w:tc>
          <w:tcPr>
            <w:tcW w:w="4065" w:type="dxa"/>
          </w:tcPr>
          <w:p w14:paraId="26D914EF">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最大水深</w:t>
            </w:r>
          </w:p>
        </w:tc>
        <w:tc>
          <w:tcPr>
            <w:tcW w:w="3385" w:type="dxa"/>
          </w:tcPr>
          <w:p w14:paraId="3E84299E">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16.54m</w:t>
            </w:r>
          </w:p>
        </w:tc>
      </w:tr>
      <w:tr w14:paraId="123F3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08E56769">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8</w:t>
            </w:r>
          </w:p>
        </w:tc>
        <w:tc>
          <w:tcPr>
            <w:tcW w:w="4065" w:type="dxa"/>
          </w:tcPr>
          <w:p w14:paraId="72224C6B">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最小水深</w:t>
            </w:r>
          </w:p>
        </w:tc>
        <w:tc>
          <w:tcPr>
            <w:tcW w:w="3385" w:type="dxa"/>
          </w:tcPr>
          <w:p w14:paraId="094A7C17">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5.0m</w:t>
            </w:r>
          </w:p>
        </w:tc>
      </w:tr>
      <w:tr w14:paraId="1DF22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606E67E4">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9</w:t>
            </w:r>
          </w:p>
        </w:tc>
        <w:tc>
          <w:tcPr>
            <w:tcW w:w="4065" w:type="dxa"/>
          </w:tcPr>
          <w:p w14:paraId="639B56A0">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平均水深</w:t>
            </w:r>
          </w:p>
        </w:tc>
        <w:tc>
          <w:tcPr>
            <w:tcW w:w="3385" w:type="dxa"/>
          </w:tcPr>
          <w:p w14:paraId="6A112872">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7.12m</w:t>
            </w:r>
          </w:p>
        </w:tc>
      </w:tr>
      <w:tr w14:paraId="5A28B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593146CA">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10</w:t>
            </w:r>
          </w:p>
        </w:tc>
        <w:tc>
          <w:tcPr>
            <w:tcW w:w="4065" w:type="dxa"/>
          </w:tcPr>
          <w:p w14:paraId="5564F44F">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平均河宽</w:t>
            </w:r>
          </w:p>
        </w:tc>
        <w:tc>
          <w:tcPr>
            <w:tcW w:w="3385" w:type="dxa"/>
          </w:tcPr>
          <w:p w14:paraId="0516F95C">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598m</w:t>
            </w:r>
          </w:p>
        </w:tc>
      </w:tr>
      <w:tr w14:paraId="6C71F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0FF9FF51">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11</w:t>
            </w:r>
          </w:p>
        </w:tc>
        <w:tc>
          <w:tcPr>
            <w:tcW w:w="4065" w:type="dxa"/>
          </w:tcPr>
          <w:p w14:paraId="579BC2EF">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平均水面比降</w:t>
            </w:r>
          </w:p>
        </w:tc>
        <w:tc>
          <w:tcPr>
            <w:tcW w:w="3385" w:type="dxa"/>
          </w:tcPr>
          <w:p w14:paraId="3E882BCB">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0.01(万分之一)</w:t>
            </w:r>
          </w:p>
        </w:tc>
      </w:tr>
      <w:tr w14:paraId="780CB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5138DDDE">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12</w:t>
            </w:r>
          </w:p>
        </w:tc>
        <w:tc>
          <w:tcPr>
            <w:tcW w:w="4065" w:type="dxa"/>
          </w:tcPr>
          <w:p w14:paraId="0D9E0642">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年平均水温</w:t>
            </w:r>
          </w:p>
        </w:tc>
        <w:tc>
          <w:tcPr>
            <w:tcW w:w="3385" w:type="dxa"/>
          </w:tcPr>
          <w:p w14:paraId="30B9D9A1">
            <w:pPr>
              <w:spacing w:line="240" w:lineRule="auto"/>
              <w:jc w:val="center"/>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lang w:val="zh-CN"/>
              </w:rPr>
              <w:t>20.8℃</w:t>
            </w:r>
          </w:p>
        </w:tc>
      </w:tr>
    </w:tbl>
    <w:p w14:paraId="7269AC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项目区域内地下水地下水自上而下可划分为三个含水层，即风化裂隙潜水含水层，易于接受降雨的渗漏补给，径流条件好，常在丘陵谷地形成下降泉出露地表，流量随季节变化，枯水季显著减少或</w:t>
      </w:r>
      <w:r>
        <w:rPr>
          <w:rFonts w:hint="eastAsia" w:ascii="Times New Roman" w:hAnsi="Times New Roman" w:eastAsia="宋体" w:cs="Times New Roman"/>
          <w:color w:val="auto"/>
          <w:sz w:val="24"/>
          <w:szCs w:val="21"/>
          <w:highlight w:val="none"/>
          <w:u w:val="none" w:color="auto"/>
          <w:lang w:eastAsia="zh-CN"/>
        </w:rPr>
        <w:t>干涸</w:t>
      </w:r>
      <w:r>
        <w:rPr>
          <w:rFonts w:hint="default" w:ascii="Times New Roman" w:hAnsi="Times New Roman" w:eastAsia="宋体" w:cs="Times New Roman"/>
          <w:color w:val="auto"/>
          <w:sz w:val="24"/>
          <w:szCs w:val="21"/>
          <w:highlight w:val="none"/>
          <w:u w:val="none" w:color="auto"/>
          <w:lang w:eastAsia="zh-CN"/>
        </w:rPr>
        <w:t>；裂隙承压水带，一般在地表以下 40-120m之间，含水层延伸不稳定，呈透镜状，地下水具承压；盐层上部盐水带，厚度5-20m不等，呈透镜状，溶蚀明显。</w:t>
      </w:r>
    </w:p>
    <w:p w14:paraId="35EB1A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根据《衡阳市黎达化工有限公司技术改造项目环境影响评价报告书》（湖南省博科环境工程有限公司，2020年12月），区域地下水补给主要是大气降水补给，多以径流的形式侧向补给松散岩类孔隙水，其次是上游流入补给，局部是以泉的形式出露地表。地下水排泄方式以下游河流排泄补给地表水体、蒸发为主，以及人工开采等。地下水流向主要受地形影响从地势高的地方流向地势低的地方，总体走势从西向东流入湘江。区域地下水位年内变化与降水量密切相关，动态类型为降水入渗—径流—蒸发—下游排泄型，季节性变化明显。每年10月底进入秋季的影响，降雨开始减少，水位由升转降，出现单独水文年最高水位。11月至次年5月水位明显下降，出现地下水位出现年内最低水位，6月至10月进入雨季，受降水入渗补给的影响，地下水位开始明显回升，出现年内最高水位。年内山谷观测点水位变化平均在2m左右。</w:t>
      </w:r>
    </w:p>
    <w:p w14:paraId="5957AEBB">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5.1.5生态环境</w:t>
      </w:r>
    </w:p>
    <w:p w14:paraId="36C26C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评价区域为丘陵，丘顶平缓，土壤为黄壤和红壤，山丘周围分布有水稻土。</w:t>
      </w:r>
    </w:p>
    <w:p w14:paraId="5FFB3E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 xml:space="preserve">所在地属于中亚热带常绿阔叶林带，原始植被已被破坏，现只存在次生植被和人工植被，以山地灌草丛和农业植被为主，有松、杉、竹等植物。经济林树种以油茶为主，干鲜果树种以桔、李、桃为主，主要种植的粮食作物为水稻，一年两熟。 </w:t>
      </w:r>
    </w:p>
    <w:p w14:paraId="68360B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因园区内人为活动频繁，野生动物失去较适宜的栖息繁衍场所。主要动物是田鼠、青蛙、蛇、山雀等常见物种，未见国家保护的珍稀野生动物。家畜以牛、羊、猪为主，家禽以鸡、鸭、鹅为主。水塘中水生鱼类以青、草、鲤、鲫四大家鱼为主。</w:t>
      </w:r>
    </w:p>
    <w:p w14:paraId="051604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衡阳市境内土壤分为地带性土壤和非地带性土壤。共9个土类，20 个亚类，85个土属，261 个土种，111 个变种，地带性土壤主要有地草甸土、黄棕壤、红壤、非地带性土壤主要有黑色石灰土、红色石灰土、紫色土、水稻土、河潮土。全市以红壤、紫色土、水稻面积较大，分布甚广，利用率最高。土壤的地域分布大体是：红壤呈带状或斑块分布；紫色土多呈网状集中于盆地中部;水稻土呈树枝状展布于海拔200米以下的岗平河谷地带；河潮土呈树枝状分布于开阔地形的沿河两岸；四纪红土壤多呈馒头形星点状覆盖于紫色页岩上。</w:t>
      </w:r>
    </w:p>
    <w:p w14:paraId="5E0D98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项目区土壤为红壤。</w:t>
      </w:r>
    </w:p>
    <w:p w14:paraId="348A7B52">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57" w:name="_Toc90488215"/>
      <w:bookmarkStart w:id="58" w:name="_Toc21306"/>
      <w:r>
        <w:rPr>
          <w:rFonts w:hint="default" w:ascii="Times New Roman" w:hAnsi="Times New Roman" w:eastAsia="宋体" w:cs="Times New Roman"/>
          <w:color w:val="auto"/>
          <w:sz w:val="28"/>
          <w:szCs w:val="28"/>
          <w:highlight w:val="none"/>
          <w:u w:val="none" w:color="auto"/>
          <w:lang w:val="en-US" w:eastAsia="zh-CN"/>
        </w:rPr>
        <w:t>5.2 松木经开区概况</w:t>
      </w:r>
      <w:bookmarkEnd w:id="57"/>
      <w:bookmarkEnd w:id="58"/>
    </w:p>
    <w:p w14:paraId="15BBC2F2">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5.2.1 基本情况</w:t>
      </w:r>
    </w:p>
    <w:p w14:paraId="7399BB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湖南衡阳松木经济开发区是衡阳市人民政府2003年批准成立，2006年4月经湖南省人民政府湘政函[2006]79号文件批复，国家发改委于2006年7月6日以[2006]41号公告的第七批省级开发区。园区位于衡阳市石鼓区、珠晖区内，整体规划控制范围为107国道以东、东外环路以西，内外环线以北，南岳高速公路以南，规划控制面积为54.66平方公里，沿衡阳市北郊湘江两岸布局，湘江自南向北将园区分为东西两片。先后被评定为国家级循环化改造示范试点园区、国家高技术产业基地、湖南省信息化与工业化融合试验区、最具产业影响力产业经开区。</w:t>
      </w:r>
    </w:p>
    <w:p w14:paraId="2A565C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衡阳松木经开区依托衡阳丰富的盐卤资源、有色金属资源和非金属资源，以发展化学工业为主体，大力推进循环经济和清洁生产，重点发展盐卤化工及精细化工产业、有色金属深加工产业、非金属深加工产业，同时积极发展冶炼、医药、造纸、日化、印染、轻纺等相关行业。自2006年开园以来，园区共完成基础设施建设投资3.5亿元。现有110kV三角塘变电站、110kV建滔变电站、220kV松木变电站已投入使用；天然气输气管道已经铺设到园区各主干道；园区内装机容量达10万门，并铺设高速宽带通讯光缆。目前，园区内道路、水、电、通讯、有线电视、网络、天然气、码头等基础设施日臻完善，具备了承接大型企业和大项目入园投资建设的条件。</w:t>
      </w:r>
    </w:p>
    <w:p w14:paraId="511A84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目前已累计引进建滔化工、瑞达电源、恒光化工等工业项目75个，合同引资额过百亿，实际到位资金54.5亿元，入区企业达到58家，已投产的规模以上企业32家。初步形成了盐卤化工及精细化工、新能源、新材料三大产业板块。其中：（1）盐卤化工及精细化工发展优势明显。园区始终着力于产业配套能力的加强，龙头企业、项目对产业的带动作用和产业聚集效应日益显现。依托龙头建滔化工等企业的发展，带动了一批优质企业包括新澧化工、锦轩化工、骏杰化工、建衡实业、广西柳化集团、四川川肼化工的入驻，并继续保持高速增长态势，现已拥有较好的产业基础，可为园区盐化工下游产品的拓展提供了充足的原料保证。（2）新材料、新能源产业成为新的增长点。以园区瑞达电源有限公司、凤凰化工等企业为立足点，积极开展上下游产业链招商引资工作，主动对接实力雄厚、发展前景好的新能源、新材料板块企业。目前已吸引了深圳电科电源、博深实业及央企－中国建材等企业入园建设“新能源高新技术产业园”等园中园。园区内已经初步形成了盐卤化工、盐卤轻工产业链，产业聚集效应初步显现。已入园企业能够为新引进项目提供大量氯、碱、氢、双氧水、盐酸、</w:t>
      </w:r>
      <w:r>
        <w:rPr>
          <w:rFonts w:hint="eastAsia" w:ascii="Times New Roman" w:hAnsi="Times New Roman" w:eastAsia="宋体" w:cs="Times New Roman"/>
          <w:color w:val="auto"/>
          <w:sz w:val="24"/>
          <w:szCs w:val="21"/>
          <w:highlight w:val="none"/>
          <w:u w:val="none" w:color="auto"/>
          <w:lang w:eastAsia="zh-CN"/>
        </w:rPr>
        <w:t>聚氯乙烯</w:t>
      </w:r>
      <w:r>
        <w:rPr>
          <w:rFonts w:hint="default" w:ascii="Times New Roman" w:hAnsi="Times New Roman" w:eastAsia="宋体" w:cs="Times New Roman"/>
          <w:color w:val="auto"/>
          <w:sz w:val="24"/>
          <w:szCs w:val="21"/>
          <w:highlight w:val="none"/>
          <w:u w:val="none" w:color="auto"/>
          <w:lang w:eastAsia="zh-CN"/>
        </w:rPr>
        <w:t>、氯化石蜡、尿素、甲醇、碳酸氢铵、硫酸、硫酸法钛白粉、元明粉、硫酸铝、AC发泡剂、小苏打、季戊四醇、盐、铜、铅、锌和氧化锌等原材料。</w:t>
      </w:r>
    </w:p>
    <w:p w14:paraId="5914F24B">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5.2.2 给排水规划</w:t>
      </w:r>
    </w:p>
    <w:p w14:paraId="59185D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松木水厂位于湘江流域衡阳段下游的衡阳市石鼓区江霞村，首期建设规模为日供水3万吨，首期用地22.65亩，总投资4500万元。该项目采取BOT模式运作，引进新加坡联合工程公司入园投资建设。目前，松木水厂已建成投产，开始向园区企业正常供水，充分保证了入园企业的生产用水需要。</w:t>
      </w:r>
    </w:p>
    <w:p w14:paraId="698998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按照“雨水分区，就近排放，污水分流，集中处理”的原则建设排水系统。采用雨污分流制，雨水就近排入现状排水渠及湘江。污水分两片排放，外环北路以南片的污水接入规划江霞污水处理厂，污水总量4.5万t/d；外环北路以北，排入已建的1万t/d（一阶段）的松木污水处理厂。</w:t>
      </w:r>
    </w:p>
    <w:p w14:paraId="564642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排污口设在水厂的下游，生活污水及工业废水进入污水处理厂，部分生产废水经</w:t>
      </w:r>
      <w:r>
        <w:rPr>
          <w:rFonts w:hint="eastAsia" w:ascii="Times New Roman" w:hAnsi="Times New Roman" w:eastAsia="宋体" w:cs="Times New Roman"/>
          <w:color w:val="auto"/>
          <w:sz w:val="24"/>
          <w:szCs w:val="21"/>
          <w:highlight w:val="none"/>
          <w:u w:val="none" w:color="auto"/>
          <w:lang w:eastAsia="zh-CN"/>
        </w:rPr>
        <w:t>污水处理厂</w:t>
      </w:r>
      <w:r>
        <w:rPr>
          <w:rFonts w:hint="default" w:ascii="Times New Roman" w:hAnsi="Times New Roman" w:eastAsia="宋体" w:cs="Times New Roman"/>
          <w:color w:val="auto"/>
          <w:sz w:val="24"/>
          <w:szCs w:val="21"/>
          <w:highlight w:val="none"/>
          <w:u w:val="none" w:color="auto"/>
          <w:lang w:eastAsia="zh-CN"/>
        </w:rPr>
        <w:t>处理达标后排放，含重金属和有毒物质的污水需进行预处理达标后才可排放至排水管道，此外，鼓励企业进行中水回用。园区污水经处理达标后方可排入湘江，保证该段湘江水质达到《地表水环境质量标准》（GB3838-2002）Ⅲ类标准。</w:t>
      </w:r>
    </w:p>
    <w:p w14:paraId="1A75641E">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5.2.3 基础设施现状</w:t>
      </w:r>
    </w:p>
    <w:p w14:paraId="5703E1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自2006年开园以来，松木经济开发区园区共完成基础设施建设投资3.5亿元。园区内建滔水厂已达到日供水10万吨能力，日供水3万吨的松木水厂已投入使用。松木污水处理厂位于新安村邓家台地段，采用强化A/O工艺处理工艺处理废水，首期工程处理能力为1万m3/d，首期工程已建成并投入试运行；处理后的出水水质能够达到《城镇污水处理厂污染物排放标准》（GB18918-2002）一级B标准；松木污水处理厂可接纳松木经济开发区工业区范围用地内的污水，各主次干道都已敷设污水管道和雨水管道。</w:t>
      </w:r>
    </w:p>
    <w:p w14:paraId="770E0AB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园区现有的建滔 220kV 变电站、三角塘110kV变电站及松木110kV 变电站均已投入使用；在建的天然气调压站及储配站，储气量为30万m3，日供气量可达15万m3/d，天然气输气管道已经铺设到园区各主干道；区内集中供热 蒸汽管廊正在加速建设，可提供1.0MPa 生蒸汽。目前，园区内道路、水、电、通讯、 有线电视、网络、天然气、码头等基础设施日臻完善，具备了承接大型企业和大项目入园投资建设的条件。</w:t>
      </w:r>
    </w:p>
    <w:p w14:paraId="095ACF10">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5.2.4 园区环评情况</w:t>
      </w:r>
    </w:p>
    <w:p w14:paraId="2CBBA47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eastAsia="zh-CN"/>
        </w:rPr>
      </w:pPr>
      <w:r>
        <w:rPr>
          <w:rFonts w:hint="default" w:ascii="Times New Roman" w:hAnsi="Times New Roman" w:eastAsia="宋体" w:cs="Times New Roman"/>
          <w:color w:val="auto"/>
          <w:sz w:val="24"/>
          <w:szCs w:val="21"/>
          <w:highlight w:val="none"/>
          <w:u w:val="none" w:color="auto"/>
          <w:lang w:eastAsia="zh-CN"/>
        </w:rPr>
        <w:t>2009年，湖南省环保厅下发了《关于湖南衡阳松木工业园总体规划环境影响报告书的批复》（湘环评[2009]40号）。环评批复详见附件。2013年，湖南省环保厅下发了《关于湖南衡阳松木经济开发区扩区环境影响报告书的批复》（湘环评[2013]213号）。2021年，湖南生态环境厅下发了《关于湖南衡阳松木经济开发区扩区规划（2020-2030）环境影响报告书审查意见的函》（湘环评函[2021]30号）。</w:t>
      </w:r>
    </w:p>
    <w:p w14:paraId="32D019B3">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single" w:color="auto"/>
          <w:lang w:val="en-US" w:eastAsia="zh-CN"/>
        </w:rPr>
      </w:pPr>
      <w:bookmarkStart w:id="59" w:name="_Toc10217"/>
      <w:bookmarkStart w:id="60" w:name="_Toc90488216"/>
      <w:r>
        <w:rPr>
          <w:rFonts w:hint="default" w:ascii="Times New Roman" w:hAnsi="Times New Roman" w:eastAsia="宋体" w:cs="Times New Roman"/>
          <w:color w:val="auto"/>
          <w:sz w:val="28"/>
          <w:szCs w:val="28"/>
          <w:highlight w:val="none"/>
          <w:u w:val="single" w:color="auto"/>
          <w:lang w:val="en-US" w:eastAsia="zh-CN"/>
        </w:rPr>
        <w:t>5.3 湘江衡阳段四大家鱼国家级水产种质资源保护区</w:t>
      </w:r>
      <w:bookmarkEnd w:id="59"/>
    </w:p>
    <w:p w14:paraId="183D3325">
      <w:pPr>
        <w:spacing w:line="500" w:lineRule="exact"/>
        <w:ind w:firstLine="480" w:firstLineChars="200"/>
        <w:jc w:val="both"/>
        <w:rPr>
          <w:rFonts w:hint="default" w:ascii="Times New Roman" w:hAnsi="Times New Roman" w:eastAsia="宋体" w:cs="Times New Roman"/>
          <w:color w:val="auto"/>
          <w:sz w:val="24"/>
          <w:szCs w:val="21"/>
          <w:highlight w:val="none"/>
          <w:u w:val="single" w:color="auto"/>
          <w:lang w:eastAsia="zh-CN"/>
        </w:rPr>
      </w:pPr>
      <w:r>
        <w:rPr>
          <w:rFonts w:hint="default" w:ascii="Times New Roman" w:hAnsi="Times New Roman" w:eastAsia="宋体" w:cs="Times New Roman"/>
          <w:color w:val="auto"/>
          <w:sz w:val="24"/>
          <w:szCs w:val="21"/>
          <w:highlight w:val="none"/>
          <w:u w:val="single" w:color="auto"/>
          <w:lang w:eastAsia="zh-CN"/>
        </w:rPr>
        <w:t>湘江衡阳段四大家鱼国家级水产种质资源保护区为2010年农业部第1491号公告颁布的第四批国家级水产种质资源保护区，范围包括湘江干流近尾洲至大源渡150km及支流25km江段，支流包括常宁亲仁以下10km的舂陵江江段，衡阳白渔潭以下10km的耒水江段，衡阳呆鹰岭大桥以下5km的蒸水江段，水域总面积4900公顷，其中近尾洲到衡阳呆鹰岭大桥江段干流为核心区，面积3200公顷。保护区地理分布为干流近尾洲（E112°22′161″，N26°33′716″）至大源渡（E112°51′847″，N27°08′876″）；支流包括舂陵水至亲仁（E112°39′864″，N26°29′851″）、耒水至白渔潭（E112°41′997″，N26°52′935″）、蒸水至呆鹰岭大桥（E112°32′351″，N26°54′463″）。</w:t>
      </w:r>
    </w:p>
    <w:p w14:paraId="36B43096">
      <w:pPr>
        <w:spacing w:line="500" w:lineRule="exact"/>
        <w:ind w:firstLine="480" w:firstLineChars="200"/>
        <w:jc w:val="both"/>
        <w:rPr>
          <w:rFonts w:hint="default" w:ascii="Times New Roman" w:hAnsi="Times New Roman" w:eastAsia="宋体" w:cs="Times New Roman"/>
          <w:color w:val="auto"/>
          <w:sz w:val="24"/>
          <w:szCs w:val="21"/>
          <w:highlight w:val="none"/>
          <w:u w:val="single" w:color="auto"/>
          <w:lang w:eastAsia="zh-CN"/>
        </w:rPr>
      </w:pPr>
      <w:r>
        <w:rPr>
          <w:rFonts w:hint="default" w:ascii="Times New Roman" w:hAnsi="Times New Roman" w:eastAsia="宋体" w:cs="Times New Roman"/>
          <w:color w:val="auto"/>
          <w:sz w:val="24"/>
          <w:szCs w:val="21"/>
          <w:highlight w:val="none"/>
          <w:u w:val="single" w:color="auto"/>
          <w:lang w:eastAsia="zh-CN"/>
        </w:rPr>
        <w:t>该保护区主要对象为青鱼、草鲢鳙鳡鳤鯮等江河半洄性类，同时对黄尾鲴、细鳞斜颌鲴、湘华鲮、中华倒刺鲃、白甲鱼、长薄鳅、南方大口鲶、黄颡鱼、大眼鳜、翘嘴鳜、波纹鳜、长身鳜、长春鳊、团头鲂等类进行保护。其中鳤、鯮、湘华鲮、中华倒刺鲃、白甲鱼、长薄鳅、波纹鳜、长身鳜为湖南省重点保护物种，长薄鳅和长身鳜同时还是《中国濒危动红皮书》收录种。</w:t>
      </w:r>
    </w:p>
    <w:p w14:paraId="5EB9E508">
      <w:pPr>
        <w:spacing w:line="500" w:lineRule="exact"/>
        <w:ind w:firstLine="480" w:firstLineChars="200"/>
        <w:jc w:val="both"/>
        <w:rPr>
          <w:rFonts w:hint="default" w:ascii="Times New Roman" w:hAnsi="Times New Roman" w:eastAsia="宋体" w:cs="Times New Roman"/>
          <w:color w:val="auto"/>
          <w:sz w:val="24"/>
          <w:szCs w:val="21"/>
          <w:highlight w:val="none"/>
          <w:u w:val="single" w:color="auto"/>
          <w:lang w:eastAsia="zh-CN"/>
        </w:rPr>
      </w:pPr>
      <w:r>
        <w:rPr>
          <w:rFonts w:hint="default" w:ascii="Times New Roman" w:hAnsi="Times New Roman" w:eastAsia="宋体" w:cs="Times New Roman"/>
          <w:color w:val="auto"/>
          <w:sz w:val="24"/>
          <w:szCs w:val="21"/>
          <w:highlight w:val="none"/>
          <w:u w:val="single" w:color="auto"/>
          <w:lang w:eastAsia="zh-CN"/>
        </w:rPr>
        <w:t>本项目厂址位于衡阳市松木经济开发区，临近湘江段水域为湘江衡阳段四大家鱼国家级水产种质资源保护区的实验区，主要涉及青鱼、草鱼、鲢鯮江河半洄性鱼类，保护区核心区位于项目南边界上游约</w:t>
      </w:r>
      <w:r>
        <w:rPr>
          <w:rFonts w:hint="default" w:ascii="Times New Roman" w:hAnsi="Times New Roman" w:eastAsia="宋体" w:cs="Times New Roman"/>
          <w:color w:val="auto"/>
          <w:sz w:val="24"/>
          <w:szCs w:val="21"/>
          <w:highlight w:val="none"/>
          <w:u w:val="single" w:color="auto"/>
          <w:lang w:val="en-US" w:eastAsia="zh-CN"/>
        </w:rPr>
        <w:t>7</w:t>
      </w:r>
      <w:r>
        <w:rPr>
          <w:rFonts w:hint="default" w:ascii="Times New Roman" w:hAnsi="Times New Roman" w:eastAsia="宋体" w:cs="Times New Roman"/>
          <w:color w:val="auto"/>
          <w:sz w:val="24"/>
          <w:szCs w:val="21"/>
          <w:highlight w:val="none"/>
          <w:u w:val="single" w:color="auto"/>
          <w:lang w:eastAsia="zh-CN"/>
        </w:rPr>
        <w:t>km。</w:t>
      </w:r>
    </w:p>
    <w:p w14:paraId="769DF6A9">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61" w:name="_Toc8699"/>
      <w:r>
        <w:rPr>
          <w:rFonts w:hint="default" w:ascii="Times New Roman" w:hAnsi="Times New Roman" w:eastAsia="宋体" w:cs="Times New Roman"/>
          <w:color w:val="auto"/>
          <w:sz w:val="28"/>
          <w:szCs w:val="28"/>
          <w:highlight w:val="none"/>
          <w:u w:val="none" w:color="auto"/>
          <w:lang w:val="en-US" w:eastAsia="zh-CN"/>
        </w:rPr>
        <w:t>5.4 区域污染源</w:t>
      </w:r>
      <w:bookmarkEnd w:id="60"/>
      <w:bookmarkEnd w:id="61"/>
    </w:p>
    <w:p w14:paraId="6E0D30BA">
      <w:pPr>
        <w:spacing w:line="500" w:lineRule="exact"/>
        <w:ind w:firstLine="480" w:firstLineChars="200"/>
        <w:rPr>
          <w:rFonts w:hint="default" w:ascii="Times New Roman" w:hAnsi="Times New Roman" w:cs="Times New Roman"/>
          <w:color w:val="auto"/>
          <w:highlight w:val="none"/>
          <w:u w:val="none" w:color="auto"/>
        </w:rPr>
        <w:sectPr>
          <w:pgSz w:w="11906" w:h="16838"/>
          <w:pgMar w:top="1701" w:right="1588" w:bottom="1418" w:left="1588" w:header="992" w:footer="992" w:gutter="0"/>
          <w:pgBorders>
            <w:top w:val="none" w:sz="0" w:space="0"/>
            <w:left w:val="none" w:sz="0" w:space="0"/>
            <w:bottom w:val="none" w:sz="0" w:space="0"/>
            <w:right w:val="none" w:sz="0" w:space="0"/>
          </w:pgBorders>
          <w:cols w:space="720" w:num="1"/>
          <w:docGrid w:linePitch="326" w:charSpace="0"/>
        </w:sectPr>
      </w:pPr>
      <w:r>
        <w:rPr>
          <w:rFonts w:hint="default" w:ascii="Times New Roman" w:hAnsi="Times New Roman" w:eastAsia="宋体" w:cs="Times New Roman"/>
          <w:color w:val="auto"/>
          <w:sz w:val="24"/>
          <w:szCs w:val="21"/>
          <w:highlight w:val="none"/>
          <w:u w:val="none" w:color="auto"/>
          <w:lang w:eastAsia="zh-CN"/>
        </w:rPr>
        <w:t>本项目厂址位于衡阳市松木经济开发区，该区域现有工业企业主要有衡阳恒缘新材料科技股份有限公司、</w:t>
      </w:r>
      <w:r>
        <w:rPr>
          <w:rFonts w:hint="default" w:ascii="Times New Roman" w:hAnsi="Times New Roman" w:eastAsia="宋体" w:cs="Times New Roman"/>
          <w:color w:val="auto"/>
          <w:sz w:val="24"/>
          <w:szCs w:val="24"/>
          <w:highlight w:val="none"/>
          <w:u w:val="none" w:color="auto"/>
        </w:rPr>
        <w:t>中民筑友科技集团有限公司</w:t>
      </w:r>
      <w:r>
        <w:rPr>
          <w:rFonts w:hint="default" w:ascii="Times New Roman" w:hAnsi="Times New Roman" w:eastAsia="宋体" w:cs="Times New Roman"/>
          <w:color w:val="auto"/>
          <w:sz w:val="24"/>
          <w:szCs w:val="21"/>
          <w:highlight w:val="none"/>
          <w:u w:val="none" w:color="auto"/>
          <w:lang w:eastAsia="zh-CN"/>
        </w:rPr>
        <w:t>等。具体见下表。</w:t>
      </w:r>
    </w:p>
    <w:p w14:paraId="65B2830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表5.4-1 开发区工业运行企业污染源排放情况一览表</w:t>
      </w:r>
    </w:p>
    <w:tbl>
      <w:tblPr>
        <w:tblStyle w:val="22"/>
        <w:tblW w:w="140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65"/>
        <w:gridCol w:w="1134"/>
        <w:gridCol w:w="1560"/>
        <w:gridCol w:w="1559"/>
        <w:gridCol w:w="8034"/>
      </w:tblGrid>
      <w:tr w14:paraId="45330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7" w:type="dxa"/>
            <w:tcBorders>
              <w:tl2br w:val="nil"/>
              <w:tr2bl w:val="nil"/>
            </w:tcBorders>
            <w:vAlign w:val="center"/>
          </w:tcPr>
          <w:p w14:paraId="3B58908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序号</w:t>
            </w:r>
          </w:p>
        </w:tc>
        <w:tc>
          <w:tcPr>
            <w:tcW w:w="1165" w:type="dxa"/>
            <w:tcBorders>
              <w:tl2br w:val="nil"/>
              <w:tr2bl w:val="nil"/>
            </w:tcBorders>
            <w:vAlign w:val="center"/>
          </w:tcPr>
          <w:p w14:paraId="1B41DF9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企业名称</w:t>
            </w:r>
          </w:p>
        </w:tc>
        <w:tc>
          <w:tcPr>
            <w:tcW w:w="1134" w:type="dxa"/>
            <w:tcBorders>
              <w:tl2br w:val="nil"/>
              <w:tr2bl w:val="nil"/>
            </w:tcBorders>
            <w:vAlign w:val="center"/>
          </w:tcPr>
          <w:p w14:paraId="2BE6CB5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污染源</w:t>
            </w:r>
          </w:p>
        </w:tc>
        <w:tc>
          <w:tcPr>
            <w:tcW w:w="1560" w:type="dxa"/>
            <w:tcBorders>
              <w:tl2br w:val="nil"/>
              <w:tr2bl w:val="nil"/>
            </w:tcBorders>
            <w:vAlign w:val="center"/>
          </w:tcPr>
          <w:p w14:paraId="6E3B142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主要污染因子</w:t>
            </w:r>
          </w:p>
        </w:tc>
        <w:tc>
          <w:tcPr>
            <w:tcW w:w="1559" w:type="dxa"/>
            <w:tcBorders>
              <w:tl2br w:val="nil"/>
              <w:tr2bl w:val="nil"/>
            </w:tcBorders>
            <w:vAlign w:val="center"/>
          </w:tcPr>
          <w:p w14:paraId="79B5383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排放量</w:t>
            </w:r>
          </w:p>
        </w:tc>
        <w:tc>
          <w:tcPr>
            <w:tcW w:w="8034" w:type="dxa"/>
            <w:tcBorders>
              <w:tl2br w:val="nil"/>
              <w:tr2bl w:val="nil"/>
            </w:tcBorders>
            <w:vAlign w:val="center"/>
          </w:tcPr>
          <w:p w14:paraId="16C1810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环保措施（含处理规模）及排放去向情况</w:t>
            </w:r>
          </w:p>
        </w:tc>
      </w:tr>
      <w:tr w14:paraId="0B0C4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BD545F8">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1165" w:type="dxa"/>
            <w:vMerge w:val="restart"/>
            <w:tcBorders>
              <w:tl2br w:val="nil"/>
              <w:tr2bl w:val="nil"/>
            </w:tcBorders>
            <w:vAlign w:val="center"/>
          </w:tcPr>
          <w:p w14:paraId="2EF98FF9">
            <w:pPr>
              <w:keepNext w:val="0"/>
              <w:keepLines w:val="0"/>
              <w:pageBreakBefore w:val="0"/>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衡阳建滔化工有限公司</w:t>
            </w:r>
          </w:p>
        </w:tc>
        <w:tc>
          <w:tcPr>
            <w:tcW w:w="1134" w:type="dxa"/>
            <w:tcBorders>
              <w:tl2br w:val="nil"/>
              <w:tr2bl w:val="nil"/>
            </w:tcBorders>
            <w:vAlign w:val="center"/>
          </w:tcPr>
          <w:p w14:paraId="569EF79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09C7100">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COD、SS、氯离子、石油类等</w:t>
            </w:r>
          </w:p>
        </w:tc>
        <w:tc>
          <w:tcPr>
            <w:tcW w:w="1559" w:type="dxa"/>
            <w:tcBorders>
              <w:tl2br w:val="nil"/>
              <w:tr2bl w:val="nil"/>
            </w:tcBorders>
            <w:vAlign w:val="center"/>
          </w:tcPr>
          <w:p w14:paraId="07A53A8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44.67万m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57C59BA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含盐废水定期用泵送往盐水精制阶段，经中和处理后的酸碱废水、氯水回用于采卤；</w:t>
            </w:r>
          </w:p>
          <w:p w14:paraId="0B8BEC8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封水、地面冲洗水、冷却水、生活污水进厂中水循环水处理站，处理后的废水进入回用水池，大部分废水经处理达标后进行回用或用于采卤，外排废水达到《烧碱、聚氯乙烯工业水污染物排放标准》（GB15581-95）标准后排入松木污水处理厂；</w:t>
            </w:r>
          </w:p>
          <w:p w14:paraId="5362E1C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双氧水污水处理站处理规模为180m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/d，采用“隔油+二级氧化+沉淀+砂滤”工艺，处理后废水进入公司中水循环处理站；</w:t>
            </w:r>
          </w:p>
          <w:p w14:paraId="4880BAF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环氧氯丙烷项目碱洗废水、丙烯压缩冷凝分离废水、环化废水、低沸物塔分离废水、车间地面冲洗废水、设备清洗废水、初期雨水等经废水处理站处理后全部回用与烧碱装置采卤；</w:t>
            </w:r>
          </w:p>
          <w:p w14:paraId="7646492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中水循环处理站处理规模为150m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/h，采用“隔油+中和+沉淀+生化+过滤”工艺</w:t>
            </w:r>
          </w:p>
        </w:tc>
      </w:tr>
      <w:tr w14:paraId="3C9C7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2CE016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65" w:type="dxa"/>
            <w:vMerge w:val="continue"/>
            <w:tcBorders>
              <w:tl2br w:val="nil"/>
              <w:tr2bl w:val="nil"/>
            </w:tcBorders>
            <w:vAlign w:val="center"/>
          </w:tcPr>
          <w:p w14:paraId="4DB35F3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4BDA35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573942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、氯气、氯化氢、粉尘、NO</w:t>
            </w:r>
            <w:r>
              <w:rPr>
                <w:rFonts w:hint="default" w:ascii="Times New Roman" w:hAnsi="Times New Roman" w:eastAsia="宋体" w:cs="Times New Roman"/>
                <w:color w:val="auto"/>
                <w:sz w:val="21"/>
                <w:szCs w:val="21"/>
                <w:highlight w:val="none"/>
                <w:u w:val="none" w:color="auto"/>
                <w:vertAlign w:val="subscript"/>
              </w:rPr>
              <w:t>x</w:t>
            </w:r>
          </w:p>
        </w:tc>
        <w:tc>
          <w:tcPr>
            <w:tcW w:w="1559" w:type="dxa"/>
            <w:tcBorders>
              <w:tl2br w:val="nil"/>
              <w:tr2bl w:val="nil"/>
            </w:tcBorders>
            <w:vAlign w:val="center"/>
          </w:tcPr>
          <w:p w14:paraId="243E286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640BDB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75t/h锅炉烟气采用袋式除尘+电石渣脱硫，35t/h锅炉锅炉烟气采用三电场静电除尘+电石渣脱硫，经处理后的烟气经60m烟囱排放；</w:t>
            </w:r>
          </w:p>
          <w:p w14:paraId="040FE14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淡盐水和氯水进脱氯塔</w:t>
            </w:r>
            <w:r>
              <w:rPr>
                <w:rFonts w:hint="default" w:ascii="Times New Roman" w:hAnsi="Times New Roman" w:eastAsia="宋体" w:cs="Times New Roman"/>
                <w:color w:val="auto"/>
                <w:sz w:val="21"/>
                <w:szCs w:val="21"/>
                <w:highlight w:val="none"/>
                <w:u w:val="none" w:color="auto"/>
                <w:lang w:eastAsia="zh-CN"/>
              </w:rPr>
              <w:t>三效蒸发器</w:t>
            </w:r>
            <w:r>
              <w:rPr>
                <w:rFonts w:hint="default" w:ascii="Times New Roman" w:hAnsi="Times New Roman" w:eastAsia="宋体" w:cs="Times New Roman"/>
                <w:color w:val="auto"/>
                <w:sz w:val="21"/>
                <w:szCs w:val="21"/>
                <w:highlight w:val="none"/>
                <w:u w:val="none" w:color="auto"/>
              </w:rPr>
              <w:t>脱氯，氯气回用，</w:t>
            </w:r>
            <w:r>
              <w:rPr>
                <w:rFonts w:hint="default" w:ascii="Times New Roman" w:hAnsi="Times New Roman" w:eastAsia="宋体" w:cs="Times New Roman"/>
                <w:color w:val="auto"/>
                <w:sz w:val="21"/>
                <w:szCs w:val="21"/>
                <w:highlight w:val="none"/>
                <w:u w:val="none" w:color="auto"/>
                <w:lang w:eastAsia="zh-CN"/>
              </w:rPr>
              <w:t>三效蒸发器</w:t>
            </w:r>
            <w:r>
              <w:rPr>
                <w:rFonts w:hint="default" w:ascii="Times New Roman" w:hAnsi="Times New Roman" w:eastAsia="宋体" w:cs="Times New Roman"/>
                <w:color w:val="auto"/>
                <w:sz w:val="21"/>
                <w:szCs w:val="21"/>
                <w:highlight w:val="none"/>
                <w:u w:val="none" w:color="auto"/>
              </w:rPr>
              <w:t>尾气进入除害塔进行处理，其中除害塔采用氢氧化钠作为吸收剂；</w:t>
            </w:r>
          </w:p>
          <w:p w14:paraId="5019C95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HCl尾气采用碱液喷淋后经25m排气筒排放；</w:t>
            </w:r>
          </w:p>
          <w:p w14:paraId="7C323FA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反应釜和脱气塔废气经蜡油吸收氯后，由二级降膜塔+填料塔吸收氯化氢，尾气采用碱液吸收后经25m排气筒外排；</w:t>
            </w:r>
          </w:p>
          <w:p w14:paraId="374B03B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氧化放空尾气采用冷凝、膨胀机组分离+活性炭吸收后，经25m排气筒排放；</w:t>
            </w:r>
          </w:p>
          <w:p w14:paraId="5F4CC66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氢化塔尾气采用冷凝分离+阻火器处理后经25m排气筒排放；</w:t>
            </w:r>
          </w:p>
          <w:p w14:paraId="390A884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料仓粉尘经袋式除尘后经25m排气筒排放；</w:t>
            </w:r>
          </w:p>
          <w:p w14:paraId="08FEC9F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干燥系统排气经旋风除尘后经25m排气筒外排；</w:t>
            </w:r>
          </w:p>
          <w:p w14:paraId="4FFD2B5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聚合釜及精馏塔排出尾气经变压吸附后经25m排气筒外排；</w:t>
            </w:r>
          </w:p>
          <w:p w14:paraId="78F7797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丙烯回收工序尾气经降膜吸收塔回收、丙烯洗涤塔、碱洗塔后经50m排气筒外排；</w:t>
            </w:r>
          </w:p>
          <w:p w14:paraId="3F49D0D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二氯丙醇合成反应尾气经洗涤塔洗涤后经25m排气筒排放</w:t>
            </w:r>
          </w:p>
        </w:tc>
      </w:tr>
      <w:tr w14:paraId="17F8F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5102BE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65" w:type="dxa"/>
            <w:vMerge w:val="continue"/>
            <w:tcBorders>
              <w:tl2br w:val="nil"/>
              <w:tr2bl w:val="nil"/>
            </w:tcBorders>
            <w:vAlign w:val="center"/>
          </w:tcPr>
          <w:p w14:paraId="54C0FCC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0C98E66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6291C6B">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1E7FC1B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579938.6t/a</w:t>
            </w:r>
          </w:p>
        </w:tc>
        <w:tc>
          <w:tcPr>
            <w:tcW w:w="8034" w:type="dxa"/>
            <w:vMerge w:val="restart"/>
            <w:tcBorders>
              <w:tl2br w:val="nil"/>
              <w:tr2bl w:val="nil"/>
            </w:tcBorders>
            <w:vAlign w:val="center"/>
          </w:tcPr>
          <w:p w14:paraId="4E02C83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一般固废用于回用或外售做水泥原料；</w:t>
            </w:r>
          </w:p>
          <w:p w14:paraId="4B45EEC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危险固废做防渗、防腐处理，储存场所设围堰，委托资质单位进行处理</w:t>
            </w:r>
          </w:p>
        </w:tc>
      </w:tr>
      <w:tr w14:paraId="3FF24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238E01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65" w:type="dxa"/>
            <w:vMerge w:val="continue"/>
            <w:tcBorders>
              <w:tl2br w:val="nil"/>
              <w:tr2bl w:val="nil"/>
            </w:tcBorders>
            <w:vAlign w:val="center"/>
          </w:tcPr>
          <w:p w14:paraId="4832F61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5DC0651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CD2BAB0">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3F70B30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116760.54t/a</w:t>
            </w:r>
          </w:p>
        </w:tc>
        <w:tc>
          <w:tcPr>
            <w:tcW w:w="8034" w:type="dxa"/>
            <w:vMerge w:val="continue"/>
            <w:tcBorders>
              <w:tl2br w:val="nil"/>
              <w:tr2bl w:val="nil"/>
            </w:tcBorders>
            <w:vAlign w:val="center"/>
          </w:tcPr>
          <w:p w14:paraId="04068C0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7BDA1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6A68693">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1165" w:type="dxa"/>
            <w:vMerge w:val="restart"/>
            <w:tcBorders>
              <w:tl2br w:val="nil"/>
              <w:tr2bl w:val="nil"/>
            </w:tcBorders>
            <w:vAlign w:val="center"/>
          </w:tcPr>
          <w:p w14:paraId="6F576AA4">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湖南恒光化工有限公司</w:t>
            </w:r>
          </w:p>
        </w:tc>
        <w:tc>
          <w:tcPr>
            <w:tcW w:w="1134" w:type="dxa"/>
            <w:tcBorders>
              <w:tl2br w:val="nil"/>
              <w:tr2bl w:val="nil"/>
            </w:tcBorders>
            <w:vAlign w:val="center"/>
          </w:tcPr>
          <w:p w14:paraId="5F21535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2A1E844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COD、SS、砷、铅、锌、</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等</w:t>
            </w:r>
          </w:p>
        </w:tc>
        <w:tc>
          <w:tcPr>
            <w:tcW w:w="1559" w:type="dxa"/>
            <w:tcBorders>
              <w:tl2br w:val="nil"/>
              <w:tr2bl w:val="nil"/>
            </w:tcBorders>
            <w:vAlign w:val="center"/>
          </w:tcPr>
          <w:p w14:paraId="50DA8AA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15.8万m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0A24F11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污酸废水采用硫化钠脱砷+石灰铁盐法中和处理工艺，处理后的废水回用；</w:t>
            </w:r>
          </w:p>
          <w:p w14:paraId="21E5D13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冷却水系统排水经厂区雨水管网排放；</w:t>
            </w:r>
          </w:p>
          <w:p w14:paraId="4826A28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酸碱废水、车间地面冲洗废水、初期雨水等进入厂区综合废水处理站处理后经开区污水管网进入松木污水处理厂进行处理，处理达标后排入湘江；</w:t>
            </w:r>
          </w:p>
          <w:p w14:paraId="081792F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生活污水经化粪池预处理后经厂区总排口排入松木污水处理站进行处理；</w:t>
            </w:r>
          </w:p>
          <w:p w14:paraId="4FF0B77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厂区综合废水处理站采用中和+铁盐氧化+沉淀处理工艺</w:t>
            </w:r>
          </w:p>
        </w:tc>
      </w:tr>
      <w:tr w14:paraId="556EF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B0FC9D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90420A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7ED7556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48D915F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p>
        </w:tc>
        <w:tc>
          <w:tcPr>
            <w:tcW w:w="1559" w:type="dxa"/>
            <w:tcBorders>
              <w:tl2br w:val="nil"/>
              <w:tr2bl w:val="nil"/>
            </w:tcBorders>
            <w:vAlign w:val="center"/>
          </w:tcPr>
          <w:p w14:paraId="7B54F76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97400m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3453F62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制酸尾气、双钠系统尾气、开车燃油尾气合并进入尾气吸收塔经1级动力波，再依次进入2、3级碱液喷淋吸收达标后经40m排气筒排放；</w:t>
            </w:r>
          </w:p>
          <w:p w14:paraId="5B5BA44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氨基磺酸干燥尾气经干燥设备自带旋风除尘器除尘后，再经尾气洗涤塔水膜吸收后由16m高排气筒排放</w:t>
            </w:r>
          </w:p>
        </w:tc>
      </w:tr>
      <w:tr w14:paraId="09138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B0577D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8602FC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38CE4FA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FDC1B6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808E85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44035.52t/a</w:t>
            </w:r>
          </w:p>
        </w:tc>
        <w:tc>
          <w:tcPr>
            <w:tcW w:w="8034" w:type="dxa"/>
            <w:vMerge w:val="restart"/>
            <w:tcBorders>
              <w:tl2br w:val="nil"/>
              <w:tr2bl w:val="nil"/>
            </w:tcBorders>
            <w:vAlign w:val="center"/>
          </w:tcPr>
          <w:p w14:paraId="1AD50F6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生活垃圾交由环卫部门送城市垃圾填埋场；</w:t>
            </w:r>
          </w:p>
          <w:p w14:paraId="13921BF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废触媒交由生产厂家回收；</w:t>
            </w:r>
          </w:p>
          <w:p w14:paraId="2D740FC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高硫渣焙烧渣、砷渣、废水处理站污泥等危险固废暂存于危废暂存间内，达到一定数量后委托资质单位进行处理</w:t>
            </w:r>
          </w:p>
        </w:tc>
      </w:tr>
      <w:tr w14:paraId="76A32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BAB699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52F109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6073F05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5345522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27A56BD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6697t/a</w:t>
            </w:r>
          </w:p>
        </w:tc>
        <w:tc>
          <w:tcPr>
            <w:tcW w:w="8034" w:type="dxa"/>
            <w:vMerge w:val="continue"/>
            <w:tcBorders>
              <w:tl2br w:val="nil"/>
              <w:tr2bl w:val="nil"/>
            </w:tcBorders>
            <w:vAlign w:val="center"/>
          </w:tcPr>
          <w:p w14:paraId="6502DA6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46419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6AB87C5">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1165" w:type="dxa"/>
            <w:vMerge w:val="restart"/>
            <w:tcBorders>
              <w:tl2br w:val="nil"/>
              <w:tr2bl w:val="nil"/>
            </w:tcBorders>
            <w:vAlign w:val="center"/>
          </w:tcPr>
          <w:p w14:paraId="5686C88A">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衡阳市骏杰化工有限公司</w:t>
            </w:r>
          </w:p>
        </w:tc>
        <w:tc>
          <w:tcPr>
            <w:tcW w:w="1134" w:type="dxa"/>
            <w:tcBorders>
              <w:tl2br w:val="nil"/>
              <w:tr2bl w:val="nil"/>
            </w:tcBorders>
            <w:vAlign w:val="center"/>
          </w:tcPr>
          <w:p w14:paraId="3E99500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7D5F4117">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COD、SS、氨氮、</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等</w:t>
            </w:r>
          </w:p>
        </w:tc>
        <w:tc>
          <w:tcPr>
            <w:tcW w:w="1559" w:type="dxa"/>
            <w:tcBorders>
              <w:tl2br w:val="nil"/>
              <w:tr2bl w:val="nil"/>
            </w:tcBorders>
            <w:vAlign w:val="center"/>
          </w:tcPr>
          <w:p w14:paraId="6987E94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634385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无生产工艺废水产生，反应釜冷却水经余热利用后循环使用不外排；</w:t>
            </w:r>
          </w:p>
          <w:p w14:paraId="31A79D3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经化粪池预处理后的生活污水与经隔油沉淀处理后的地面冲洗水进入厂区大水池回用</w:t>
            </w:r>
          </w:p>
        </w:tc>
      </w:tr>
      <w:tr w14:paraId="4D2AD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A39D24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C84B68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2C11DE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4EF275C2">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氯气、氯化氢</w:t>
            </w:r>
          </w:p>
        </w:tc>
        <w:tc>
          <w:tcPr>
            <w:tcW w:w="1559" w:type="dxa"/>
            <w:tcBorders>
              <w:tl2br w:val="nil"/>
              <w:tr2bl w:val="nil"/>
            </w:tcBorders>
            <w:vAlign w:val="center"/>
          </w:tcPr>
          <w:p w14:paraId="4F56A3A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00852D2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尾气进行喷淋+降膜+尾气吸收塔三级处理后经25m排气筒排放</w:t>
            </w:r>
          </w:p>
        </w:tc>
      </w:tr>
      <w:tr w14:paraId="26FD8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5B621D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58B406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77DD98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38771C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151D44B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30t/a</w:t>
            </w:r>
          </w:p>
        </w:tc>
        <w:tc>
          <w:tcPr>
            <w:tcW w:w="8034" w:type="dxa"/>
            <w:tcBorders>
              <w:tl2br w:val="nil"/>
              <w:tr2bl w:val="nil"/>
            </w:tcBorders>
            <w:vAlign w:val="center"/>
          </w:tcPr>
          <w:p w14:paraId="6E90AF0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5D3E0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BEB5658">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1165" w:type="dxa"/>
            <w:vMerge w:val="restart"/>
            <w:tcBorders>
              <w:tl2br w:val="nil"/>
              <w:tr2bl w:val="nil"/>
            </w:tcBorders>
            <w:vAlign w:val="center"/>
          </w:tcPr>
          <w:p w14:paraId="10680974">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湖南力泓新材料科技股份有限公司</w:t>
            </w:r>
          </w:p>
        </w:tc>
        <w:tc>
          <w:tcPr>
            <w:tcW w:w="1134" w:type="dxa"/>
            <w:tcBorders>
              <w:tl2br w:val="nil"/>
              <w:tr2bl w:val="nil"/>
            </w:tcBorders>
            <w:vAlign w:val="center"/>
          </w:tcPr>
          <w:p w14:paraId="2659764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73F732A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、Zn、Pb、Cu</w:t>
            </w:r>
          </w:p>
        </w:tc>
        <w:tc>
          <w:tcPr>
            <w:tcW w:w="1559" w:type="dxa"/>
            <w:tcBorders>
              <w:tl2br w:val="nil"/>
              <w:tr2bl w:val="nil"/>
            </w:tcBorders>
            <w:vAlign w:val="center"/>
          </w:tcPr>
          <w:p w14:paraId="02A826C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15900m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5189813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地面冲洗水、压滤机滤布和原料袋洗水经简单沉淀后进入循环水池回用于次氧化锌的浸出工序；</w:t>
            </w:r>
          </w:p>
          <w:p w14:paraId="11C2611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实验室废水直接用作硫酸浸出的补充水、喷淋水循环使用不外排；</w:t>
            </w:r>
          </w:p>
          <w:p w14:paraId="518503F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初期雨水经除铊废水处理站处理后回用于生产；</w:t>
            </w:r>
          </w:p>
          <w:p w14:paraId="4FC363D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除铊废水处理站处理规模为300m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/d，采用氧化反应+沉淀+锰沙过滤+活性炭过滤工艺；</w:t>
            </w:r>
          </w:p>
          <w:p w14:paraId="24CB607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生活污水经厂区化粪池处理后，汇入经开区污水管网，最终进入松木污水处理厂处理达标后外排湘江</w:t>
            </w:r>
          </w:p>
        </w:tc>
      </w:tr>
      <w:tr w14:paraId="23BB6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5A1437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E49036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4FBE37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0F6EB6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p>
        </w:tc>
        <w:tc>
          <w:tcPr>
            <w:tcW w:w="1559" w:type="dxa"/>
            <w:tcBorders>
              <w:tl2br w:val="nil"/>
              <w:tr2bl w:val="nil"/>
            </w:tcBorders>
            <w:vAlign w:val="center"/>
          </w:tcPr>
          <w:p w14:paraId="022BA17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C8039F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硫酸雾经管道收集后送吸收塔用水作吸附剂进行处理，处理后经15m排气筒外排（加高中）；</w:t>
            </w:r>
          </w:p>
          <w:p w14:paraId="7DFC2C1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燃煤转窑烟气采用水膜除尘脱硫处理，处理后经15m排气筒外排（加高中）</w:t>
            </w:r>
          </w:p>
        </w:tc>
      </w:tr>
      <w:tr w14:paraId="48246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36AE0E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071884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74C7C68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2787C5A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0740F1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986t/a</w:t>
            </w:r>
          </w:p>
        </w:tc>
        <w:tc>
          <w:tcPr>
            <w:tcW w:w="8034" w:type="dxa"/>
            <w:vMerge w:val="restart"/>
            <w:tcBorders>
              <w:tl2br w:val="nil"/>
              <w:tr2bl w:val="nil"/>
            </w:tcBorders>
            <w:vAlign w:val="center"/>
          </w:tcPr>
          <w:p w14:paraId="43F017E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燃煤渣、燃煤烟气处理渣外售综合利用；</w:t>
            </w:r>
          </w:p>
          <w:p w14:paraId="6A870B9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44D29EB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铅泥、浸出渣、铜镉渣、污水处理污泥危险固废暂存于厂内，交由资质单位进行处理</w:t>
            </w:r>
          </w:p>
        </w:tc>
      </w:tr>
      <w:tr w14:paraId="0C680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52618F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01BEE9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0ADCF28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609354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3442EBE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6960t/a</w:t>
            </w:r>
          </w:p>
        </w:tc>
        <w:tc>
          <w:tcPr>
            <w:tcW w:w="8034" w:type="dxa"/>
            <w:vMerge w:val="continue"/>
            <w:tcBorders>
              <w:tl2br w:val="nil"/>
              <w:tr2bl w:val="nil"/>
            </w:tcBorders>
            <w:vAlign w:val="center"/>
          </w:tcPr>
          <w:p w14:paraId="0F77C0E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1EF60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9A0F83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1165" w:type="dxa"/>
            <w:vMerge w:val="restart"/>
            <w:tcBorders>
              <w:tl2br w:val="nil"/>
              <w:tr2bl w:val="nil"/>
            </w:tcBorders>
            <w:vAlign w:val="center"/>
          </w:tcPr>
          <w:p w14:paraId="573A7FCB">
            <w:pPr>
              <w:keepNext w:val="0"/>
              <w:keepLines w:val="0"/>
              <w:pageBreakBefore w:val="0"/>
              <w:widowControl/>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衡阳市鑫科思生物科技有限公司</w:t>
            </w:r>
          </w:p>
        </w:tc>
        <w:tc>
          <w:tcPr>
            <w:tcW w:w="1134" w:type="dxa"/>
            <w:tcBorders>
              <w:tl2br w:val="nil"/>
              <w:tr2bl w:val="nil"/>
            </w:tcBorders>
            <w:vAlign w:val="center"/>
          </w:tcPr>
          <w:p w14:paraId="45CCF17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393BD5B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SS、COD、NH</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-N</w:t>
            </w:r>
          </w:p>
        </w:tc>
        <w:tc>
          <w:tcPr>
            <w:tcW w:w="1559" w:type="dxa"/>
            <w:tcBorders>
              <w:tl2br w:val="nil"/>
              <w:tr2bl w:val="nil"/>
            </w:tcBorders>
            <w:vAlign w:val="center"/>
          </w:tcPr>
          <w:p w14:paraId="3759FA5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43710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4A93FF7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生产废水进行沉淀处理后进行回用，不外排；</w:t>
            </w:r>
          </w:p>
          <w:p w14:paraId="14261CF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初期雨水经除铊处理设施处理后回用，不外排；</w:t>
            </w:r>
          </w:p>
          <w:p w14:paraId="4D645FB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生活污水经化粪池处理后，进入经开区污水管网，最终进入松木污水处理厂进行处理</w:t>
            </w:r>
          </w:p>
        </w:tc>
      </w:tr>
      <w:tr w14:paraId="1A7EB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7D8E4C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667EA3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C1F37B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6FCE9B7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硫酸雾、砷化氢、粉尘、SO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p>
        </w:tc>
        <w:tc>
          <w:tcPr>
            <w:tcW w:w="1559" w:type="dxa"/>
            <w:tcBorders>
              <w:tl2br w:val="nil"/>
              <w:tr2bl w:val="nil"/>
            </w:tcBorders>
            <w:vAlign w:val="center"/>
          </w:tcPr>
          <w:p w14:paraId="6A149E9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21A5F12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硫酸雾经过酸雾净化塔吸收后经15m排气筒排放；</w:t>
            </w:r>
          </w:p>
          <w:p w14:paraId="25D05DE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砷化氢经抽风机抽出后经15m排气筒排放；</w:t>
            </w:r>
          </w:p>
          <w:p w14:paraId="29D2E45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回转窑烟气采用重力沉降+布袋除尘+脱硫塔处理后经50m排气筒排放；</w:t>
            </w:r>
          </w:p>
          <w:p w14:paraId="50B7227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热风炉干燥废气采用重力沉降+旋风除尘+碱液吸收塔处理后经25m排气筒排放；</w:t>
            </w:r>
          </w:p>
          <w:p w14:paraId="1D60A6D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包装废气采用旋风分离+布袋除尘处理后经20m排气筒排放</w:t>
            </w:r>
          </w:p>
        </w:tc>
      </w:tr>
      <w:tr w14:paraId="6ECF5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F46F1C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265C97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392060B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7074E2D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09B65E2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35038.1t/a</w:t>
            </w:r>
          </w:p>
        </w:tc>
        <w:tc>
          <w:tcPr>
            <w:tcW w:w="8034" w:type="dxa"/>
            <w:vMerge w:val="restart"/>
            <w:tcBorders>
              <w:tl2br w:val="nil"/>
              <w:tr2bl w:val="nil"/>
            </w:tcBorders>
            <w:vAlign w:val="center"/>
          </w:tcPr>
          <w:p w14:paraId="5E901E0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0DDE0B1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漂洗净化渣、初期雨水污泥送次氧化锌回转窑处理；</w:t>
            </w:r>
          </w:p>
          <w:p w14:paraId="67266DB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 xml:space="preserve">铅泥、锌镉渣等危险固废暂存于临时危险废物仓库，交由资质单位进出处理； </w:t>
            </w:r>
          </w:p>
        </w:tc>
      </w:tr>
      <w:tr w14:paraId="41D89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5CCBBC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6C2757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49F3E60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53DEFACB">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2BB1B9A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4000t/a</w:t>
            </w:r>
          </w:p>
        </w:tc>
        <w:tc>
          <w:tcPr>
            <w:tcW w:w="8034" w:type="dxa"/>
            <w:vMerge w:val="continue"/>
            <w:tcBorders>
              <w:tl2br w:val="nil"/>
              <w:tr2bl w:val="nil"/>
            </w:tcBorders>
            <w:vAlign w:val="center"/>
          </w:tcPr>
          <w:p w14:paraId="3355B44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21A6C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7A74340">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w:t>
            </w:r>
          </w:p>
        </w:tc>
        <w:tc>
          <w:tcPr>
            <w:tcW w:w="1165" w:type="dxa"/>
            <w:vMerge w:val="restart"/>
            <w:tcBorders>
              <w:tl2br w:val="nil"/>
              <w:tr2bl w:val="nil"/>
            </w:tcBorders>
            <w:vAlign w:val="center"/>
          </w:tcPr>
          <w:p w14:paraId="73C876A8">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衡阳屹顺化工有限公司</w:t>
            </w:r>
          </w:p>
        </w:tc>
        <w:tc>
          <w:tcPr>
            <w:tcW w:w="1134" w:type="dxa"/>
            <w:tcBorders>
              <w:tl2br w:val="nil"/>
              <w:tr2bl w:val="nil"/>
            </w:tcBorders>
            <w:vAlign w:val="center"/>
          </w:tcPr>
          <w:p w14:paraId="01121F8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37D9562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、COD</w:t>
            </w:r>
          </w:p>
        </w:tc>
        <w:tc>
          <w:tcPr>
            <w:tcW w:w="1559" w:type="dxa"/>
            <w:tcBorders>
              <w:tl2br w:val="nil"/>
              <w:tr2bl w:val="nil"/>
            </w:tcBorders>
            <w:vAlign w:val="center"/>
          </w:tcPr>
          <w:p w14:paraId="0D7A02F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12000m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22EA4F7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导热油炉除尘废水排入厂区经沉淀处理后循环利用；</w:t>
            </w:r>
          </w:p>
          <w:p w14:paraId="664ACBA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车间清洗水经污水管网流入污水处理站废水池，经臭氧氧化、氢氧化钠中和后送至松木污水处理站处理；</w:t>
            </w:r>
          </w:p>
          <w:p w14:paraId="0B7F9BD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厂区初期雨水流入事故池后泵送至污水处理站废水池，经臭氧氧化、氢氧化钠中和后再经经开区污水管网送松木污水处理站处理；</w:t>
            </w:r>
          </w:p>
          <w:p w14:paraId="7057FF0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生活污水经化粪池处理后进入经开区污水管网，进入松木污水处理厂处理</w:t>
            </w:r>
          </w:p>
        </w:tc>
      </w:tr>
      <w:tr w14:paraId="43E5D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612273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0A5CB6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EC9BB2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24D850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颗粒物、SO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r>
              <w:rPr>
                <w:rFonts w:hint="default" w:ascii="Times New Roman" w:hAnsi="Times New Roman" w:eastAsia="宋体" w:cs="Times New Roman"/>
                <w:color w:val="auto"/>
                <w:sz w:val="21"/>
                <w:szCs w:val="21"/>
                <w:highlight w:val="none"/>
                <w:u w:val="none" w:color="auto"/>
              </w:rPr>
              <w:t>等</w:t>
            </w:r>
          </w:p>
        </w:tc>
        <w:tc>
          <w:tcPr>
            <w:tcW w:w="1559" w:type="dxa"/>
            <w:tcBorders>
              <w:tl2br w:val="nil"/>
              <w:tr2bl w:val="nil"/>
            </w:tcBorders>
            <w:vAlign w:val="center"/>
          </w:tcPr>
          <w:p w14:paraId="3A513E5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B8E229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导热油炉烟气采用麻石水膜除尘器+旋流板除尘器处理后经30m排气筒排放；</w:t>
            </w:r>
          </w:p>
          <w:p w14:paraId="0EA18A3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酸化废气经三级水吸收塔处理后经20m排气筒排放；</w:t>
            </w:r>
          </w:p>
          <w:p w14:paraId="25173A8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硫酸钠回转冷却废气采用碱吸收塔进行吸收处理后经20m排气筒排放；</w:t>
            </w:r>
          </w:p>
          <w:p w14:paraId="1155171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食堂油烟采用油烟净化设施处理后经专用排气筒排放</w:t>
            </w:r>
          </w:p>
        </w:tc>
      </w:tr>
      <w:tr w14:paraId="5A1E9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22DB90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B00F8A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77C2554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18B2313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E006B6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313.86t/a</w:t>
            </w:r>
          </w:p>
        </w:tc>
        <w:tc>
          <w:tcPr>
            <w:tcW w:w="8034" w:type="dxa"/>
            <w:tcBorders>
              <w:tl2br w:val="nil"/>
              <w:tr2bl w:val="nil"/>
            </w:tcBorders>
            <w:vAlign w:val="center"/>
          </w:tcPr>
          <w:p w14:paraId="5C7BA72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生活垃圾厂内收集后交由环卫部门处理；</w:t>
            </w:r>
          </w:p>
          <w:p w14:paraId="40FF311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导热油炉炉渣、除尘渣外售作农肥</w:t>
            </w:r>
          </w:p>
        </w:tc>
      </w:tr>
      <w:tr w14:paraId="62DEF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B88D31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7</w:t>
            </w:r>
          </w:p>
        </w:tc>
        <w:tc>
          <w:tcPr>
            <w:tcW w:w="1165" w:type="dxa"/>
            <w:vMerge w:val="restart"/>
            <w:tcBorders>
              <w:tl2br w:val="nil"/>
              <w:tr2bl w:val="nil"/>
            </w:tcBorders>
            <w:vAlign w:val="center"/>
          </w:tcPr>
          <w:p w14:paraId="31A2F391">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衡阳旭光锌锗科技有限公司</w:t>
            </w:r>
          </w:p>
        </w:tc>
        <w:tc>
          <w:tcPr>
            <w:tcW w:w="1134" w:type="dxa"/>
            <w:tcBorders>
              <w:tl2br w:val="nil"/>
              <w:tr2bl w:val="nil"/>
            </w:tcBorders>
            <w:vAlign w:val="center"/>
          </w:tcPr>
          <w:p w14:paraId="044F263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B62D073">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SS、COD、氨氮、重金属等</w:t>
            </w:r>
          </w:p>
        </w:tc>
        <w:tc>
          <w:tcPr>
            <w:tcW w:w="1559" w:type="dxa"/>
            <w:tcBorders>
              <w:tl2br w:val="nil"/>
              <w:tr2bl w:val="nil"/>
            </w:tcBorders>
            <w:vAlign w:val="center"/>
          </w:tcPr>
          <w:p w14:paraId="32FDB48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2472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509DDAD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企业无生产废水外排；</w:t>
            </w:r>
          </w:p>
          <w:p w14:paraId="23B5C24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碱洗除氟氯废水经加氯化钙除氟，加硫化钠除重金属后送多效蒸发系统回收氯盐，冷却水回用于生产；</w:t>
            </w:r>
          </w:p>
          <w:p w14:paraId="333DB5B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各类废渣冲洗、地面冲洗废水经收集后回用于中性浸出；</w:t>
            </w:r>
          </w:p>
          <w:p w14:paraId="2D05E1B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原料运输车、包装袋冲洗废水、水喷淋除硫酸雾废水、水喷淋除尘废水小部分收集后回用于中性浸出，其余部分循环利用；</w:t>
            </w:r>
          </w:p>
          <w:p w14:paraId="2266337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硫酸锌蒸发废水经收集后回用于置换工序；</w:t>
            </w:r>
          </w:p>
          <w:p w14:paraId="015DFBA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生活污水经厂区化粪池处理后，汇入经开区污水管网，最终入松木污水处理厂处理达标后外排至湘江；</w:t>
            </w:r>
          </w:p>
          <w:p w14:paraId="754403F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初期雨水在初期雨水收集池内收集后，经加石灰沉淀处理后回用于生产；</w:t>
            </w:r>
          </w:p>
        </w:tc>
      </w:tr>
      <w:tr w14:paraId="30941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3B2BC5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641ECE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72528F4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38A1C00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硫酸雾、砷化氢颗粒物、SO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r>
              <w:rPr>
                <w:rFonts w:hint="default" w:ascii="Times New Roman" w:hAnsi="Times New Roman" w:eastAsia="宋体" w:cs="Times New Roman"/>
                <w:color w:val="auto"/>
                <w:sz w:val="21"/>
                <w:szCs w:val="21"/>
                <w:highlight w:val="none"/>
                <w:u w:val="none" w:color="auto"/>
              </w:rPr>
              <w:t>等、</w:t>
            </w:r>
          </w:p>
        </w:tc>
        <w:tc>
          <w:tcPr>
            <w:tcW w:w="1559" w:type="dxa"/>
            <w:tcBorders>
              <w:tl2br w:val="nil"/>
              <w:tr2bl w:val="nil"/>
            </w:tcBorders>
            <w:vAlign w:val="center"/>
          </w:tcPr>
          <w:p w14:paraId="4D1EA4A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7CC7F09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浸出废气经管道收集后送吸收塔用水进行吸收后经20m排气筒外排；</w:t>
            </w:r>
          </w:p>
          <w:p w14:paraId="6621E2C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除杂废气包括硫酸雾即砷化氢废气，其中硫酸雾废气经收集水喷淋塔处理后经20m排气筒外排，砷化氢经排气管收集后采用喷淋处理后经同一排气筒外排；</w:t>
            </w:r>
          </w:p>
          <w:p w14:paraId="3EE72DB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干燥回转窑废气采用水喷淋处理后经20m排气筒外排；</w:t>
            </w:r>
          </w:p>
          <w:p w14:paraId="3F072C4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干燥窑热风干燥尾气经降尘室除尘后经20m排气筒排放；</w:t>
            </w:r>
          </w:p>
          <w:p w14:paraId="258E6E7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包装废气采用布袋除尘器进行除尘处理后经20m排气筒外排；</w:t>
            </w:r>
          </w:p>
          <w:p w14:paraId="6546116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蒸发浓缩废气主要含水蒸气，由15m排气筒排放</w:t>
            </w:r>
          </w:p>
        </w:tc>
      </w:tr>
      <w:tr w14:paraId="0092A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A52D20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8BDC3C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31CB0C0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60F1CF07">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91545C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32.8t/a</w:t>
            </w:r>
          </w:p>
        </w:tc>
        <w:tc>
          <w:tcPr>
            <w:tcW w:w="8034" w:type="dxa"/>
            <w:vMerge w:val="restart"/>
            <w:tcBorders>
              <w:tl2br w:val="nil"/>
              <w:tr2bl w:val="nil"/>
            </w:tcBorders>
            <w:vAlign w:val="center"/>
          </w:tcPr>
          <w:p w14:paraId="5C80C19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生活垃圾由经开区统一收集后送至垃圾填埋场；</w:t>
            </w:r>
          </w:p>
          <w:p w14:paraId="2F3A7C4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废包装袋经清洗后外售；</w:t>
            </w:r>
          </w:p>
          <w:p w14:paraId="56A510F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包装收尘灰和废水处理站污泥经收集后返回中性浸出；</w:t>
            </w:r>
          </w:p>
          <w:p w14:paraId="24EA8B6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铅泥、铁渣、铜镉渣、硫化渣等危险固废送由有资质单位处理</w:t>
            </w:r>
          </w:p>
        </w:tc>
      </w:tr>
      <w:tr w14:paraId="418FB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9CCF16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86C849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21832A9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E8ECC1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546CCFE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7676t/a</w:t>
            </w:r>
          </w:p>
        </w:tc>
        <w:tc>
          <w:tcPr>
            <w:tcW w:w="8034" w:type="dxa"/>
            <w:vMerge w:val="continue"/>
            <w:tcBorders>
              <w:tl2br w:val="nil"/>
              <w:tr2bl w:val="nil"/>
            </w:tcBorders>
            <w:vAlign w:val="center"/>
          </w:tcPr>
          <w:p w14:paraId="21F1AD7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08F69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8CB43EA">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w:t>
            </w:r>
          </w:p>
        </w:tc>
        <w:tc>
          <w:tcPr>
            <w:tcW w:w="1165" w:type="dxa"/>
            <w:vMerge w:val="restart"/>
            <w:tcBorders>
              <w:tl2br w:val="nil"/>
              <w:tr2bl w:val="nil"/>
            </w:tcBorders>
            <w:vAlign w:val="center"/>
          </w:tcPr>
          <w:p w14:paraId="5F3C370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衡阳市鸿志化工有限公司</w:t>
            </w:r>
          </w:p>
        </w:tc>
        <w:tc>
          <w:tcPr>
            <w:tcW w:w="1134" w:type="dxa"/>
            <w:tcBorders>
              <w:tl2br w:val="nil"/>
              <w:tr2bl w:val="nil"/>
            </w:tcBorders>
            <w:vAlign w:val="center"/>
          </w:tcPr>
          <w:p w14:paraId="0B4489A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FFBD01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3FCEACC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4164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6AF3652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地面冲洗水、初期雨水经过污水管道送建滔化工中水循环处理站进行处理；</w:t>
            </w:r>
          </w:p>
          <w:p w14:paraId="55E6B7C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生活污水经化粪池预处理后排入建滔化工中水循环处理站处理</w:t>
            </w:r>
          </w:p>
        </w:tc>
      </w:tr>
      <w:tr w14:paraId="07512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43A9B9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C01A49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F3A5E2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1273A67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粉尘、氯气</w:t>
            </w:r>
          </w:p>
        </w:tc>
        <w:tc>
          <w:tcPr>
            <w:tcW w:w="1559" w:type="dxa"/>
            <w:tcBorders>
              <w:tl2br w:val="nil"/>
              <w:tr2bl w:val="nil"/>
            </w:tcBorders>
            <w:vAlign w:val="center"/>
          </w:tcPr>
          <w:p w14:paraId="36C6C87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746FF1A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回转窑以及次氯酸钠反应罐未参加反应的氯气和粉尘采用二级碱洗塔进行吸收，处理后经25m排气筒进行排放；</w:t>
            </w:r>
          </w:p>
          <w:p w14:paraId="6CE1C89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油烟废气经净化处理后通过专用排气筒排放</w:t>
            </w:r>
          </w:p>
        </w:tc>
      </w:tr>
      <w:tr w14:paraId="46C48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E482E5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89E264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4836C73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F44E2E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3F35AB1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125t/a</w:t>
            </w:r>
          </w:p>
        </w:tc>
        <w:tc>
          <w:tcPr>
            <w:tcW w:w="8034" w:type="dxa"/>
            <w:vMerge w:val="restart"/>
            <w:tcBorders>
              <w:tl2br w:val="nil"/>
              <w:tr2bl w:val="nil"/>
            </w:tcBorders>
            <w:vAlign w:val="center"/>
          </w:tcPr>
          <w:p w14:paraId="4BF99AD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废漂白粉包装袋交由资质单位进行处理；</w:t>
            </w:r>
          </w:p>
          <w:p w14:paraId="179602A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75DA4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321682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F211BA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22F0E98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245FA94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66123A8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2t/a</w:t>
            </w:r>
          </w:p>
        </w:tc>
        <w:tc>
          <w:tcPr>
            <w:tcW w:w="8034" w:type="dxa"/>
            <w:vMerge w:val="continue"/>
            <w:tcBorders>
              <w:tl2br w:val="nil"/>
              <w:tr2bl w:val="nil"/>
            </w:tcBorders>
            <w:vAlign w:val="center"/>
          </w:tcPr>
          <w:p w14:paraId="7F56DE4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429FF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5E78EE2">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9</w:t>
            </w:r>
          </w:p>
        </w:tc>
        <w:tc>
          <w:tcPr>
            <w:tcW w:w="1165" w:type="dxa"/>
            <w:vMerge w:val="restart"/>
            <w:tcBorders>
              <w:tl2br w:val="nil"/>
              <w:tr2bl w:val="nil"/>
            </w:tcBorders>
            <w:vAlign w:val="center"/>
          </w:tcPr>
          <w:p w14:paraId="33F02B4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湖南衡阳新澧化工有限公司</w:t>
            </w:r>
          </w:p>
        </w:tc>
        <w:tc>
          <w:tcPr>
            <w:tcW w:w="1134" w:type="dxa"/>
            <w:tcBorders>
              <w:tl2br w:val="nil"/>
              <w:tr2bl w:val="nil"/>
            </w:tcBorders>
            <w:vAlign w:val="center"/>
          </w:tcPr>
          <w:p w14:paraId="542A540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5A8BEA0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COD、SS、氨氮</w:t>
            </w:r>
          </w:p>
        </w:tc>
        <w:tc>
          <w:tcPr>
            <w:tcW w:w="1559" w:type="dxa"/>
            <w:tcBorders>
              <w:tl2br w:val="nil"/>
              <w:tr2bl w:val="nil"/>
            </w:tcBorders>
            <w:vAlign w:val="center"/>
          </w:tcPr>
          <w:p w14:paraId="5942A25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23000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1E14052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生产废水返回矿井溶硝不外排；</w:t>
            </w:r>
          </w:p>
          <w:p w14:paraId="348C611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生活污水经化粪池预处理达标后经厂区污水排口进入湘江</w:t>
            </w:r>
          </w:p>
        </w:tc>
      </w:tr>
      <w:tr w14:paraId="7C88B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DD2165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51AC58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68CD836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AAF5CA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NOx、粉尘、SO</w:t>
            </w:r>
            <w:r>
              <w:rPr>
                <w:rFonts w:hint="default" w:ascii="Times New Roman" w:hAnsi="Times New Roman" w:eastAsia="宋体" w:cs="Times New Roman"/>
                <w:color w:val="auto"/>
                <w:sz w:val="21"/>
                <w:szCs w:val="21"/>
                <w:highlight w:val="none"/>
                <w:u w:val="none" w:color="auto"/>
                <w:vertAlign w:val="subscript"/>
              </w:rPr>
              <w:t>2</w:t>
            </w:r>
          </w:p>
        </w:tc>
        <w:tc>
          <w:tcPr>
            <w:tcW w:w="1559" w:type="dxa"/>
            <w:tcBorders>
              <w:tl2br w:val="nil"/>
              <w:tr2bl w:val="nil"/>
            </w:tcBorders>
            <w:vAlign w:val="center"/>
          </w:tcPr>
          <w:p w14:paraId="489F671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140600m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7117E7E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燃煤锅炉烟气采用石灰石脱硫+SNCR脱硝+布袋除尘器进行处理，处理后经100m排气筒排放；</w:t>
            </w:r>
          </w:p>
          <w:p w14:paraId="2EA1885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干燥工序产生粉尘采用旋风除尘+水喷淋处理后经30m排气筒排放；</w:t>
            </w:r>
          </w:p>
          <w:p w14:paraId="7D997F5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包装粉尘经布袋收尘后排放</w:t>
            </w:r>
          </w:p>
        </w:tc>
      </w:tr>
      <w:tr w14:paraId="17E9B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C8104A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785397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0DABFC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0F8ED3C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7E467B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29889t/a</w:t>
            </w:r>
          </w:p>
        </w:tc>
        <w:tc>
          <w:tcPr>
            <w:tcW w:w="8034" w:type="dxa"/>
            <w:tcBorders>
              <w:tl2br w:val="nil"/>
              <w:tr2bl w:val="nil"/>
            </w:tcBorders>
            <w:vAlign w:val="center"/>
          </w:tcPr>
          <w:p w14:paraId="1432E8D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0AABC5A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废矿石暂存于排土场，拟外售综合利用；</w:t>
            </w:r>
          </w:p>
          <w:p w14:paraId="25262DD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煤渣外售至水泥厂综合利用；</w:t>
            </w:r>
          </w:p>
          <w:p w14:paraId="587E0F4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干燥及包装粉尘经收集后回溶至原硝水中作原料</w:t>
            </w:r>
          </w:p>
        </w:tc>
      </w:tr>
      <w:tr w14:paraId="39E1A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8CC2BED">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w:t>
            </w:r>
          </w:p>
        </w:tc>
        <w:tc>
          <w:tcPr>
            <w:tcW w:w="1165" w:type="dxa"/>
            <w:vMerge w:val="restart"/>
            <w:tcBorders>
              <w:tl2br w:val="nil"/>
              <w:tr2bl w:val="nil"/>
            </w:tcBorders>
            <w:vAlign w:val="center"/>
          </w:tcPr>
          <w:p w14:paraId="5FC6D77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湖南达利化工有限公司</w:t>
            </w:r>
          </w:p>
        </w:tc>
        <w:tc>
          <w:tcPr>
            <w:tcW w:w="1134" w:type="dxa"/>
            <w:tcBorders>
              <w:tl2br w:val="nil"/>
              <w:tr2bl w:val="nil"/>
            </w:tcBorders>
            <w:vAlign w:val="center"/>
          </w:tcPr>
          <w:p w14:paraId="257EC92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FBE2C3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氯离子、SS、COD、氨氮</w:t>
            </w:r>
          </w:p>
        </w:tc>
        <w:tc>
          <w:tcPr>
            <w:tcW w:w="1559" w:type="dxa"/>
            <w:tcBorders>
              <w:tl2br w:val="nil"/>
              <w:tr2bl w:val="nil"/>
            </w:tcBorders>
            <w:vAlign w:val="center"/>
          </w:tcPr>
          <w:p w14:paraId="2030147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105740m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79E77B4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离心母液、设备清洗水经中和处理后返建滔公司采卤井；</w:t>
            </w:r>
          </w:p>
          <w:p w14:paraId="6B076A2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生活污水经化粪池处理后进入经开区污水管网，最终经松木污水处理厂处理后排放</w:t>
            </w:r>
          </w:p>
        </w:tc>
      </w:tr>
      <w:tr w14:paraId="29B84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F35CC6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A1B650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2B06B35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90C5D80">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w:t>
            </w:r>
          </w:p>
        </w:tc>
        <w:tc>
          <w:tcPr>
            <w:tcW w:w="1559" w:type="dxa"/>
            <w:tcBorders>
              <w:tl2br w:val="nil"/>
              <w:tr2bl w:val="nil"/>
            </w:tcBorders>
            <w:vAlign w:val="center"/>
          </w:tcPr>
          <w:p w14:paraId="09F0666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40000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22EC125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干燥尾气采用水雾除尘经20m排气筒排放</w:t>
            </w:r>
          </w:p>
        </w:tc>
      </w:tr>
      <w:tr w14:paraId="64736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F43D1D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436F41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10C9C1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29AC7F3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46493B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44t/a</w:t>
            </w:r>
          </w:p>
        </w:tc>
        <w:tc>
          <w:tcPr>
            <w:tcW w:w="8034" w:type="dxa"/>
            <w:tcBorders>
              <w:tl2br w:val="nil"/>
              <w:tr2bl w:val="nil"/>
            </w:tcBorders>
            <w:vAlign w:val="center"/>
          </w:tcPr>
          <w:p w14:paraId="29FEF76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25821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E3AECCA">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11</w:t>
            </w:r>
          </w:p>
        </w:tc>
        <w:tc>
          <w:tcPr>
            <w:tcW w:w="1165" w:type="dxa"/>
            <w:vMerge w:val="restart"/>
            <w:tcBorders>
              <w:tl2br w:val="nil"/>
              <w:tr2bl w:val="nil"/>
            </w:tcBorders>
            <w:vAlign w:val="center"/>
          </w:tcPr>
          <w:p w14:paraId="087F68A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衡阳市建衡实业有限公司</w:t>
            </w:r>
          </w:p>
        </w:tc>
        <w:tc>
          <w:tcPr>
            <w:tcW w:w="1134" w:type="dxa"/>
            <w:tcBorders>
              <w:tl2br w:val="nil"/>
              <w:tr2bl w:val="nil"/>
            </w:tcBorders>
            <w:vAlign w:val="center"/>
          </w:tcPr>
          <w:p w14:paraId="4BE8826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79FCB26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COD、SS、氨氮</w:t>
            </w:r>
          </w:p>
        </w:tc>
        <w:tc>
          <w:tcPr>
            <w:tcW w:w="1559" w:type="dxa"/>
            <w:tcBorders>
              <w:tl2br w:val="nil"/>
              <w:tr2bl w:val="nil"/>
            </w:tcBorders>
            <w:vAlign w:val="center"/>
          </w:tcPr>
          <w:p w14:paraId="45552D0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27420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516A612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无生产工艺废水产生，结晶冷却水、清洗废水经收集沉降后循环使用；</w:t>
            </w:r>
          </w:p>
          <w:p w14:paraId="165D666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脱硫除尘废水经沉淀后循环使用；</w:t>
            </w:r>
          </w:p>
          <w:p w14:paraId="2DB60FD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生活污水经化粪池处理后经经开区污水管网进入松木污水处理厂进行处理；</w:t>
            </w:r>
          </w:p>
          <w:p w14:paraId="2CEDAF6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初期雨水经碱液沉降后返回生产系统</w:t>
            </w:r>
          </w:p>
        </w:tc>
      </w:tr>
      <w:tr w14:paraId="6B5C4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A04A6D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0ECC97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F12856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152BF27">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硫酸雾、烟尘、二氧化硫等</w:t>
            </w:r>
          </w:p>
        </w:tc>
        <w:tc>
          <w:tcPr>
            <w:tcW w:w="1559" w:type="dxa"/>
            <w:tcBorders>
              <w:tl2br w:val="nil"/>
              <w:tr2bl w:val="nil"/>
            </w:tcBorders>
            <w:vAlign w:val="center"/>
          </w:tcPr>
          <w:p w14:paraId="0269CA5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3194FAB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硫酸雾采用吸气罩+水冷凝吸收+碱液喷淋后经15m排气筒排放；</w:t>
            </w:r>
          </w:p>
          <w:p w14:paraId="3E9354E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明矾烤炉产生的烟气采用石灰水脱硫除尘后经20m排气筒排放；</w:t>
            </w:r>
          </w:p>
          <w:p w14:paraId="146898B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热风炉烟气经湿法脱硫除尘后经20m排气筒排放；</w:t>
            </w:r>
          </w:p>
          <w:p w14:paraId="09005DB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聚合氯化铝反应产生的盐酸雾采用除尘+冷凝+水洗+碱洗后经20m排气筒排放；</w:t>
            </w:r>
          </w:p>
          <w:p w14:paraId="2583EEE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燃煤锅炉（备用）废气采用多管陶瓷除尘+三级塔串联水膜麻石脱硫除尘+碱液吸收后经45m排气筒排放；</w:t>
            </w:r>
          </w:p>
          <w:p w14:paraId="011E0EC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破碎尾气经旋风除尘+布袋除尘后经25m排气筒排放</w:t>
            </w:r>
          </w:p>
        </w:tc>
      </w:tr>
      <w:tr w14:paraId="2A78D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BED256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9A93B8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63FAFF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6B456CB2">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6FED52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6000t/a</w:t>
            </w:r>
          </w:p>
        </w:tc>
        <w:tc>
          <w:tcPr>
            <w:tcW w:w="8034" w:type="dxa"/>
            <w:tcBorders>
              <w:tl2br w:val="nil"/>
              <w:tr2bl w:val="nil"/>
            </w:tcBorders>
            <w:vAlign w:val="center"/>
          </w:tcPr>
          <w:p w14:paraId="3788859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压滤渣外售做水泥原料，生活垃圾交由环卫部门进行处理</w:t>
            </w:r>
          </w:p>
        </w:tc>
      </w:tr>
      <w:tr w14:paraId="52DE6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00FBD52">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12</w:t>
            </w:r>
          </w:p>
        </w:tc>
        <w:tc>
          <w:tcPr>
            <w:tcW w:w="1165" w:type="dxa"/>
            <w:vMerge w:val="restart"/>
            <w:tcBorders>
              <w:tl2br w:val="nil"/>
              <w:tr2bl w:val="nil"/>
            </w:tcBorders>
            <w:vAlign w:val="center"/>
          </w:tcPr>
          <w:p w14:paraId="1C3C9BD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衡阳市盛亚化工科技有限公司</w:t>
            </w:r>
          </w:p>
        </w:tc>
        <w:tc>
          <w:tcPr>
            <w:tcW w:w="1134" w:type="dxa"/>
            <w:tcBorders>
              <w:tl2br w:val="nil"/>
              <w:tr2bl w:val="nil"/>
            </w:tcBorders>
            <w:vAlign w:val="center"/>
          </w:tcPr>
          <w:p w14:paraId="04F7B62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D0257B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SS、COD、BOD</w:t>
            </w:r>
            <w:r>
              <w:rPr>
                <w:rFonts w:hint="default" w:ascii="Times New Roman" w:hAnsi="Times New Roman" w:eastAsia="宋体" w:cs="Times New Roman"/>
                <w:color w:val="auto"/>
                <w:sz w:val="21"/>
                <w:szCs w:val="21"/>
                <w:highlight w:val="none"/>
                <w:u w:val="none" w:color="auto"/>
                <w:vertAlign w:val="subscript"/>
              </w:rPr>
              <w:t>5</w:t>
            </w:r>
          </w:p>
        </w:tc>
        <w:tc>
          <w:tcPr>
            <w:tcW w:w="1559" w:type="dxa"/>
            <w:tcBorders>
              <w:tl2br w:val="nil"/>
              <w:tr2bl w:val="nil"/>
            </w:tcBorders>
            <w:vAlign w:val="center"/>
          </w:tcPr>
          <w:p w14:paraId="0E808FB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1359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33C91D7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地面清洗废水及初期雨水经厂区三级沉淀池预处理后，排至建滔公司污水管网，进入建滔中水循环水处理站处理；</w:t>
            </w:r>
          </w:p>
          <w:p w14:paraId="483C0F9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生活污水经化粪池预处理后进入经开区污水管网，进入松木污水处理站处理达标后排入湘江</w:t>
            </w:r>
          </w:p>
        </w:tc>
      </w:tr>
      <w:tr w14:paraId="2BE6E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53F037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A506BE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64D8EB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10924E6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氯化氢、氯气</w:t>
            </w:r>
          </w:p>
        </w:tc>
        <w:tc>
          <w:tcPr>
            <w:tcW w:w="1559" w:type="dxa"/>
            <w:tcBorders>
              <w:tl2br w:val="nil"/>
              <w:tr2bl w:val="nil"/>
            </w:tcBorders>
            <w:vAlign w:val="center"/>
          </w:tcPr>
          <w:p w14:paraId="37A4B94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4B877F6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氯化废气采用两级降膜吸收+两级石蜡吸收+两级填料塔吸收+碱洗塔处理后经25m排气筒外排（共4个）；</w:t>
            </w:r>
          </w:p>
          <w:p w14:paraId="6A434E4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食堂油烟采用油烟净化设施处理</w:t>
            </w:r>
          </w:p>
        </w:tc>
      </w:tr>
      <w:tr w14:paraId="3FE5D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E566E9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830288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4E3088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1A4CDF23">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7F4C170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9.95t/a</w:t>
            </w:r>
          </w:p>
        </w:tc>
        <w:tc>
          <w:tcPr>
            <w:tcW w:w="8034" w:type="dxa"/>
            <w:tcBorders>
              <w:tl2br w:val="nil"/>
              <w:tr2bl w:val="nil"/>
            </w:tcBorders>
            <w:vAlign w:val="center"/>
          </w:tcPr>
          <w:p w14:paraId="151CF2A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生活垃圾及含油抹布交由环卫部门进行处理；</w:t>
            </w:r>
          </w:p>
        </w:tc>
      </w:tr>
      <w:tr w14:paraId="1048B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E2A2482">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13</w:t>
            </w:r>
          </w:p>
        </w:tc>
        <w:tc>
          <w:tcPr>
            <w:tcW w:w="1165" w:type="dxa"/>
            <w:vMerge w:val="restart"/>
            <w:tcBorders>
              <w:tl2br w:val="nil"/>
              <w:tr2bl w:val="nil"/>
            </w:tcBorders>
            <w:vAlign w:val="center"/>
          </w:tcPr>
          <w:p w14:paraId="08D9FEA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衡阳德邦新金生物科技有限公司</w:t>
            </w:r>
          </w:p>
        </w:tc>
        <w:tc>
          <w:tcPr>
            <w:tcW w:w="1134" w:type="dxa"/>
            <w:tcBorders>
              <w:tl2br w:val="nil"/>
              <w:tr2bl w:val="nil"/>
            </w:tcBorders>
            <w:vAlign w:val="center"/>
          </w:tcPr>
          <w:p w14:paraId="0234EAF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CFF77E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44C175D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1530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33B7CD4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生产工艺废水循环使用不外排；</w:t>
            </w:r>
          </w:p>
          <w:p w14:paraId="66059FA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初期雨水经收集后进入新金公司初期雨水收集池；</w:t>
            </w:r>
          </w:p>
          <w:p w14:paraId="199899A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生活污水经化粪池预处理后进入经开区污水管网，最终经松木污水处理厂处理后排至湘江</w:t>
            </w:r>
          </w:p>
        </w:tc>
      </w:tr>
      <w:tr w14:paraId="233A1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4E347B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9ED619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6873446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6379B9C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粉尘、颗粒物、SO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p>
        </w:tc>
        <w:tc>
          <w:tcPr>
            <w:tcW w:w="1559" w:type="dxa"/>
            <w:tcBorders>
              <w:tl2br w:val="nil"/>
              <w:tr2bl w:val="nil"/>
            </w:tcBorders>
            <w:vAlign w:val="center"/>
          </w:tcPr>
          <w:p w14:paraId="3948191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774E40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晶体生产线粉尘采用布袋除尘处理后经15m排气筒排放；</w:t>
            </w:r>
          </w:p>
          <w:p w14:paraId="640B209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非晶体生产线采用布袋除尘处理后经15m排气筒排放；</w:t>
            </w:r>
          </w:p>
          <w:p w14:paraId="511C708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锅炉烟气采用布袋除尘处理后经35m排气筒排放</w:t>
            </w:r>
          </w:p>
        </w:tc>
      </w:tr>
      <w:tr w14:paraId="7C176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32352F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4F215B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4679123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1BFC5F6B">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965696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327.674t/a</w:t>
            </w:r>
          </w:p>
        </w:tc>
        <w:tc>
          <w:tcPr>
            <w:tcW w:w="8034" w:type="dxa"/>
            <w:vMerge w:val="restart"/>
            <w:tcBorders>
              <w:tl2br w:val="nil"/>
              <w:tr2bl w:val="nil"/>
            </w:tcBorders>
            <w:vAlign w:val="center"/>
          </w:tcPr>
          <w:p w14:paraId="187AC00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234D12E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其它一般固废外售；</w:t>
            </w:r>
          </w:p>
          <w:p w14:paraId="734CC4B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铬、锰化合物包装袋等危险固废由生产厂家进行回收</w:t>
            </w:r>
          </w:p>
        </w:tc>
      </w:tr>
      <w:tr w14:paraId="0328D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59627C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A7DB2F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375EDBC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D79EB22">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423DCAE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0.4t/a</w:t>
            </w:r>
          </w:p>
        </w:tc>
        <w:tc>
          <w:tcPr>
            <w:tcW w:w="8034" w:type="dxa"/>
            <w:vMerge w:val="continue"/>
            <w:tcBorders>
              <w:tl2br w:val="nil"/>
              <w:tr2bl w:val="nil"/>
            </w:tcBorders>
            <w:vAlign w:val="center"/>
          </w:tcPr>
          <w:p w14:paraId="62C3632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3F817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2FDAD02">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14</w:t>
            </w:r>
          </w:p>
        </w:tc>
        <w:tc>
          <w:tcPr>
            <w:tcW w:w="1165" w:type="dxa"/>
            <w:vMerge w:val="restart"/>
            <w:tcBorders>
              <w:tl2br w:val="nil"/>
              <w:tr2bl w:val="nil"/>
            </w:tcBorders>
            <w:vAlign w:val="center"/>
          </w:tcPr>
          <w:p w14:paraId="1A40504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衡阳市康仕达化工实业有限公司</w:t>
            </w:r>
          </w:p>
        </w:tc>
        <w:tc>
          <w:tcPr>
            <w:tcW w:w="1134" w:type="dxa"/>
            <w:tcBorders>
              <w:tl2br w:val="nil"/>
              <w:tr2bl w:val="nil"/>
            </w:tcBorders>
            <w:vAlign w:val="center"/>
          </w:tcPr>
          <w:p w14:paraId="79C4D95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408259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6EAC8F8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7040A81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洗罐废水回用于生产工艺；</w:t>
            </w:r>
          </w:p>
          <w:p w14:paraId="5F7C49F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实验室废水委托资质单位进行处理，不外排；</w:t>
            </w:r>
          </w:p>
          <w:p w14:paraId="7C335A8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生活污水经化粪池预处理后经经开区污水管网进入松木污水处理厂进行处理</w:t>
            </w:r>
          </w:p>
        </w:tc>
      </w:tr>
      <w:tr w14:paraId="0BBD0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9CD402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E05067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5CC9EE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7BFC08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TVOC</w:t>
            </w:r>
          </w:p>
        </w:tc>
        <w:tc>
          <w:tcPr>
            <w:tcW w:w="1559" w:type="dxa"/>
            <w:tcBorders>
              <w:tl2br w:val="nil"/>
              <w:tr2bl w:val="nil"/>
            </w:tcBorders>
            <w:vAlign w:val="center"/>
          </w:tcPr>
          <w:p w14:paraId="6F198CE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7ACC44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209A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A26BD0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27B1D0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94B08E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36BBF23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53186F7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2.1t/a</w:t>
            </w:r>
          </w:p>
        </w:tc>
        <w:tc>
          <w:tcPr>
            <w:tcW w:w="8034" w:type="dxa"/>
            <w:tcBorders>
              <w:tl2br w:val="nil"/>
              <w:tr2bl w:val="nil"/>
            </w:tcBorders>
            <w:vAlign w:val="center"/>
          </w:tcPr>
          <w:p w14:paraId="38C4AD1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5FC71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0F8C92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15</w:t>
            </w:r>
          </w:p>
        </w:tc>
        <w:tc>
          <w:tcPr>
            <w:tcW w:w="1165" w:type="dxa"/>
            <w:vMerge w:val="restart"/>
            <w:tcBorders>
              <w:tl2br w:val="nil"/>
              <w:tr2bl w:val="nil"/>
            </w:tcBorders>
            <w:vAlign w:val="center"/>
          </w:tcPr>
          <w:p w14:paraId="1047AFD3">
            <w:pPr>
              <w:keepNext w:val="0"/>
              <w:keepLines w:val="0"/>
              <w:pageBreakBefore w:val="0"/>
              <w:widowControl/>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衡阳大为建材实业有限公司</w:t>
            </w:r>
          </w:p>
        </w:tc>
        <w:tc>
          <w:tcPr>
            <w:tcW w:w="1134" w:type="dxa"/>
            <w:tcBorders>
              <w:tl2br w:val="nil"/>
              <w:tr2bl w:val="nil"/>
            </w:tcBorders>
            <w:vAlign w:val="center"/>
          </w:tcPr>
          <w:p w14:paraId="4EAE31C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FEC451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w:t>
            </w:r>
          </w:p>
        </w:tc>
        <w:tc>
          <w:tcPr>
            <w:tcW w:w="1559" w:type="dxa"/>
            <w:tcBorders>
              <w:tl2br w:val="nil"/>
              <w:tr2bl w:val="nil"/>
            </w:tcBorders>
            <w:vAlign w:val="center"/>
          </w:tcPr>
          <w:p w14:paraId="05376FE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271505m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037042E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清洗废水、地面冲洗水经厂区二级沉淀后回用，不外排；</w:t>
            </w:r>
          </w:p>
          <w:p w14:paraId="361B9EB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生活污水经化粪池预处理后进入经开区污水管网进入松木</w:t>
            </w:r>
            <w:r>
              <w:rPr>
                <w:rFonts w:hint="eastAsia" w:ascii="Times New Roman" w:hAnsi="Times New Roman" w:eastAsia="宋体" w:cs="Times New Roman"/>
                <w:color w:val="auto"/>
                <w:sz w:val="21"/>
                <w:szCs w:val="21"/>
                <w:highlight w:val="none"/>
                <w:u w:val="none" w:color="auto"/>
                <w:lang w:eastAsia="zh-CN"/>
              </w:rPr>
              <w:t>污水处理厂</w:t>
            </w:r>
            <w:r>
              <w:rPr>
                <w:rFonts w:hint="default" w:ascii="Times New Roman" w:hAnsi="Times New Roman" w:eastAsia="宋体" w:cs="Times New Roman"/>
                <w:color w:val="auto"/>
                <w:sz w:val="21"/>
                <w:szCs w:val="21"/>
                <w:highlight w:val="none"/>
                <w:u w:val="none" w:color="auto"/>
              </w:rPr>
              <w:t>进行处理</w:t>
            </w:r>
          </w:p>
        </w:tc>
      </w:tr>
      <w:tr w14:paraId="0C6EB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BC4B87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412250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A6C2B7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6A45D07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w:t>
            </w:r>
          </w:p>
        </w:tc>
        <w:tc>
          <w:tcPr>
            <w:tcW w:w="1559" w:type="dxa"/>
            <w:tcBorders>
              <w:tl2br w:val="nil"/>
              <w:tr2bl w:val="nil"/>
            </w:tcBorders>
            <w:vAlign w:val="center"/>
          </w:tcPr>
          <w:p w14:paraId="38D893A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5E0EC7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筒仓顶部自带滤芯除尘器进行除尘，筒仓底部采用负压吸风收尘装置，与顶部呼吸孔共用一台除尘器</w:t>
            </w:r>
          </w:p>
        </w:tc>
      </w:tr>
      <w:tr w14:paraId="163AD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8A5082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A11D83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B5118D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951053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32C56A2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2289t/a</w:t>
            </w:r>
          </w:p>
        </w:tc>
        <w:tc>
          <w:tcPr>
            <w:tcW w:w="8034" w:type="dxa"/>
            <w:tcBorders>
              <w:tl2br w:val="nil"/>
              <w:tr2bl w:val="nil"/>
            </w:tcBorders>
            <w:vAlign w:val="center"/>
          </w:tcPr>
          <w:p w14:paraId="1F8761B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沉渣、水泥渣等回用于生产，生活垃圾与废弃滤芯交由环卫部门进行处理</w:t>
            </w:r>
          </w:p>
        </w:tc>
      </w:tr>
      <w:tr w14:paraId="24552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F482721">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16</w:t>
            </w:r>
          </w:p>
        </w:tc>
        <w:tc>
          <w:tcPr>
            <w:tcW w:w="1165" w:type="dxa"/>
            <w:vMerge w:val="restart"/>
            <w:tcBorders>
              <w:tl2br w:val="nil"/>
              <w:tr2bl w:val="nil"/>
            </w:tcBorders>
            <w:vAlign w:val="center"/>
          </w:tcPr>
          <w:p w14:paraId="503F38A6">
            <w:pPr>
              <w:keepNext w:val="0"/>
              <w:keepLines w:val="0"/>
              <w:pageBreakBefore w:val="0"/>
              <w:widowControl/>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湖南大好新型墙体材料有限公司</w:t>
            </w:r>
          </w:p>
        </w:tc>
        <w:tc>
          <w:tcPr>
            <w:tcW w:w="1134" w:type="dxa"/>
            <w:tcBorders>
              <w:tl2br w:val="nil"/>
              <w:tr2bl w:val="nil"/>
            </w:tcBorders>
            <w:vAlign w:val="center"/>
          </w:tcPr>
          <w:p w14:paraId="4CB71C7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4DB7FB0">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COD、氨氮、动植物油</w:t>
            </w:r>
          </w:p>
        </w:tc>
        <w:tc>
          <w:tcPr>
            <w:tcW w:w="1559" w:type="dxa"/>
            <w:tcBorders>
              <w:tl2br w:val="nil"/>
              <w:tr2bl w:val="nil"/>
            </w:tcBorders>
            <w:vAlign w:val="center"/>
          </w:tcPr>
          <w:p w14:paraId="6AC33D1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7271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26349A7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生产工艺废水循环使用不外排，锅炉脱硫除尘废水经沉淀处理后循环使用，不外排；</w:t>
            </w:r>
          </w:p>
          <w:p w14:paraId="296C19A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生活污水经化粪池预处理后经污水排放口进入经开区污水管道，最终经松木污水处理站处理后排放至湘江</w:t>
            </w:r>
          </w:p>
        </w:tc>
      </w:tr>
      <w:tr w14:paraId="6AC40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BE65C0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AC388E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0CC93E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5312995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p>
        </w:tc>
        <w:tc>
          <w:tcPr>
            <w:tcW w:w="1559" w:type="dxa"/>
            <w:tcBorders>
              <w:tl2br w:val="nil"/>
              <w:tr2bl w:val="nil"/>
            </w:tcBorders>
            <w:vAlign w:val="center"/>
          </w:tcPr>
          <w:p w14:paraId="6438A4C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0A1B57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破碎、球磨过程中产生的粉尘采用布袋除尘器进行处理，经15m排气筒排放；</w:t>
            </w:r>
          </w:p>
          <w:p w14:paraId="6DA8E30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锅炉烟气采用麻石水膜脱硫除尘处理后经35m排气筒外排；</w:t>
            </w:r>
          </w:p>
          <w:p w14:paraId="21DFB16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食堂油烟采用油烟净化设施处理后经专用排气筒排放</w:t>
            </w:r>
          </w:p>
        </w:tc>
      </w:tr>
      <w:tr w14:paraId="50BA8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F8B8A7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1DB43E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69A5845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0D43C9F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786DF4B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1125.97t/a</w:t>
            </w:r>
          </w:p>
        </w:tc>
        <w:tc>
          <w:tcPr>
            <w:tcW w:w="8034" w:type="dxa"/>
            <w:vMerge w:val="restart"/>
            <w:tcBorders>
              <w:tl2br w:val="nil"/>
              <w:tr2bl w:val="nil"/>
            </w:tcBorders>
            <w:vAlign w:val="center"/>
          </w:tcPr>
          <w:p w14:paraId="160FACC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布袋收集的粉尘、边角料、锅炉炉渣回用于原材料制备工序；</w:t>
            </w:r>
          </w:p>
          <w:p w14:paraId="0245372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4571205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危险固废废油桶交由厂家回收利用</w:t>
            </w:r>
          </w:p>
        </w:tc>
      </w:tr>
      <w:tr w14:paraId="75346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98ACA5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98952E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2DB616F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3049070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14DC681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0.2t/a</w:t>
            </w:r>
          </w:p>
        </w:tc>
        <w:tc>
          <w:tcPr>
            <w:tcW w:w="8034" w:type="dxa"/>
            <w:vMerge w:val="continue"/>
            <w:tcBorders>
              <w:tl2br w:val="nil"/>
              <w:tr2bl w:val="nil"/>
            </w:tcBorders>
            <w:vAlign w:val="center"/>
          </w:tcPr>
          <w:p w14:paraId="78A1758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06890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F4DE6D1">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17</w:t>
            </w:r>
          </w:p>
        </w:tc>
        <w:tc>
          <w:tcPr>
            <w:tcW w:w="1165" w:type="dxa"/>
            <w:vMerge w:val="restart"/>
            <w:tcBorders>
              <w:tl2br w:val="nil"/>
              <w:tr2bl w:val="nil"/>
            </w:tcBorders>
            <w:vAlign w:val="center"/>
          </w:tcPr>
          <w:p w14:paraId="0C49862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湖南金山水泥有限公司</w:t>
            </w:r>
          </w:p>
        </w:tc>
        <w:tc>
          <w:tcPr>
            <w:tcW w:w="1134" w:type="dxa"/>
            <w:tcBorders>
              <w:tl2br w:val="nil"/>
              <w:tr2bl w:val="nil"/>
            </w:tcBorders>
            <w:vAlign w:val="center"/>
          </w:tcPr>
          <w:p w14:paraId="5952F71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DACEAE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COD、氨氮、动植物油</w:t>
            </w:r>
          </w:p>
        </w:tc>
        <w:tc>
          <w:tcPr>
            <w:tcW w:w="1559" w:type="dxa"/>
            <w:tcBorders>
              <w:tl2br w:val="nil"/>
              <w:tr2bl w:val="nil"/>
            </w:tcBorders>
            <w:vAlign w:val="center"/>
          </w:tcPr>
          <w:p w14:paraId="22F8511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46200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003C9FB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循环冷却系统排污水用作设备冷却水、辅助生产设施废水、余热电站排污水大部分循环使用，少量进入沉淀池处理后用于地面洒水抑尘、绿化用水；其余部分及初期雨水与经化粪池预处理的生活污水经经开区污水管网进入松木污水处理厂进行处理</w:t>
            </w:r>
          </w:p>
        </w:tc>
      </w:tr>
      <w:tr w14:paraId="604A9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240E9E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91D2A2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DDD1B9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313D8BA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r>
              <w:rPr>
                <w:rFonts w:hint="default" w:ascii="Times New Roman" w:hAnsi="Times New Roman" w:eastAsia="宋体" w:cs="Times New Roman"/>
                <w:color w:val="auto"/>
                <w:sz w:val="21"/>
                <w:szCs w:val="21"/>
                <w:highlight w:val="none"/>
                <w:u w:val="none" w:color="auto"/>
              </w:rPr>
              <w:t>、NH</w:t>
            </w:r>
            <w:r>
              <w:rPr>
                <w:rFonts w:hint="default" w:ascii="Times New Roman" w:hAnsi="Times New Roman" w:eastAsia="宋体" w:cs="Times New Roman"/>
                <w:color w:val="auto"/>
                <w:sz w:val="21"/>
                <w:szCs w:val="21"/>
                <w:highlight w:val="none"/>
                <w:u w:val="none" w:color="auto"/>
                <w:vertAlign w:val="subscript"/>
              </w:rPr>
              <w:t>3</w:t>
            </w:r>
          </w:p>
        </w:tc>
        <w:tc>
          <w:tcPr>
            <w:tcW w:w="1559" w:type="dxa"/>
            <w:tcBorders>
              <w:tl2br w:val="nil"/>
              <w:tr2bl w:val="nil"/>
            </w:tcBorders>
            <w:vAlign w:val="center"/>
          </w:tcPr>
          <w:p w14:paraId="34DCCD4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88CED7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窑尾废气经电收尘+SCNR脱硝后经100m排气筒排放；</w:t>
            </w:r>
          </w:p>
          <w:p w14:paraId="63F7CEB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烧成窑头废气经电收尘后经40m排气筒排放；</w:t>
            </w:r>
          </w:p>
          <w:p w14:paraId="6905195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煤粉制备粉尘经袋式收尘器处理后经30m排气筒排放；</w:t>
            </w:r>
          </w:p>
          <w:p w14:paraId="112A8AC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熟料储存及输送产生的粉尘经袋式收尘器处理后经15m排气筒排放；</w:t>
            </w:r>
          </w:p>
          <w:p w14:paraId="186ACF4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水泥粉磨、输送产生的粉尘经袋式除尘器处理后经30m排气筒排放；</w:t>
            </w:r>
          </w:p>
          <w:p w14:paraId="67BD315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水泥包装粉尘经袋式除尘器处理后经15m排气筒排放</w:t>
            </w:r>
          </w:p>
        </w:tc>
      </w:tr>
      <w:tr w14:paraId="52BBF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42C95F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FB70FE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021A63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15836B10">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1A9239E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242.9t/a</w:t>
            </w:r>
          </w:p>
        </w:tc>
        <w:tc>
          <w:tcPr>
            <w:tcW w:w="8034" w:type="dxa"/>
            <w:tcBorders>
              <w:tl2br w:val="nil"/>
              <w:tr2bl w:val="nil"/>
            </w:tcBorders>
            <w:vAlign w:val="center"/>
          </w:tcPr>
          <w:p w14:paraId="4378A08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炉渣和尘灰回用于生产工艺；</w:t>
            </w:r>
          </w:p>
          <w:p w14:paraId="367C21E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水泥包装袋由废品回收公司回收；</w:t>
            </w:r>
          </w:p>
          <w:p w14:paraId="5947ED3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63B6B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853478B">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18</w:t>
            </w:r>
          </w:p>
        </w:tc>
        <w:tc>
          <w:tcPr>
            <w:tcW w:w="1165" w:type="dxa"/>
            <w:vMerge w:val="restart"/>
            <w:tcBorders>
              <w:tl2br w:val="nil"/>
              <w:tr2bl w:val="nil"/>
            </w:tcBorders>
            <w:vAlign w:val="center"/>
          </w:tcPr>
          <w:p w14:paraId="3C79ADF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衡阳凯恒商品混凝土有限公司</w:t>
            </w:r>
          </w:p>
        </w:tc>
        <w:tc>
          <w:tcPr>
            <w:tcW w:w="1134" w:type="dxa"/>
            <w:tcBorders>
              <w:tl2br w:val="nil"/>
              <w:tr2bl w:val="nil"/>
            </w:tcBorders>
            <w:vAlign w:val="center"/>
          </w:tcPr>
          <w:p w14:paraId="594DD31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56A1545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21FD01E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3211CCE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清洗废水、冲洗废水经沉淀、压滤处理后回用于生产工序；</w:t>
            </w:r>
          </w:p>
          <w:p w14:paraId="37CB0B9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生活污水经化粪池预处理后进入经开区污水管网，最终经松木污水处理厂处理后排至湘江</w:t>
            </w:r>
          </w:p>
        </w:tc>
      </w:tr>
      <w:tr w14:paraId="28FE4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41DDD2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B52FB1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CD5467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502905D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w:t>
            </w:r>
          </w:p>
        </w:tc>
        <w:tc>
          <w:tcPr>
            <w:tcW w:w="1559" w:type="dxa"/>
            <w:tcBorders>
              <w:tl2br w:val="nil"/>
              <w:tr2bl w:val="nil"/>
            </w:tcBorders>
            <w:vAlign w:val="center"/>
          </w:tcPr>
          <w:p w14:paraId="6F21AC6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911CE4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position w:val="-24"/>
                <w:sz w:val="21"/>
                <w:szCs w:val="21"/>
                <w:highlight w:val="none"/>
                <w:u w:val="none" w:color="auto"/>
              </w:rPr>
              <w:t>筒仓顶部自带滤芯过滤粉尘，高度为30m</w:t>
            </w:r>
          </w:p>
        </w:tc>
      </w:tr>
      <w:tr w14:paraId="1583C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D1AA19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AF34A0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CBF24A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E6A3E9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1853661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2286.6t/a</w:t>
            </w:r>
          </w:p>
        </w:tc>
        <w:tc>
          <w:tcPr>
            <w:tcW w:w="8034" w:type="dxa"/>
            <w:tcBorders>
              <w:tl2br w:val="nil"/>
              <w:tr2bl w:val="nil"/>
            </w:tcBorders>
            <w:vAlign w:val="center"/>
          </w:tcPr>
          <w:p w14:paraId="71B1E0C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kern w:val="0"/>
                <w:position w:val="-24"/>
                <w:sz w:val="21"/>
                <w:szCs w:val="21"/>
                <w:highlight w:val="none"/>
                <w:u w:val="none" w:color="auto"/>
              </w:rPr>
            </w:pPr>
            <w:r>
              <w:rPr>
                <w:rFonts w:hint="default" w:ascii="Times New Roman" w:hAnsi="Times New Roman" w:eastAsia="宋体" w:cs="Times New Roman"/>
                <w:color w:val="auto"/>
                <w:kern w:val="0"/>
                <w:position w:val="-24"/>
                <w:sz w:val="21"/>
                <w:szCs w:val="21"/>
                <w:highlight w:val="none"/>
                <w:u w:val="none" w:color="auto"/>
              </w:rPr>
              <w:t>沉淀池沉渣和剩余混凝土回用于生产；</w:t>
            </w:r>
          </w:p>
          <w:p w14:paraId="456B415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kern w:val="0"/>
                <w:position w:val="-24"/>
                <w:sz w:val="21"/>
                <w:szCs w:val="21"/>
                <w:highlight w:val="none"/>
                <w:u w:val="none" w:color="auto"/>
              </w:rPr>
            </w:pPr>
            <w:r>
              <w:rPr>
                <w:rFonts w:hint="default" w:ascii="Times New Roman" w:hAnsi="Times New Roman" w:eastAsia="宋体" w:cs="Times New Roman"/>
                <w:color w:val="auto"/>
                <w:kern w:val="0"/>
                <w:position w:val="-24"/>
                <w:sz w:val="21"/>
                <w:szCs w:val="21"/>
                <w:highlight w:val="none"/>
                <w:u w:val="none" w:color="auto"/>
              </w:rPr>
              <w:t>污水处理污泥（主要为水泥渣）出售；</w:t>
            </w:r>
          </w:p>
          <w:p w14:paraId="49C0883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position w:val="-24"/>
                <w:sz w:val="21"/>
                <w:szCs w:val="21"/>
                <w:highlight w:val="none"/>
                <w:u w:val="none" w:color="auto"/>
              </w:rPr>
              <w:t>废弃滤芯和生活垃圾由环卫部门统一处理</w:t>
            </w:r>
          </w:p>
        </w:tc>
      </w:tr>
      <w:tr w14:paraId="09B99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314BE56">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19</w:t>
            </w:r>
          </w:p>
        </w:tc>
        <w:tc>
          <w:tcPr>
            <w:tcW w:w="1165" w:type="dxa"/>
            <w:vMerge w:val="restart"/>
            <w:tcBorders>
              <w:tl2br w:val="nil"/>
              <w:tr2bl w:val="nil"/>
            </w:tcBorders>
            <w:vAlign w:val="center"/>
          </w:tcPr>
          <w:p w14:paraId="7A6ABD23">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衡阳市成大混凝土有限公司</w:t>
            </w:r>
          </w:p>
        </w:tc>
        <w:tc>
          <w:tcPr>
            <w:tcW w:w="1134" w:type="dxa"/>
            <w:tcBorders>
              <w:tl2br w:val="nil"/>
              <w:tr2bl w:val="nil"/>
            </w:tcBorders>
            <w:vAlign w:val="center"/>
          </w:tcPr>
          <w:p w14:paraId="5F907C4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5F5E822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21F8D5C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3060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7039BA4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生产废水经二级沉淀处理后回用，不外排；</w:t>
            </w:r>
          </w:p>
          <w:p w14:paraId="43E55D9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生活污水经化粪池预处理后进入经开区污水管网，最终经松木污水处理厂处理后排至湘江</w:t>
            </w:r>
          </w:p>
        </w:tc>
      </w:tr>
      <w:tr w14:paraId="28480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6D97DF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4DE303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D8E7F4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413B298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w:t>
            </w:r>
          </w:p>
        </w:tc>
        <w:tc>
          <w:tcPr>
            <w:tcW w:w="1559" w:type="dxa"/>
            <w:tcBorders>
              <w:tl2br w:val="nil"/>
              <w:tr2bl w:val="nil"/>
            </w:tcBorders>
            <w:vAlign w:val="center"/>
          </w:tcPr>
          <w:p w14:paraId="0640A17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3FB6BDB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kern w:val="0"/>
                <w:position w:val="-24"/>
                <w:sz w:val="21"/>
                <w:szCs w:val="21"/>
                <w:highlight w:val="none"/>
                <w:u w:val="none" w:color="auto"/>
              </w:rPr>
            </w:pPr>
            <w:r>
              <w:rPr>
                <w:rFonts w:hint="default" w:ascii="Times New Roman" w:hAnsi="Times New Roman" w:eastAsia="宋体" w:cs="Times New Roman"/>
                <w:color w:val="auto"/>
                <w:kern w:val="0"/>
                <w:position w:val="-24"/>
                <w:sz w:val="21"/>
                <w:szCs w:val="21"/>
                <w:highlight w:val="none"/>
                <w:u w:val="none" w:color="auto"/>
              </w:rPr>
              <w:t>筒仓顶部呼吸孔及筒仓底部粉尘采用脉冲式布袋除尘系统进行处理后排放</w:t>
            </w:r>
          </w:p>
        </w:tc>
      </w:tr>
      <w:tr w14:paraId="71BF8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097B59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ABF682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626673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31EE84D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31921C8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2286.6t/a</w:t>
            </w:r>
          </w:p>
        </w:tc>
        <w:tc>
          <w:tcPr>
            <w:tcW w:w="8034" w:type="dxa"/>
            <w:tcBorders>
              <w:tl2br w:val="nil"/>
              <w:tr2bl w:val="nil"/>
            </w:tcBorders>
            <w:vAlign w:val="center"/>
          </w:tcPr>
          <w:p w14:paraId="5FB861D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kern w:val="0"/>
                <w:position w:val="-24"/>
                <w:sz w:val="21"/>
                <w:szCs w:val="21"/>
                <w:highlight w:val="none"/>
                <w:u w:val="none" w:color="auto"/>
              </w:rPr>
            </w:pPr>
            <w:r>
              <w:rPr>
                <w:rFonts w:hint="default" w:ascii="Times New Roman" w:hAnsi="Times New Roman" w:eastAsia="宋体" w:cs="Times New Roman"/>
                <w:color w:val="auto"/>
                <w:kern w:val="0"/>
                <w:position w:val="-24"/>
                <w:sz w:val="21"/>
                <w:szCs w:val="21"/>
                <w:highlight w:val="none"/>
                <w:u w:val="none" w:color="auto"/>
              </w:rPr>
              <w:t>沉淀池沉渣和剩余混凝土回用于生产；</w:t>
            </w:r>
          </w:p>
          <w:p w14:paraId="04FFB95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kern w:val="0"/>
                <w:position w:val="-24"/>
                <w:sz w:val="21"/>
                <w:szCs w:val="21"/>
                <w:highlight w:val="none"/>
                <w:u w:val="none" w:color="auto"/>
              </w:rPr>
            </w:pPr>
            <w:r>
              <w:rPr>
                <w:rFonts w:hint="default" w:ascii="Times New Roman" w:hAnsi="Times New Roman" w:eastAsia="宋体" w:cs="Times New Roman"/>
                <w:color w:val="auto"/>
                <w:kern w:val="0"/>
                <w:position w:val="-24"/>
                <w:sz w:val="21"/>
                <w:szCs w:val="21"/>
                <w:highlight w:val="none"/>
                <w:u w:val="none" w:color="auto"/>
              </w:rPr>
              <w:t>污水处理污泥（主要为水泥渣）出售；</w:t>
            </w:r>
          </w:p>
          <w:p w14:paraId="69A9AB9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kern w:val="0"/>
                <w:position w:val="-24"/>
                <w:sz w:val="21"/>
                <w:szCs w:val="21"/>
                <w:highlight w:val="none"/>
                <w:u w:val="none" w:color="auto"/>
              </w:rPr>
            </w:pPr>
            <w:r>
              <w:rPr>
                <w:rFonts w:hint="default" w:ascii="Times New Roman" w:hAnsi="Times New Roman" w:eastAsia="宋体" w:cs="Times New Roman"/>
                <w:color w:val="auto"/>
                <w:kern w:val="0"/>
                <w:position w:val="-24"/>
                <w:sz w:val="21"/>
                <w:szCs w:val="21"/>
                <w:highlight w:val="none"/>
                <w:u w:val="none" w:color="auto"/>
              </w:rPr>
              <w:t>生活垃圾由环卫部门统一处理</w:t>
            </w:r>
          </w:p>
        </w:tc>
      </w:tr>
      <w:tr w14:paraId="077F6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8CBA73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20</w:t>
            </w:r>
          </w:p>
        </w:tc>
        <w:tc>
          <w:tcPr>
            <w:tcW w:w="1165" w:type="dxa"/>
            <w:vMerge w:val="restart"/>
            <w:tcBorders>
              <w:tl2br w:val="nil"/>
              <w:tr2bl w:val="nil"/>
            </w:tcBorders>
            <w:vAlign w:val="center"/>
          </w:tcPr>
          <w:p w14:paraId="35348D74">
            <w:pPr>
              <w:keepNext w:val="0"/>
              <w:keepLines w:val="0"/>
              <w:pageBreakBefore w:val="0"/>
              <w:widowControl/>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中民筑友科技集团有限公司</w:t>
            </w:r>
          </w:p>
        </w:tc>
        <w:tc>
          <w:tcPr>
            <w:tcW w:w="1134" w:type="dxa"/>
            <w:tcBorders>
              <w:tl2br w:val="nil"/>
              <w:tr2bl w:val="nil"/>
            </w:tcBorders>
            <w:vAlign w:val="center"/>
          </w:tcPr>
          <w:p w14:paraId="7E83D6F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DBC482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SS、COD、氨氮等</w:t>
            </w:r>
          </w:p>
        </w:tc>
        <w:tc>
          <w:tcPr>
            <w:tcW w:w="1559" w:type="dxa"/>
            <w:tcBorders>
              <w:tl2br w:val="nil"/>
              <w:tr2bl w:val="nil"/>
            </w:tcBorders>
            <w:vAlign w:val="center"/>
          </w:tcPr>
          <w:p w14:paraId="4E62E07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960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5C5311D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清洗废水、冲洗水经隔油+沉淀处理后进行回用；</w:t>
            </w:r>
          </w:p>
          <w:p w14:paraId="7D6FD24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初期雨水经隔油沉淀后回用于厂区绿化带用水；</w:t>
            </w:r>
          </w:p>
          <w:p w14:paraId="55C3C4D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生活污水</w:t>
            </w:r>
            <w:r>
              <w:rPr>
                <w:rFonts w:hint="default" w:ascii="Times New Roman" w:hAnsi="Times New Roman" w:eastAsia="宋体" w:cs="Times New Roman"/>
                <w:color w:val="auto"/>
                <w:sz w:val="21"/>
                <w:szCs w:val="21"/>
                <w:highlight w:val="none"/>
                <w:u w:val="none" w:color="auto"/>
              </w:rPr>
              <w:t>经化粪池预处理后经经开区污水管网进入松木污水处理厂进行处理</w:t>
            </w:r>
          </w:p>
        </w:tc>
      </w:tr>
      <w:tr w14:paraId="708F0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B0CD3E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12AA64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30E1C4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652B20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w:t>
            </w:r>
          </w:p>
        </w:tc>
        <w:tc>
          <w:tcPr>
            <w:tcW w:w="1559" w:type="dxa"/>
            <w:tcBorders>
              <w:tl2br w:val="nil"/>
              <w:tr2bl w:val="nil"/>
            </w:tcBorders>
            <w:vAlign w:val="center"/>
          </w:tcPr>
          <w:p w14:paraId="46F6DF2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5C50A06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输送、计量、投料及交办分厂经布袋除尘后排放；</w:t>
            </w:r>
          </w:p>
          <w:p w14:paraId="3302972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kern w:val="0"/>
                <w:position w:val="-24"/>
                <w:sz w:val="21"/>
                <w:szCs w:val="21"/>
                <w:highlight w:val="none"/>
                <w:u w:val="none" w:color="auto"/>
              </w:rPr>
            </w:pPr>
            <w:r>
              <w:rPr>
                <w:rFonts w:hint="default" w:ascii="Times New Roman" w:hAnsi="Times New Roman" w:eastAsia="宋体" w:cs="Times New Roman"/>
                <w:color w:val="auto"/>
                <w:kern w:val="0"/>
                <w:position w:val="-24"/>
                <w:sz w:val="21"/>
                <w:szCs w:val="21"/>
                <w:highlight w:val="none"/>
                <w:u w:val="none" w:color="auto"/>
              </w:rPr>
              <w:t>水泥筒仓呼吸孔和仓底分厂经布袋除尘处理后经15m排气筒排放；</w:t>
            </w:r>
          </w:p>
        </w:tc>
      </w:tr>
      <w:tr w14:paraId="72B0A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6EE181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832585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726008D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7A3E2C3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53A196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461.657t/a</w:t>
            </w:r>
          </w:p>
        </w:tc>
        <w:tc>
          <w:tcPr>
            <w:tcW w:w="8034" w:type="dxa"/>
            <w:vMerge w:val="restart"/>
            <w:tcBorders>
              <w:tl2br w:val="nil"/>
              <w:tr2bl w:val="nil"/>
            </w:tcBorders>
            <w:vAlign w:val="center"/>
          </w:tcPr>
          <w:p w14:paraId="62A4557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模具废弃料、布袋除尘器收集的粉尘、沉淀池问等回用于混凝土生产线；</w:t>
            </w:r>
          </w:p>
          <w:p w14:paraId="50557B6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生活垃圾等一般固废交由环卫部门进行处理；</w:t>
            </w:r>
          </w:p>
          <w:p w14:paraId="15FDB68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kern w:val="0"/>
                <w:position w:val="-24"/>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废机油、废脱模剂等危废交由资质单位进行处理</w:t>
            </w:r>
          </w:p>
        </w:tc>
      </w:tr>
      <w:tr w14:paraId="532D9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427341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4EA243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55BDC66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69533B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002424C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0.3t/a</w:t>
            </w:r>
          </w:p>
        </w:tc>
        <w:tc>
          <w:tcPr>
            <w:tcW w:w="8034" w:type="dxa"/>
            <w:vMerge w:val="continue"/>
            <w:tcBorders>
              <w:tl2br w:val="nil"/>
              <w:tr2bl w:val="nil"/>
            </w:tcBorders>
            <w:vAlign w:val="center"/>
          </w:tcPr>
          <w:p w14:paraId="7191703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position w:val="-24"/>
                <w:sz w:val="21"/>
                <w:szCs w:val="21"/>
                <w:highlight w:val="none"/>
                <w:u w:val="none" w:color="auto"/>
              </w:rPr>
            </w:pPr>
          </w:p>
        </w:tc>
      </w:tr>
      <w:tr w14:paraId="6579B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C85492D">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21</w:t>
            </w:r>
          </w:p>
        </w:tc>
        <w:tc>
          <w:tcPr>
            <w:tcW w:w="1165" w:type="dxa"/>
            <w:vMerge w:val="restart"/>
            <w:tcBorders>
              <w:tl2br w:val="nil"/>
              <w:tr2bl w:val="nil"/>
            </w:tcBorders>
            <w:vAlign w:val="center"/>
          </w:tcPr>
          <w:p w14:paraId="17A799B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湖南鑫威门业有限公司</w:t>
            </w:r>
          </w:p>
        </w:tc>
        <w:tc>
          <w:tcPr>
            <w:tcW w:w="1134" w:type="dxa"/>
            <w:tcBorders>
              <w:tl2br w:val="nil"/>
              <w:tr2bl w:val="nil"/>
            </w:tcBorders>
            <w:vAlign w:val="center"/>
          </w:tcPr>
          <w:p w14:paraId="0FC0B96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2461719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6849A01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CB406F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无生产工艺废水产生；</w:t>
            </w:r>
          </w:p>
          <w:p w14:paraId="1699FC7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经二级沉淀处理后的清洗废水、冲洗水与经化粪池预处理后的生活污水经经开区污水管网进入松木污水处理厂进行处理</w:t>
            </w:r>
          </w:p>
        </w:tc>
      </w:tr>
      <w:tr w14:paraId="1CBA8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6939A1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D8E1A7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8CF128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5B9916E3">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w:t>
            </w:r>
          </w:p>
        </w:tc>
        <w:tc>
          <w:tcPr>
            <w:tcW w:w="1559" w:type="dxa"/>
            <w:tcBorders>
              <w:tl2br w:val="nil"/>
              <w:tr2bl w:val="nil"/>
            </w:tcBorders>
            <w:vAlign w:val="center"/>
          </w:tcPr>
          <w:p w14:paraId="21EB11C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70B878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焊接烟气经焊接烟气净化装置净化后排放；</w:t>
            </w:r>
          </w:p>
          <w:p w14:paraId="5C00D59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油烟废气经过油烟净化机处理后经15m排气筒排放</w:t>
            </w:r>
          </w:p>
        </w:tc>
      </w:tr>
      <w:tr w14:paraId="1AC7A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7BF15B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93F85A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58D3D3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AED9240">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7F28BA8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5877D46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生活垃圾交由环卫部门进行收集处理；</w:t>
            </w:r>
          </w:p>
          <w:p w14:paraId="686F66B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废金属边角料外售</w:t>
            </w:r>
          </w:p>
        </w:tc>
      </w:tr>
      <w:tr w14:paraId="30345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9C5419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22</w:t>
            </w:r>
          </w:p>
        </w:tc>
        <w:tc>
          <w:tcPr>
            <w:tcW w:w="1165" w:type="dxa"/>
            <w:vMerge w:val="restart"/>
            <w:tcBorders>
              <w:tl2br w:val="nil"/>
              <w:tr2bl w:val="nil"/>
            </w:tcBorders>
            <w:vAlign w:val="center"/>
          </w:tcPr>
          <w:p w14:paraId="4FE5884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湖南超声人防设备有限公司</w:t>
            </w:r>
          </w:p>
        </w:tc>
        <w:tc>
          <w:tcPr>
            <w:tcW w:w="1134" w:type="dxa"/>
            <w:tcBorders>
              <w:tl2br w:val="nil"/>
              <w:tr2bl w:val="nil"/>
            </w:tcBorders>
            <w:vAlign w:val="center"/>
          </w:tcPr>
          <w:p w14:paraId="77E84F0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98CC9D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4F46D36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427.2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1D313F6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食堂含油污水经隔油处理后与生活污水进入化粪池进行预处理，处理后的污水经经开区污水管网进入松木污水处理厂进行处理</w:t>
            </w:r>
          </w:p>
        </w:tc>
      </w:tr>
      <w:tr w14:paraId="66B80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7A1F5D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F3DDFA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5A50F4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688BB0A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粉尘、有机废气等</w:t>
            </w:r>
          </w:p>
        </w:tc>
        <w:tc>
          <w:tcPr>
            <w:tcW w:w="1559" w:type="dxa"/>
            <w:tcBorders>
              <w:tl2br w:val="nil"/>
              <w:tr2bl w:val="nil"/>
            </w:tcBorders>
            <w:vAlign w:val="center"/>
          </w:tcPr>
          <w:p w14:paraId="2CE16C4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5E81FCC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打磨粉尘、切割粉尘、焊接烟尘经动力风机进行收集处理后经屋顶排气筒排放；</w:t>
            </w:r>
          </w:p>
          <w:p w14:paraId="3D29532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油烟废气经油烟净化装置处理后排放</w:t>
            </w:r>
          </w:p>
        </w:tc>
      </w:tr>
      <w:tr w14:paraId="6473F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EEC8AF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F89AD5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213B559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0D51A95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43D62D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12.315t/a</w:t>
            </w:r>
          </w:p>
        </w:tc>
        <w:tc>
          <w:tcPr>
            <w:tcW w:w="8034" w:type="dxa"/>
            <w:vMerge w:val="restart"/>
            <w:tcBorders>
              <w:tl2br w:val="nil"/>
              <w:tr2bl w:val="nil"/>
            </w:tcBorders>
            <w:vAlign w:val="center"/>
          </w:tcPr>
          <w:p w14:paraId="158879F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危险固废分类收集暂存于危废暂存间，交由资质单位进行处理；</w:t>
            </w:r>
          </w:p>
          <w:p w14:paraId="3CEACBB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焊渣、钢屑出售综合利用；</w:t>
            </w:r>
          </w:p>
          <w:p w14:paraId="653B879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774CA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8C02FD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9C388C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10E0C0E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380C7A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723E51C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0.345t/a</w:t>
            </w:r>
          </w:p>
        </w:tc>
        <w:tc>
          <w:tcPr>
            <w:tcW w:w="8034" w:type="dxa"/>
            <w:vMerge w:val="continue"/>
            <w:tcBorders>
              <w:tl2br w:val="nil"/>
              <w:tr2bl w:val="nil"/>
            </w:tcBorders>
            <w:vAlign w:val="center"/>
          </w:tcPr>
          <w:p w14:paraId="7B1BCB0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3AE48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515DA6C">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23</w:t>
            </w:r>
          </w:p>
        </w:tc>
        <w:tc>
          <w:tcPr>
            <w:tcW w:w="1165" w:type="dxa"/>
            <w:vMerge w:val="restart"/>
            <w:tcBorders>
              <w:tl2br w:val="nil"/>
              <w:tr2bl w:val="nil"/>
            </w:tcBorders>
            <w:vAlign w:val="center"/>
          </w:tcPr>
          <w:p w14:paraId="03C6E7D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湖南开磷雁峰塔涂料有限公司</w:t>
            </w:r>
          </w:p>
        </w:tc>
        <w:tc>
          <w:tcPr>
            <w:tcW w:w="1134" w:type="dxa"/>
            <w:tcBorders>
              <w:tl2br w:val="nil"/>
              <w:tr2bl w:val="nil"/>
            </w:tcBorders>
            <w:vAlign w:val="center"/>
          </w:tcPr>
          <w:p w14:paraId="79D97FE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69905B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COD、SS、石油类、氨氮</w:t>
            </w:r>
          </w:p>
        </w:tc>
        <w:tc>
          <w:tcPr>
            <w:tcW w:w="1559" w:type="dxa"/>
            <w:tcBorders>
              <w:tl2br w:val="nil"/>
              <w:tr2bl w:val="nil"/>
            </w:tcBorders>
            <w:vAlign w:val="center"/>
          </w:tcPr>
          <w:p w14:paraId="6BC5F9B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43718.4m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5EE3681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酯化废水经收集后用焚烧炉处理；</w:t>
            </w:r>
          </w:p>
          <w:p w14:paraId="0BAE193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机泵冷却水与车间地面冲洗废水经隔油池处理达标后排入经开区污水管网进入松木污水处理厂进行处理；</w:t>
            </w:r>
          </w:p>
          <w:p w14:paraId="30900AB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生活污水经化粪池预处理后进入经开区污水管网，最终进入松木污水处理厂进行处理</w:t>
            </w:r>
          </w:p>
        </w:tc>
      </w:tr>
      <w:tr w14:paraId="2DF8D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40F740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AD624F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2C1CA23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006B94E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甲苯、二甲苯、粉尘等</w:t>
            </w:r>
          </w:p>
        </w:tc>
        <w:tc>
          <w:tcPr>
            <w:tcW w:w="1559" w:type="dxa"/>
            <w:tcBorders>
              <w:tl2br w:val="nil"/>
              <w:tr2bl w:val="nil"/>
            </w:tcBorders>
            <w:vAlign w:val="center"/>
          </w:tcPr>
          <w:p w14:paraId="0D22CE9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14500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353CA9F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热炼车间有机废气通过“喷淋+催化氧化+活性炭吸附”处理后经25m排气筒排放；</w:t>
            </w:r>
          </w:p>
          <w:p w14:paraId="74DFAB3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色漆车间加料含尘废气采用集气罩强制抽排风至废气净化系统，经布袋除尘后无组织排放；</w:t>
            </w:r>
          </w:p>
          <w:p w14:paraId="31F9956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色漆车间工艺尾气经活性炭吸附处理后经25m排气筒排放；</w:t>
            </w:r>
          </w:p>
          <w:p w14:paraId="2B4E144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燃气锅炉烟气通过18m排气筒排放；</w:t>
            </w:r>
          </w:p>
          <w:p w14:paraId="79F789E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焚烧炉烟气通过16m排气筒排放</w:t>
            </w:r>
          </w:p>
        </w:tc>
      </w:tr>
      <w:tr w14:paraId="66BF6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8FC964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449955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6B19A7A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2CA78FF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0EA197C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11.25t/a</w:t>
            </w:r>
          </w:p>
        </w:tc>
        <w:tc>
          <w:tcPr>
            <w:tcW w:w="8034" w:type="dxa"/>
            <w:vMerge w:val="restart"/>
            <w:tcBorders>
              <w:tl2br w:val="nil"/>
              <w:tr2bl w:val="nil"/>
            </w:tcBorders>
            <w:vAlign w:val="center"/>
          </w:tcPr>
          <w:p w14:paraId="1172D20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过滤渣、设备清洗废液、废活性炭、布袋收尘灰、废导热油、废劳保用品等危险废物委托有资质单位进行处理；</w:t>
            </w:r>
          </w:p>
          <w:p w14:paraId="272190C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布袋收尘灰回用；</w:t>
            </w:r>
          </w:p>
          <w:p w14:paraId="7582C99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废包装材料由厂家进行回收或委托资质单位进行处理；</w:t>
            </w:r>
          </w:p>
          <w:p w14:paraId="774B943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2339B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C33FC3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D08FC8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5EBBC06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C966C1B">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3492DF8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8t/a</w:t>
            </w:r>
          </w:p>
        </w:tc>
        <w:tc>
          <w:tcPr>
            <w:tcW w:w="8034" w:type="dxa"/>
            <w:vMerge w:val="continue"/>
            <w:tcBorders>
              <w:tl2br w:val="nil"/>
              <w:tr2bl w:val="nil"/>
            </w:tcBorders>
            <w:vAlign w:val="center"/>
          </w:tcPr>
          <w:p w14:paraId="3EEEB60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6392A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C3EB867">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24</w:t>
            </w:r>
          </w:p>
        </w:tc>
        <w:tc>
          <w:tcPr>
            <w:tcW w:w="1165" w:type="dxa"/>
            <w:vMerge w:val="restart"/>
            <w:tcBorders>
              <w:tl2br w:val="nil"/>
              <w:tr2bl w:val="nil"/>
            </w:tcBorders>
            <w:vAlign w:val="center"/>
          </w:tcPr>
          <w:p w14:paraId="4D820F0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湖南中航紧固系统有限公司</w:t>
            </w:r>
          </w:p>
        </w:tc>
        <w:tc>
          <w:tcPr>
            <w:tcW w:w="1134" w:type="dxa"/>
            <w:tcBorders>
              <w:tl2br w:val="nil"/>
              <w:tr2bl w:val="nil"/>
            </w:tcBorders>
            <w:vAlign w:val="center"/>
          </w:tcPr>
          <w:p w14:paraId="4F29003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54A0BEC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石油类、SS、COD</w:t>
            </w:r>
          </w:p>
        </w:tc>
        <w:tc>
          <w:tcPr>
            <w:tcW w:w="1559" w:type="dxa"/>
            <w:tcBorders>
              <w:tl2br w:val="nil"/>
              <w:tr2bl w:val="nil"/>
            </w:tcBorders>
            <w:vAlign w:val="center"/>
          </w:tcPr>
          <w:p w14:paraId="4D87049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50820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7E305DB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车间地面含油废水经隔油处理后与经化粪池简单处理后的生活污水一起排入经开区污水管网，进入松木污水处理厂进行处理</w:t>
            </w:r>
          </w:p>
        </w:tc>
      </w:tr>
      <w:tr w14:paraId="30989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218155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31CF79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20E33F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FB4501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非甲烷总烃、油烟</w:t>
            </w:r>
          </w:p>
        </w:tc>
        <w:tc>
          <w:tcPr>
            <w:tcW w:w="1559" w:type="dxa"/>
            <w:tcBorders>
              <w:tl2br w:val="nil"/>
              <w:tr2bl w:val="nil"/>
            </w:tcBorders>
            <w:vAlign w:val="center"/>
          </w:tcPr>
          <w:p w14:paraId="6EF8852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695m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368706C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有机废气经集气罩收集后送至活性炭吸附塔进行处理，处理后的废气经20m排气筒排放；</w:t>
            </w:r>
          </w:p>
          <w:p w14:paraId="11DCCD8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食堂油烟废气经静电油烟净化装置处理后高空排放</w:t>
            </w:r>
          </w:p>
        </w:tc>
      </w:tr>
      <w:tr w14:paraId="6BC7A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978392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E36994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1976299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1E28A93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5A43DDE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320t/a</w:t>
            </w:r>
          </w:p>
        </w:tc>
        <w:tc>
          <w:tcPr>
            <w:tcW w:w="8034" w:type="dxa"/>
            <w:vMerge w:val="restart"/>
            <w:tcBorders>
              <w:tl2br w:val="nil"/>
              <w:tr2bl w:val="nil"/>
            </w:tcBorders>
            <w:vAlign w:val="center"/>
          </w:tcPr>
          <w:p w14:paraId="171F244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金属废料、废活性炭由厂家进行回收处理；</w:t>
            </w:r>
          </w:p>
          <w:p w14:paraId="15EE6DF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废油重复利用，废油渣过滤后交给电镀中心</w:t>
            </w:r>
            <w:r>
              <w:rPr>
                <w:rFonts w:hint="eastAsia" w:ascii="Times New Roman" w:hAnsi="Times New Roman" w:eastAsia="宋体" w:cs="Times New Roman"/>
                <w:color w:val="auto"/>
                <w:sz w:val="21"/>
                <w:szCs w:val="21"/>
                <w:highlight w:val="none"/>
                <w:u w:val="none" w:color="auto"/>
                <w:lang w:eastAsia="zh-CN"/>
              </w:rPr>
              <w:t>处理</w:t>
            </w:r>
            <w:r>
              <w:rPr>
                <w:rFonts w:hint="default" w:ascii="Times New Roman" w:hAnsi="Times New Roman" w:eastAsia="宋体" w:cs="Times New Roman"/>
                <w:color w:val="auto"/>
                <w:sz w:val="21"/>
                <w:szCs w:val="21"/>
                <w:highlight w:val="none"/>
                <w:u w:val="none" w:color="auto"/>
              </w:rPr>
              <w:t>；</w:t>
            </w:r>
          </w:p>
          <w:p w14:paraId="447200E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312C2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465F20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1C8FB1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1C0056A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792F13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6BF2F6F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124t/a</w:t>
            </w:r>
          </w:p>
        </w:tc>
        <w:tc>
          <w:tcPr>
            <w:tcW w:w="8034" w:type="dxa"/>
            <w:vMerge w:val="continue"/>
            <w:tcBorders>
              <w:tl2br w:val="nil"/>
              <w:tr2bl w:val="nil"/>
            </w:tcBorders>
            <w:vAlign w:val="center"/>
          </w:tcPr>
          <w:p w14:paraId="2A1275F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76236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3D4D0E5">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25</w:t>
            </w:r>
          </w:p>
        </w:tc>
        <w:tc>
          <w:tcPr>
            <w:tcW w:w="1165" w:type="dxa"/>
            <w:vMerge w:val="restart"/>
            <w:tcBorders>
              <w:tl2br w:val="nil"/>
              <w:tr2bl w:val="nil"/>
            </w:tcBorders>
            <w:vAlign w:val="center"/>
          </w:tcPr>
          <w:p w14:paraId="1962B35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湖南中航电镀中心有限公司</w:t>
            </w:r>
          </w:p>
        </w:tc>
        <w:tc>
          <w:tcPr>
            <w:tcW w:w="1134" w:type="dxa"/>
            <w:tcBorders>
              <w:tl2br w:val="nil"/>
              <w:tr2bl w:val="nil"/>
            </w:tcBorders>
            <w:vAlign w:val="center"/>
          </w:tcPr>
          <w:p w14:paraId="56F1231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938B56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重金属离子、COD、SS等</w:t>
            </w:r>
          </w:p>
        </w:tc>
        <w:tc>
          <w:tcPr>
            <w:tcW w:w="1559" w:type="dxa"/>
            <w:tcBorders>
              <w:tl2br w:val="nil"/>
              <w:tr2bl w:val="nil"/>
            </w:tcBorders>
            <w:vAlign w:val="center"/>
          </w:tcPr>
          <w:p w14:paraId="66244EB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45000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5427D41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含铬废水经车间专用的还原、混凝、絮凝、沉淀后进入厂区污水处理站清水池；</w:t>
            </w:r>
          </w:p>
          <w:p w14:paraId="7FF1E01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含镍废水、含锌废水经各自车间专用的氧化破铬、混凝、絮凝、沉淀后进入厂区污水处理站清水池；</w:t>
            </w:r>
          </w:p>
          <w:p w14:paraId="36F478E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前处理废水经专用的三级油水分离隔油、微电解、氧化、还原、混凝、絮凝、沉淀后与经专用的混凝、絮凝、沉淀后的混排废水一并进入厂区污水处理站（工艺为水解酸化+厌氧+缺氧+好氧+MBR膜）处理后进入取水处理站清水池；</w:t>
            </w:r>
          </w:p>
          <w:p w14:paraId="6401018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清水池废水通过总排口排入园区污水管网，再进入松木污水处理厂处理达标后排入湘江；</w:t>
            </w:r>
          </w:p>
          <w:p w14:paraId="1DFB4B6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生活污水经化粪池预处理后经经开区污水管网进松木污水处理厂进行处理</w:t>
            </w:r>
          </w:p>
        </w:tc>
      </w:tr>
      <w:tr w14:paraId="6AC7E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4F8671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48117A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2B4461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5EDA53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盐酸雾、铬酸雾、粉尘等</w:t>
            </w:r>
          </w:p>
        </w:tc>
        <w:tc>
          <w:tcPr>
            <w:tcW w:w="1559" w:type="dxa"/>
            <w:tcBorders>
              <w:tl2br w:val="nil"/>
              <w:tr2bl w:val="nil"/>
            </w:tcBorders>
            <w:vAlign w:val="center"/>
          </w:tcPr>
          <w:p w14:paraId="7A4C929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221532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碱锌电镀生产线、磷化氧化生产线产生的盐酸雾、碱性废气采用集气罩+二级碱液喷淋处理后经25m排气筒排放；</w:t>
            </w:r>
          </w:p>
          <w:p w14:paraId="68F31F2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电镀镍、铬生产线产生的盐酸雾、碱性废气用集气罩+二级碱液喷淋处理后经25m排气筒排放；</w:t>
            </w:r>
          </w:p>
          <w:p w14:paraId="30B5F98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电镀镍、铬生产线产生的铬酸雾废气采用集气罩+二级碱液吸收处理后经25m排气筒排放；</w:t>
            </w:r>
          </w:p>
          <w:p w14:paraId="0ADB681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达克罗车间抛丸粉尘经布袋除尘处理后经15m排气筒排放（共4个）</w:t>
            </w:r>
          </w:p>
        </w:tc>
      </w:tr>
      <w:tr w14:paraId="0DFF9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4D4B6B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9EF764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214C5B2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0B22336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86BC68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25t/a</w:t>
            </w:r>
          </w:p>
        </w:tc>
        <w:tc>
          <w:tcPr>
            <w:tcW w:w="8034" w:type="dxa"/>
            <w:vMerge w:val="restart"/>
            <w:tcBorders>
              <w:tl2br w:val="nil"/>
              <w:tr2bl w:val="nil"/>
            </w:tcBorders>
            <w:vAlign w:val="center"/>
          </w:tcPr>
          <w:p w14:paraId="4EC3126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抛丸机除尘粉尘外卖综合利用；</w:t>
            </w:r>
          </w:p>
          <w:p w14:paraId="5D270E1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21AF4AB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电镀槽渣、除锈槽渣、钝化槽渣、废水处理污泥、废化学品包装袋（桶）等危险废物送由有资质单位处理；</w:t>
            </w:r>
          </w:p>
          <w:p w14:paraId="61826AB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倒槽废液经回收重金属后如厂区电镀废水处理系统处理；</w:t>
            </w:r>
          </w:p>
          <w:p w14:paraId="5041CA8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废油送湖南中航紧固系统公司回收废油设施回收；</w:t>
            </w:r>
          </w:p>
          <w:p w14:paraId="2934EA7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废离子交换树脂由生产厂家回收利用</w:t>
            </w:r>
          </w:p>
        </w:tc>
      </w:tr>
      <w:tr w14:paraId="19EFB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4D9418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58EE94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77526F9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E0399D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5170C16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24.14t/a</w:t>
            </w:r>
          </w:p>
        </w:tc>
        <w:tc>
          <w:tcPr>
            <w:tcW w:w="8034" w:type="dxa"/>
            <w:vMerge w:val="continue"/>
            <w:tcBorders>
              <w:tl2br w:val="nil"/>
              <w:tr2bl w:val="nil"/>
            </w:tcBorders>
            <w:vAlign w:val="center"/>
          </w:tcPr>
          <w:p w14:paraId="064E714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5FF33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0F8813D">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26</w:t>
            </w:r>
          </w:p>
        </w:tc>
        <w:tc>
          <w:tcPr>
            <w:tcW w:w="1165" w:type="dxa"/>
            <w:vMerge w:val="restart"/>
            <w:tcBorders>
              <w:tl2br w:val="nil"/>
              <w:tr2bl w:val="nil"/>
            </w:tcBorders>
            <w:vAlign w:val="center"/>
          </w:tcPr>
          <w:p w14:paraId="4B82CBE2">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衡阳市虹腾建材实业有限公司</w:t>
            </w:r>
          </w:p>
        </w:tc>
        <w:tc>
          <w:tcPr>
            <w:tcW w:w="1134" w:type="dxa"/>
            <w:tcBorders>
              <w:tl2br w:val="nil"/>
              <w:tr2bl w:val="nil"/>
            </w:tcBorders>
            <w:vAlign w:val="center"/>
          </w:tcPr>
          <w:p w14:paraId="2F1B839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FF26DC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、氨氮</w:t>
            </w:r>
          </w:p>
        </w:tc>
        <w:tc>
          <w:tcPr>
            <w:tcW w:w="1559" w:type="dxa"/>
            <w:tcBorders>
              <w:tl2br w:val="nil"/>
              <w:tr2bl w:val="nil"/>
            </w:tcBorders>
            <w:vAlign w:val="center"/>
          </w:tcPr>
          <w:p w14:paraId="4986340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BB2E11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生活污水经化粪池预处理后经经开区污水管网进入松木污水处理厂进行处理</w:t>
            </w:r>
          </w:p>
        </w:tc>
      </w:tr>
      <w:tr w14:paraId="3130C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93C06B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8A20A1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77EFBEE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04D5AD2B">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w:t>
            </w:r>
          </w:p>
        </w:tc>
        <w:tc>
          <w:tcPr>
            <w:tcW w:w="1559" w:type="dxa"/>
            <w:tcBorders>
              <w:tl2br w:val="nil"/>
              <w:tr2bl w:val="nil"/>
            </w:tcBorders>
            <w:vAlign w:val="center"/>
          </w:tcPr>
          <w:p w14:paraId="38541D0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4F5A862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粉尘经集气罩收集后高空排放；</w:t>
            </w:r>
          </w:p>
          <w:p w14:paraId="48F475E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食堂油烟经集气罩收集后经油烟净化器处理后达标排放</w:t>
            </w:r>
          </w:p>
        </w:tc>
      </w:tr>
      <w:tr w14:paraId="6EC5F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9FAF17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CCEC13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79D1F97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3A9BE65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865A1C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FF2C36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772C2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C4BD200">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27</w:t>
            </w:r>
          </w:p>
        </w:tc>
        <w:tc>
          <w:tcPr>
            <w:tcW w:w="1165" w:type="dxa"/>
            <w:vMerge w:val="restart"/>
            <w:tcBorders>
              <w:tl2br w:val="nil"/>
              <w:tr2bl w:val="nil"/>
            </w:tcBorders>
            <w:vAlign w:val="center"/>
          </w:tcPr>
          <w:p w14:paraId="4BEB699D">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衡阳市金化高压容器有限公司</w:t>
            </w:r>
          </w:p>
        </w:tc>
        <w:tc>
          <w:tcPr>
            <w:tcW w:w="1134" w:type="dxa"/>
            <w:tcBorders>
              <w:tl2br w:val="nil"/>
              <w:tr2bl w:val="nil"/>
            </w:tcBorders>
            <w:vAlign w:val="center"/>
          </w:tcPr>
          <w:p w14:paraId="209C9FD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0A480CA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、NH3-N</w:t>
            </w:r>
          </w:p>
        </w:tc>
        <w:tc>
          <w:tcPr>
            <w:tcW w:w="1559" w:type="dxa"/>
            <w:tcBorders>
              <w:tl2br w:val="nil"/>
              <w:tr2bl w:val="nil"/>
            </w:tcBorders>
            <w:vAlign w:val="center"/>
          </w:tcPr>
          <w:p w14:paraId="1EBA7B6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55102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5065207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地面冲洗废水、清洁废水经箱式压滤机处理后经经开区污水管网进入松木污水处理厂进行处理；</w:t>
            </w:r>
          </w:p>
          <w:p w14:paraId="0E66925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生活污水经化粪池预处理后经经开区污水管网进入松木污水处理厂进行处理</w:t>
            </w:r>
          </w:p>
        </w:tc>
      </w:tr>
      <w:tr w14:paraId="4CA1F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AF46DB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F425BC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00435D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561F50F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粉尘、油烟、有机废气</w:t>
            </w:r>
          </w:p>
        </w:tc>
        <w:tc>
          <w:tcPr>
            <w:tcW w:w="1559" w:type="dxa"/>
            <w:tcBorders>
              <w:tl2br w:val="nil"/>
              <w:tr2bl w:val="nil"/>
            </w:tcBorders>
            <w:vAlign w:val="center"/>
          </w:tcPr>
          <w:p w14:paraId="318CE00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A3402E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油烟经油烟净化器处理后经排烟竖井引至屋顶排放；</w:t>
            </w:r>
          </w:p>
          <w:p w14:paraId="5168A5B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抛丸粉尘经集气罩+布袋除尘处理后经15m高排气筒排放；</w:t>
            </w:r>
          </w:p>
          <w:p w14:paraId="090E146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喷漆废气经集气罩+水帘+活性炭吸附处理后经15m排气筒排放</w:t>
            </w:r>
          </w:p>
        </w:tc>
      </w:tr>
      <w:tr w14:paraId="73E86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CFED0C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C25370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4235F66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13F8E52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33B58F7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1141.376t/a</w:t>
            </w:r>
          </w:p>
        </w:tc>
        <w:tc>
          <w:tcPr>
            <w:tcW w:w="8034" w:type="dxa"/>
            <w:vMerge w:val="restart"/>
            <w:tcBorders>
              <w:tl2br w:val="nil"/>
              <w:tr2bl w:val="nil"/>
            </w:tcBorders>
            <w:vAlign w:val="center"/>
          </w:tcPr>
          <w:p w14:paraId="7B15E0B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粉尘经收集后外售给衡阳钢管厂；</w:t>
            </w:r>
          </w:p>
          <w:p w14:paraId="0A74571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油漆渣、废酒精、铅、铬、镉混合废液、汞、砷混合废液、二硫化碳、三氯甲烷、四氯化碳、正丁醇混合废液等危险固废暂存于危废暂存间，达到一定数量后交由资质单位进行处理；</w:t>
            </w:r>
          </w:p>
          <w:p w14:paraId="4D34ACE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634EF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0E881F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AE0FD0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7628DB2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B31603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6FFA496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2.7t/a</w:t>
            </w:r>
          </w:p>
        </w:tc>
        <w:tc>
          <w:tcPr>
            <w:tcW w:w="8034" w:type="dxa"/>
            <w:vMerge w:val="continue"/>
            <w:tcBorders>
              <w:tl2br w:val="nil"/>
              <w:tr2bl w:val="nil"/>
            </w:tcBorders>
            <w:vAlign w:val="center"/>
          </w:tcPr>
          <w:p w14:paraId="74F1C1E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2B5D6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BDAF068">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28</w:t>
            </w:r>
          </w:p>
        </w:tc>
        <w:tc>
          <w:tcPr>
            <w:tcW w:w="1165" w:type="dxa"/>
            <w:vMerge w:val="restart"/>
            <w:tcBorders>
              <w:tl2br w:val="nil"/>
              <w:tr2bl w:val="nil"/>
            </w:tcBorders>
            <w:vAlign w:val="center"/>
          </w:tcPr>
          <w:p w14:paraId="06F4181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湖南湘硕化工有限公司</w:t>
            </w:r>
          </w:p>
        </w:tc>
        <w:tc>
          <w:tcPr>
            <w:tcW w:w="1134" w:type="dxa"/>
            <w:tcBorders>
              <w:tl2br w:val="nil"/>
              <w:tr2bl w:val="nil"/>
            </w:tcBorders>
            <w:vAlign w:val="center"/>
          </w:tcPr>
          <w:p w14:paraId="429ECA9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875531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、氨氮、SS</w:t>
            </w:r>
          </w:p>
        </w:tc>
        <w:tc>
          <w:tcPr>
            <w:tcW w:w="1559" w:type="dxa"/>
            <w:tcBorders>
              <w:tl2br w:val="nil"/>
              <w:tr2bl w:val="nil"/>
            </w:tcBorders>
            <w:vAlign w:val="center"/>
          </w:tcPr>
          <w:p w14:paraId="0919D20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11758t/a</w:t>
            </w:r>
          </w:p>
        </w:tc>
        <w:tc>
          <w:tcPr>
            <w:tcW w:w="8034" w:type="dxa"/>
            <w:tcBorders>
              <w:tl2br w:val="nil"/>
              <w:tr2bl w:val="nil"/>
            </w:tcBorders>
            <w:vAlign w:val="center"/>
          </w:tcPr>
          <w:p w14:paraId="225C039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硫代卡巴肼、亚硝基二苯胺和硫酸肼母液蒸馏脱水产生的冷凝废水、硫化碱工序母液浓缩蒸发冷凝水经酸碱中和处理后经园区污水管网送松木污水处理厂处理；</w:t>
            </w:r>
          </w:p>
          <w:p w14:paraId="7A67357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锅炉软化水处理产生的浓水经酸碱中和处理后排入雨水管网；</w:t>
            </w:r>
          </w:p>
          <w:p w14:paraId="3ED8E14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车间保洁废水经中和、鸟粪石沉淀处理后经园区污水管网送松木污水处理厂处理；</w:t>
            </w:r>
          </w:p>
          <w:p w14:paraId="29393DA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生活污水经化粪池处理后经污水管网进入松木污水处理厂</w:t>
            </w:r>
          </w:p>
        </w:tc>
      </w:tr>
      <w:tr w14:paraId="2095E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00B86E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51202D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930C6A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626CABE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粉尘、VOC</w:t>
            </w:r>
            <w:r>
              <w:rPr>
                <w:rFonts w:hint="default" w:ascii="Times New Roman" w:hAnsi="Times New Roman" w:eastAsia="宋体" w:cs="Times New Roman"/>
                <w:color w:val="auto"/>
                <w:sz w:val="21"/>
                <w:szCs w:val="21"/>
                <w:highlight w:val="none"/>
                <w:u w:val="none" w:color="auto"/>
                <w:vertAlign w:val="subscript"/>
              </w:rPr>
              <w:t>S</w:t>
            </w:r>
            <w:r>
              <w:rPr>
                <w:rFonts w:hint="default" w:ascii="Times New Roman" w:hAnsi="Times New Roman" w:eastAsia="宋体" w:cs="Times New Roman"/>
                <w:color w:val="auto"/>
                <w:sz w:val="21"/>
                <w:szCs w:val="21"/>
                <w:highlight w:val="none"/>
                <w:u w:val="none" w:color="auto"/>
              </w:rPr>
              <w:t>、硫化氢、SO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r>
              <w:rPr>
                <w:rFonts w:hint="default" w:ascii="Times New Roman" w:hAnsi="Times New Roman" w:eastAsia="宋体" w:cs="Times New Roman"/>
                <w:color w:val="auto"/>
                <w:sz w:val="21"/>
                <w:szCs w:val="21"/>
                <w:highlight w:val="none"/>
                <w:u w:val="none" w:color="auto"/>
              </w:rPr>
              <w:t>、烟尘</w:t>
            </w:r>
          </w:p>
        </w:tc>
        <w:tc>
          <w:tcPr>
            <w:tcW w:w="1559" w:type="dxa"/>
            <w:tcBorders>
              <w:tl2br w:val="nil"/>
              <w:tr2bl w:val="nil"/>
            </w:tcBorders>
            <w:vAlign w:val="center"/>
          </w:tcPr>
          <w:p w14:paraId="339B1B7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3076D2F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三氮唑钾盐/钠盐产品干燥及筛分产生的含尘废气经旋风除尘+布袋除尘净化处理后由15m高排气筒排放；</w:t>
            </w:r>
          </w:p>
          <w:p w14:paraId="1A813C3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吩噻嗪产品粉碎产生的含尘废气经经旋风除尘+布袋除尘净化处理后由15m高排气筒排放；</w:t>
            </w:r>
          </w:p>
          <w:p w14:paraId="20E7230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甲酸工序酸化釜含酸废气及受槽废气经四级水吸收塔处理后由20m高排气筒排放；</w:t>
            </w:r>
          </w:p>
          <w:p w14:paraId="7E789A8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三氮唑成盐釜尾气、氨水分离系统尾气、氨水配置系统尾气等含氨废气经甲酸吸收、水吸收后经20m排气筒排放；</w:t>
            </w:r>
          </w:p>
          <w:p w14:paraId="1FEAA8A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硫化碱工序硫化氢尾气经碱液吸收塔处理后由25m排气筒排放；</w:t>
            </w:r>
          </w:p>
          <w:p w14:paraId="3548948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天然气锅炉烟气经由8m排气筒排放；</w:t>
            </w:r>
          </w:p>
          <w:p w14:paraId="0B22BE9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食堂油烟废气净化处理后通过专用排气筒至屋顶高空排放</w:t>
            </w:r>
          </w:p>
        </w:tc>
      </w:tr>
      <w:tr w14:paraId="0568C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C707C6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6E96A6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5D9B113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D6AC72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5E9C06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28.8t/a</w:t>
            </w:r>
          </w:p>
        </w:tc>
        <w:tc>
          <w:tcPr>
            <w:tcW w:w="8034" w:type="dxa"/>
            <w:tcBorders>
              <w:tl2br w:val="nil"/>
              <w:tr2bl w:val="nil"/>
            </w:tcBorders>
            <w:vAlign w:val="center"/>
          </w:tcPr>
          <w:p w14:paraId="3A1C1D4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0EF54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B333B1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367FEF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3E69A2B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5BC277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24287C9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298.53t/a</w:t>
            </w:r>
          </w:p>
        </w:tc>
        <w:tc>
          <w:tcPr>
            <w:tcW w:w="8034" w:type="dxa"/>
            <w:tcBorders>
              <w:tl2br w:val="nil"/>
              <w:tr2bl w:val="nil"/>
            </w:tcBorders>
            <w:vAlign w:val="center"/>
          </w:tcPr>
          <w:p w14:paraId="4F17AB6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厂区污水处理产生的沉淀渣、N-亚硝基二苯胺车间蒸馏废液等交由有资质单位处置；</w:t>
            </w:r>
          </w:p>
          <w:p w14:paraId="39DC23F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废弃包装材料由厂家回收处理</w:t>
            </w:r>
          </w:p>
        </w:tc>
      </w:tr>
      <w:tr w14:paraId="6AB3A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9EF62F2">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29</w:t>
            </w:r>
          </w:p>
        </w:tc>
        <w:tc>
          <w:tcPr>
            <w:tcW w:w="1165" w:type="dxa"/>
            <w:vMerge w:val="restart"/>
            <w:tcBorders>
              <w:tl2br w:val="nil"/>
              <w:tr2bl w:val="nil"/>
            </w:tcBorders>
            <w:vAlign w:val="center"/>
          </w:tcPr>
          <w:p w14:paraId="5314A46C">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衡阳凌云特种材料有限公司</w:t>
            </w:r>
          </w:p>
        </w:tc>
        <w:tc>
          <w:tcPr>
            <w:tcW w:w="1134" w:type="dxa"/>
            <w:tcBorders>
              <w:tl2br w:val="nil"/>
              <w:tr2bl w:val="nil"/>
            </w:tcBorders>
            <w:vAlign w:val="center"/>
          </w:tcPr>
          <w:p w14:paraId="479F3CD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C0A214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COD、SS、动植物油</w:t>
            </w:r>
          </w:p>
        </w:tc>
        <w:tc>
          <w:tcPr>
            <w:tcW w:w="1559" w:type="dxa"/>
            <w:tcBorders>
              <w:tl2br w:val="nil"/>
              <w:tr2bl w:val="nil"/>
            </w:tcBorders>
            <w:vAlign w:val="center"/>
          </w:tcPr>
          <w:p w14:paraId="59D10E2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4C0C107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硫酸钡反应废水经中和处理后和地面清洗水排入厂区沉淀池，经处理后排入松木污水处理厂处理；</w:t>
            </w:r>
          </w:p>
          <w:p w14:paraId="61186EE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反应釜冷却水循环使用；</w:t>
            </w:r>
          </w:p>
          <w:p w14:paraId="5DEB1E7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涂料制备反应废水用桶集中收集，蒸馏回收其醇类物质；</w:t>
            </w:r>
          </w:p>
          <w:p w14:paraId="6CFF490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生活污水（食堂废水经隔油）经化粪池处理后进入松木污水处理厂处理</w:t>
            </w:r>
          </w:p>
        </w:tc>
      </w:tr>
      <w:tr w14:paraId="2EDD4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18F4E1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D923AE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C510FA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34B85A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硫酸雾、粉尘</w:t>
            </w:r>
          </w:p>
        </w:tc>
        <w:tc>
          <w:tcPr>
            <w:tcW w:w="1559" w:type="dxa"/>
            <w:tcBorders>
              <w:tl2br w:val="nil"/>
              <w:tr2bl w:val="nil"/>
            </w:tcBorders>
            <w:vAlign w:val="center"/>
          </w:tcPr>
          <w:p w14:paraId="3C9D732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4EF91EE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涂料浸涂废气采用光解处理后经15m排气筒排放；</w:t>
            </w:r>
          </w:p>
          <w:p w14:paraId="274D1F5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硫酸钡破碎含尘废气采用布袋除尘器处理后经15m排气筒排放；</w:t>
            </w:r>
          </w:p>
          <w:p w14:paraId="1938571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硫酸雾废气采用集气罩收集+碱液吸收处理后经15m排气筒排放；</w:t>
            </w:r>
          </w:p>
        </w:tc>
      </w:tr>
      <w:tr w14:paraId="58B35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B24E12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258ED3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7AE5913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7FBF7D8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B081B3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41t/a</w:t>
            </w:r>
          </w:p>
        </w:tc>
        <w:tc>
          <w:tcPr>
            <w:tcW w:w="8034" w:type="dxa"/>
            <w:vMerge w:val="restart"/>
            <w:tcBorders>
              <w:tl2br w:val="nil"/>
              <w:tr2bl w:val="nil"/>
            </w:tcBorders>
            <w:vAlign w:val="center"/>
          </w:tcPr>
          <w:p w14:paraId="6B1E983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 xml:space="preserve">生活垃圾交由环卫人员清运； </w:t>
            </w:r>
          </w:p>
          <w:p w14:paraId="0715D21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原料包装桶收集于仓库，出售给废品站；</w:t>
            </w:r>
          </w:p>
          <w:p w14:paraId="4B8E14B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废危险化学品包装袋由厂家进行回收利用</w:t>
            </w:r>
          </w:p>
        </w:tc>
      </w:tr>
      <w:tr w14:paraId="15E42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EDEC20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EFE72F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007D92E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5AA7FBD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2C902C2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2.4t/a</w:t>
            </w:r>
          </w:p>
        </w:tc>
        <w:tc>
          <w:tcPr>
            <w:tcW w:w="8034" w:type="dxa"/>
            <w:vMerge w:val="continue"/>
            <w:tcBorders>
              <w:tl2br w:val="nil"/>
              <w:tr2bl w:val="nil"/>
            </w:tcBorders>
            <w:vAlign w:val="center"/>
          </w:tcPr>
          <w:p w14:paraId="3ECB9B1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50BF6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5FF0D5A">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30</w:t>
            </w:r>
          </w:p>
        </w:tc>
        <w:tc>
          <w:tcPr>
            <w:tcW w:w="1165" w:type="dxa"/>
            <w:vMerge w:val="restart"/>
            <w:tcBorders>
              <w:tl2br w:val="nil"/>
              <w:tr2bl w:val="nil"/>
            </w:tcBorders>
            <w:vAlign w:val="center"/>
          </w:tcPr>
          <w:p w14:paraId="4DD30B7B">
            <w:pPr>
              <w:keepNext w:val="0"/>
              <w:keepLines w:val="0"/>
              <w:pageBreakBefore w:val="0"/>
              <w:widowControl/>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衡阳市鑫晟新能源有限公司</w:t>
            </w:r>
          </w:p>
        </w:tc>
        <w:tc>
          <w:tcPr>
            <w:tcW w:w="1134" w:type="dxa"/>
            <w:tcBorders>
              <w:tl2br w:val="nil"/>
              <w:tr2bl w:val="nil"/>
            </w:tcBorders>
            <w:vAlign w:val="center"/>
          </w:tcPr>
          <w:p w14:paraId="7DB696A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72714FE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COD、SS、氨氮</w:t>
            </w:r>
          </w:p>
        </w:tc>
        <w:tc>
          <w:tcPr>
            <w:tcW w:w="1559" w:type="dxa"/>
            <w:tcBorders>
              <w:tl2br w:val="nil"/>
              <w:tr2bl w:val="nil"/>
            </w:tcBorders>
            <w:vAlign w:val="center"/>
          </w:tcPr>
          <w:p w14:paraId="5F88872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687D8B4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拖地废水、离子交换树脂再生废水经中和+沉淀处理后回用于地面拖地；</w:t>
            </w:r>
          </w:p>
          <w:p w14:paraId="2F95F5F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生活污水经化粪池预处理后进入经开区污水管网，最终进入松木污水处理厂进行处理</w:t>
            </w:r>
          </w:p>
        </w:tc>
      </w:tr>
      <w:tr w14:paraId="7FF3C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90F16F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E60AF2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6AED343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4CB0AB0">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有机废气</w:t>
            </w:r>
          </w:p>
        </w:tc>
        <w:tc>
          <w:tcPr>
            <w:tcW w:w="1559" w:type="dxa"/>
            <w:tcBorders>
              <w:tl2br w:val="nil"/>
              <w:tr2bl w:val="nil"/>
            </w:tcBorders>
            <w:vAlign w:val="center"/>
          </w:tcPr>
          <w:p w14:paraId="482772D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BE4596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涂布工序烘干废气经活性炭吸附后经20m排气筒排放；</w:t>
            </w:r>
          </w:p>
          <w:p w14:paraId="1E48BF8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电解液废气经活性炭吸附后经20m排气筒排放；</w:t>
            </w:r>
          </w:p>
          <w:p w14:paraId="6D6435C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配料粉尘经集气罩+布袋除尘后返回配料工序</w:t>
            </w:r>
          </w:p>
        </w:tc>
      </w:tr>
      <w:tr w14:paraId="1D9CE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D6FE9E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97B92C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7CBC2D8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18D454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7466EC5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40.285t/a</w:t>
            </w:r>
          </w:p>
        </w:tc>
        <w:tc>
          <w:tcPr>
            <w:tcW w:w="8034" w:type="dxa"/>
            <w:vMerge w:val="restart"/>
            <w:tcBorders>
              <w:tl2br w:val="nil"/>
              <w:tr2bl w:val="nil"/>
            </w:tcBorders>
            <w:vAlign w:val="center"/>
          </w:tcPr>
          <w:p w14:paraId="654E854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生活垃圾交由环卫人员清运；</w:t>
            </w:r>
          </w:p>
          <w:p w14:paraId="045C26A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废铜箔、废铝箔、废隔膜、废极耳等一般固废收集后外售；</w:t>
            </w:r>
          </w:p>
          <w:p w14:paraId="0217DD4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废抹布、废手套、废电池、废包装材料、废活性炭、NMP冷凝回收液、废离子交换树脂、配料车间地面废渣等危险固废交由资质单位进行处理</w:t>
            </w:r>
          </w:p>
        </w:tc>
      </w:tr>
      <w:tr w14:paraId="249B6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9E94C1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6B60AD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3146A32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471A549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3A263CA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45.9t/a</w:t>
            </w:r>
          </w:p>
        </w:tc>
        <w:tc>
          <w:tcPr>
            <w:tcW w:w="8034" w:type="dxa"/>
            <w:vMerge w:val="continue"/>
            <w:tcBorders>
              <w:tl2br w:val="nil"/>
              <w:tr2bl w:val="nil"/>
            </w:tcBorders>
            <w:vAlign w:val="center"/>
          </w:tcPr>
          <w:p w14:paraId="63C2943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7799B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F9C37A6">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31</w:t>
            </w:r>
          </w:p>
        </w:tc>
        <w:tc>
          <w:tcPr>
            <w:tcW w:w="1165" w:type="dxa"/>
            <w:vMerge w:val="restart"/>
            <w:tcBorders>
              <w:tl2br w:val="nil"/>
              <w:tr2bl w:val="nil"/>
            </w:tcBorders>
            <w:vAlign w:val="center"/>
          </w:tcPr>
          <w:p w14:paraId="436F77A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衡阳瑞达电源有限公司</w:t>
            </w:r>
          </w:p>
        </w:tc>
        <w:tc>
          <w:tcPr>
            <w:tcW w:w="1134" w:type="dxa"/>
            <w:tcBorders>
              <w:tl2br w:val="nil"/>
              <w:tr2bl w:val="nil"/>
            </w:tcBorders>
            <w:vAlign w:val="center"/>
          </w:tcPr>
          <w:p w14:paraId="54DEEA6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B4F89D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、SS、COD、铅、酸</w:t>
            </w:r>
          </w:p>
        </w:tc>
        <w:tc>
          <w:tcPr>
            <w:tcW w:w="1559" w:type="dxa"/>
            <w:tcBorders>
              <w:tl2br w:val="nil"/>
              <w:tr2bl w:val="nil"/>
            </w:tcBorders>
            <w:vAlign w:val="center"/>
          </w:tcPr>
          <w:p w14:paraId="63ACD8B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29170m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4551466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涂膏、化成工序和设备冲洗、地面冲洗等生产废水经厂区污水处理站处理达标后排入园区污水管网，进入松木污水处理厂进行处理，厂区污水处理站采用“隔油沉淀+混凝沉淀+砂滤”工艺；</w:t>
            </w:r>
          </w:p>
          <w:p w14:paraId="3FC122A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生活污水经化粪池预处理后进入经开区污水管网，最终经松木污水处理厂处理达标后排至湘江；</w:t>
            </w:r>
          </w:p>
        </w:tc>
      </w:tr>
      <w:tr w14:paraId="24E42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77E502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416D35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F670AC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0108FB2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铅尘、硫酸雾</w:t>
            </w:r>
          </w:p>
        </w:tc>
        <w:tc>
          <w:tcPr>
            <w:tcW w:w="1559" w:type="dxa"/>
            <w:tcBorders>
              <w:tl2br w:val="nil"/>
              <w:tr2bl w:val="nil"/>
            </w:tcBorders>
            <w:vAlign w:val="center"/>
          </w:tcPr>
          <w:p w14:paraId="386598A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66DEDA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铅尘采用一级布袋除尘+一级水喷淋处理方法处理后经18m排气筒排放（共5个）；</w:t>
            </w:r>
          </w:p>
          <w:p w14:paraId="681F058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硫酸雾采用物理捕捉+碱液吸收的逆流洗涤方法处理后经15m排气筒排放</w:t>
            </w:r>
          </w:p>
        </w:tc>
      </w:tr>
      <w:tr w14:paraId="427B4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584643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F767B2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4E1BD8C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6037359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8DBDB7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80t/a</w:t>
            </w:r>
          </w:p>
        </w:tc>
        <w:tc>
          <w:tcPr>
            <w:tcW w:w="8034" w:type="dxa"/>
            <w:vMerge w:val="restart"/>
            <w:tcBorders>
              <w:tl2br w:val="nil"/>
              <w:tr2bl w:val="nil"/>
            </w:tcBorders>
            <w:vAlign w:val="center"/>
          </w:tcPr>
          <w:p w14:paraId="1B58E9A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对于铅渣、铅泥、铅膏、铅尘、废水处理站污泥、废弃劳保用品等危险废物，公司采用统一收集后委托资质单位进行处理；废酸由供应商进行回收处置；</w:t>
            </w:r>
          </w:p>
          <w:p w14:paraId="3F03580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28162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2D5DF0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6B80D6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60D5D35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BBDBB7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w:t>
            </w:r>
          </w:p>
        </w:tc>
        <w:tc>
          <w:tcPr>
            <w:tcW w:w="1559" w:type="dxa"/>
            <w:tcBorders>
              <w:tl2br w:val="nil"/>
              <w:tr2bl w:val="nil"/>
            </w:tcBorders>
            <w:vAlign w:val="center"/>
          </w:tcPr>
          <w:p w14:paraId="45615FD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293.29t/a</w:t>
            </w:r>
          </w:p>
        </w:tc>
        <w:tc>
          <w:tcPr>
            <w:tcW w:w="8034" w:type="dxa"/>
            <w:vMerge w:val="continue"/>
            <w:tcBorders>
              <w:tl2br w:val="nil"/>
              <w:tr2bl w:val="nil"/>
            </w:tcBorders>
            <w:vAlign w:val="center"/>
          </w:tcPr>
          <w:p w14:paraId="00C8FF2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31F1F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5C91AA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32</w:t>
            </w:r>
          </w:p>
        </w:tc>
        <w:tc>
          <w:tcPr>
            <w:tcW w:w="1165" w:type="dxa"/>
            <w:vMerge w:val="restart"/>
            <w:tcBorders>
              <w:tl2br w:val="nil"/>
              <w:tr2bl w:val="nil"/>
            </w:tcBorders>
            <w:vAlign w:val="center"/>
          </w:tcPr>
          <w:p w14:paraId="2808E46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衡阳瑞科电源有限公司</w:t>
            </w:r>
          </w:p>
        </w:tc>
        <w:tc>
          <w:tcPr>
            <w:tcW w:w="1134" w:type="dxa"/>
            <w:tcBorders>
              <w:tl2br w:val="nil"/>
              <w:tr2bl w:val="nil"/>
            </w:tcBorders>
            <w:vAlign w:val="center"/>
          </w:tcPr>
          <w:p w14:paraId="711E2A0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00AF74BB">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、COD、SS、氨氮</w:t>
            </w:r>
          </w:p>
        </w:tc>
        <w:tc>
          <w:tcPr>
            <w:tcW w:w="1559" w:type="dxa"/>
            <w:tcBorders>
              <w:tl2br w:val="nil"/>
              <w:tr2bl w:val="nil"/>
            </w:tcBorders>
            <w:vAlign w:val="center"/>
          </w:tcPr>
          <w:p w14:paraId="6EB477A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1656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29E49DA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洗手废水、地面冲洗废水经三级过滤后排至清水池循环利用；</w:t>
            </w:r>
          </w:p>
          <w:p w14:paraId="08F7726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生活污水化粪池处理后经经开区污水管网进入松木污水处理厂进行处理</w:t>
            </w:r>
          </w:p>
        </w:tc>
      </w:tr>
      <w:tr w14:paraId="7927B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E15DAA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EA1675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25F9918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5170480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铅烟、铅尘、硫酸雾</w:t>
            </w:r>
          </w:p>
        </w:tc>
        <w:tc>
          <w:tcPr>
            <w:tcW w:w="1559" w:type="dxa"/>
            <w:tcBorders>
              <w:tl2br w:val="nil"/>
              <w:tr2bl w:val="nil"/>
            </w:tcBorders>
            <w:vAlign w:val="center"/>
          </w:tcPr>
          <w:p w14:paraId="018B0FB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14400000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37EEDC1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焊接烟气及包极组、装壳过程中产生的铅尘经吸尘罩+HKE铅烟净化处理装置+活性炭进行处理后经25m排气筒排放；</w:t>
            </w:r>
          </w:p>
          <w:p w14:paraId="1B62021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硫酸雾采用酸雾收集中和装置进行处理后外排</w:t>
            </w:r>
          </w:p>
        </w:tc>
      </w:tr>
      <w:tr w14:paraId="12509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C9D489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6BB006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47EE33C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E9DB02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5AD6488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2.5t/a</w:t>
            </w:r>
          </w:p>
        </w:tc>
        <w:tc>
          <w:tcPr>
            <w:tcW w:w="8034" w:type="dxa"/>
            <w:vMerge w:val="restart"/>
            <w:tcBorders>
              <w:tl2br w:val="nil"/>
              <w:tr2bl w:val="nil"/>
            </w:tcBorders>
            <w:vAlign w:val="center"/>
          </w:tcPr>
          <w:p w14:paraId="4CCC560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4AAE929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铅尘、废活性炭、铅渣、废电池、废劳保用品等危险固废暂存于危废暂存库中进行存储，达到一定数量后交由资质单位进行处理；</w:t>
            </w:r>
          </w:p>
          <w:p w14:paraId="14318A9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离子交换树脂返回厂家进行处理</w:t>
            </w:r>
          </w:p>
        </w:tc>
      </w:tr>
      <w:tr w14:paraId="10343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406781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5F5543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18DACF1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4E2FD6E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351093F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5.605t/a</w:t>
            </w:r>
          </w:p>
        </w:tc>
        <w:tc>
          <w:tcPr>
            <w:tcW w:w="8034" w:type="dxa"/>
            <w:vMerge w:val="continue"/>
            <w:tcBorders>
              <w:tl2br w:val="nil"/>
              <w:tr2bl w:val="nil"/>
            </w:tcBorders>
            <w:vAlign w:val="center"/>
          </w:tcPr>
          <w:p w14:paraId="69C4BC2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281D9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F885C63">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33</w:t>
            </w:r>
          </w:p>
        </w:tc>
        <w:tc>
          <w:tcPr>
            <w:tcW w:w="1165" w:type="dxa"/>
            <w:vMerge w:val="restart"/>
            <w:tcBorders>
              <w:tl2br w:val="nil"/>
              <w:tr2bl w:val="nil"/>
            </w:tcBorders>
            <w:vAlign w:val="center"/>
          </w:tcPr>
          <w:p w14:paraId="3C70506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电科电源（深圳）有限公司</w:t>
            </w:r>
          </w:p>
        </w:tc>
        <w:tc>
          <w:tcPr>
            <w:tcW w:w="1134" w:type="dxa"/>
            <w:tcBorders>
              <w:tl2br w:val="nil"/>
              <w:tr2bl w:val="nil"/>
            </w:tcBorders>
            <w:vAlign w:val="center"/>
          </w:tcPr>
          <w:p w14:paraId="43C5FE1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89A4CC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COD、SS、氨氮</w:t>
            </w:r>
          </w:p>
        </w:tc>
        <w:tc>
          <w:tcPr>
            <w:tcW w:w="1559" w:type="dxa"/>
            <w:tcBorders>
              <w:tl2br w:val="nil"/>
              <w:tr2bl w:val="nil"/>
            </w:tcBorders>
            <w:vAlign w:val="center"/>
          </w:tcPr>
          <w:p w14:paraId="426EA4A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52830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4A9C883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生产废水进行沉淀处理后循环使用；</w:t>
            </w:r>
          </w:p>
          <w:p w14:paraId="591176D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生活污水经化粪池预处理后进入经开区污水管网入松木污水处理厂进行处理</w:t>
            </w:r>
          </w:p>
        </w:tc>
      </w:tr>
      <w:tr w14:paraId="32DB7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A8F6E2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CB74F9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B86281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09341FA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镍尘、镉尘</w:t>
            </w:r>
          </w:p>
        </w:tc>
        <w:tc>
          <w:tcPr>
            <w:tcW w:w="1559" w:type="dxa"/>
            <w:tcBorders>
              <w:tl2br w:val="nil"/>
              <w:tr2bl w:val="nil"/>
            </w:tcBorders>
            <w:vAlign w:val="center"/>
          </w:tcPr>
          <w:p w14:paraId="58C8722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19001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666BFA0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正极清粉产生的镍尘采用集气管道+布袋除尘处理后经15m排气筒排放；</w:t>
            </w:r>
          </w:p>
          <w:p w14:paraId="02BFD0E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负极清粉产生的镉尘采用集气管道+水浴除尘处理后经15m排气筒排放</w:t>
            </w:r>
          </w:p>
        </w:tc>
      </w:tr>
      <w:tr w14:paraId="558721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9AC337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5003AF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0BE010A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34AB915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5E5E8F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330t/a</w:t>
            </w:r>
          </w:p>
        </w:tc>
        <w:tc>
          <w:tcPr>
            <w:tcW w:w="8034" w:type="dxa"/>
            <w:vMerge w:val="restart"/>
            <w:tcBorders>
              <w:tl2br w:val="nil"/>
              <w:tr2bl w:val="nil"/>
            </w:tcBorders>
            <w:vAlign w:val="center"/>
          </w:tcPr>
          <w:p w14:paraId="6B6525A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正极清粉废气布袋收尘返回生产线重复利用；</w:t>
            </w:r>
          </w:p>
          <w:p w14:paraId="1C85BC6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镍材料桶、镉材料包装袋、职工防护受体、废水处理池污泥及水浴除尘沉渣等危险固废委托资质单位进行处理；</w:t>
            </w:r>
          </w:p>
          <w:p w14:paraId="4F04B87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6EF20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24810E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933E97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313C1BC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78F3D1B7">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63B4AC3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42.548t/a</w:t>
            </w:r>
          </w:p>
        </w:tc>
        <w:tc>
          <w:tcPr>
            <w:tcW w:w="8034" w:type="dxa"/>
            <w:vMerge w:val="continue"/>
            <w:tcBorders>
              <w:tl2br w:val="nil"/>
              <w:tr2bl w:val="nil"/>
            </w:tcBorders>
            <w:vAlign w:val="center"/>
          </w:tcPr>
          <w:p w14:paraId="746016C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75116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5EB7EBC">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34</w:t>
            </w:r>
          </w:p>
        </w:tc>
        <w:tc>
          <w:tcPr>
            <w:tcW w:w="1165" w:type="dxa"/>
            <w:vMerge w:val="restart"/>
            <w:tcBorders>
              <w:tl2br w:val="nil"/>
              <w:tr2bl w:val="nil"/>
            </w:tcBorders>
            <w:vAlign w:val="center"/>
          </w:tcPr>
          <w:p w14:paraId="0CDC1CB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衡阳市天然气有限公司</w:t>
            </w:r>
          </w:p>
        </w:tc>
        <w:tc>
          <w:tcPr>
            <w:tcW w:w="1134" w:type="dxa"/>
            <w:tcBorders>
              <w:tl2br w:val="nil"/>
              <w:tr2bl w:val="nil"/>
            </w:tcBorders>
            <w:vAlign w:val="center"/>
          </w:tcPr>
          <w:p w14:paraId="3B67679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5AA97233">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COD、SS、氨氮</w:t>
            </w:r>
          </w:p>
        </w:tc>
        <w:tc>
          <w:tcPr>
            <w:tcW w:w="1559" w:type="dxa"/>
            <w:tcBorders>
              <w:tl2br w:val="nil"/>
              <w:tr2bl w:val="nil"/>
            </w:tcBorders>
            <w:vAlign w:val="center"/>
          </w:tcPr>
          <w:p w14:paraId="52F8F25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548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2A36B40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不产生工艺废水；</w:t>
            </w:r>
          </w:p>
          <w:p w14:paraId="74D4E31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食堂废水经隔油池处理</w:t>
            </w:r>
            <w:r>
              <w:rPr>
                <w:rFonts w:hint="eastAsia" w:ascii="Times New Roman" w:hAnsi="Times New Roman" w:eastAsia="宋体" w:cs="Times New Roman"/>
                <w:color w:val="auto"/>
                <w:sz w:val="21"/>
                <w:szCs w:val="21"/>
                <w:highlight w:val="none"/>
                <w:u w:val="none" w:color="auto"/>
                <w:lang w:eastAsia="zh-CN"/>
              </w:rPr>
              <w:t>后</w:t>
            </w:r>
            <w:r>
              <w:rPr>
                <w:rFonts w:hint="default" w:ascii="Times New Roman" w:hAnsi="Times New Roman" w:eastAsia="宋体" w:cs="Times New Roman"/>
                <w:color w:val="auto"/>
                <w:sz w:val="21"/>
                <w:szCs w:val="21"/>
                <w:highlight w:val="none"/>
                <w:u w:val="none" w:color="auto"/>
              </w:rPr>
              <w:t>与生活污水合流经化粪池处理，处理后的废水经经开区污水管网进入松木污水处理厂进行处理</w:t>
            </w:r>
          </w:p>
        </w:tc>
      </w:tr>
      <w:tr w14:paraId="40514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B7600D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5F3FCF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1CBE12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1F15C36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甲烷、油烟</w:t>
            </w:r>
          </w:p>
        </w:tc>
        <w:tc>
          <w:tcPr>
            <w:tcW w:w="1559" w:type="dxa"/>
            <w:tcBorders>
              <w:tl2br w:val="nil"/>
              <w:tr2bl w:val="nil"/>
            </w:tcBorders>
            <w:vAlign w:val="center"/>
          </w:tcPr>
          <w:p w14:paraId="7EC3E6C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84C47E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放空废气在放空管处进行燃烧；</w:t>
            </w:r>
          </w:p>
          <w:p w14:paraId="1C64A68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油烟废气经油烟净化器处理后经屋顶排放</w:t>
            </w:r>
          </w:p>
        </w:tc>
      </w:tr>
      <w:tr w14:paraId="0E05C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4E3250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FF46FA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6ED46A8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6E284B82">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B9B2BE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7.001t/a</w:t>
            </w:r>
          </w:p>
        </w:tc>
        <w:tc>
          <w:tcPr>
            <w:tcW w:w="8034" w:type="dxa"/>
            <w:tcBorders>
              <w:tl2br w:val="nil"/>
              <w:tr2bl w:val="nil"/>
            </w:tcBorders>
            <w:vAlign w:val="center"/>
          </w:tcPr>
          <w:p w14:paraId="47BB3C2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清管产生的废渣送专业回收单位回收处理；</w:t>
            </w:r>
          </w:p>
          <w:p w14:paraId="2E7F78B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50D82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F82596A">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35</w:t>
            </w:r>
          </w:p>
        </w:tc>
        <w:tc>
          <w:tcPr>
            <w:tcW w:w="1165" w:type="dxa"/>
            <w:vMerge w:val="restart"/>
            <w:tcBorders>
              <w:tl2br w:val="nil"/>
              <w:tr2bl w:val="nil"/>
            </w:tcBorders>
            <w:vAlign w:val="center"/>
          </w:tcPr>
          <w:p w14:paraId="110640A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衡阳理昂生物质发电有限公司</w:t>
            </w:r>
          </w:p>
        </w:tc>
        <w:tc>
          <w:tcPr>
            <w:tcW w:w="1134" w:type="dxa"/>
            <w:tcBorders>
              <w:tl2br w:val="nil"/>
              <w:tr2bl w:val="nil"/>
            </w:tcBorders>
            <w:vAlign w:val="center"/>
          </w:tcPr>
          <w:p w14:paraId="709E00E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77B4A53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360AA58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616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2F35E9D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锅炉排污水、化学水处理系统排水收集后回用于干灰调湿、地面冲洗和绿化；</w:t>
            </w:r>
          </w:p>
          <w:p w14:paraId="0F4B4E1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地面冲洗水经油水分离器处理后进入经开区污水管网，最终进入松木污水处理厂进行处理；</w:t>
            </w:r>
          </w:p>
          <w:p w14:paraId="1336E3D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生活污水</w:t>
            </w:r>
            <w:r>
              <w:rPr>
                <w:rFonts w:hint="default" w:ascii="Times New Roman" w:hAnsi="Times New Roman" w:eastAsia="宋体" w:cs="Times New Roman"/>
                <w:color w:val="auto"/>
                <w:sz w:val="21"/>
                <w:szCs w:val="21"/>
                <w:highlight w:val="none"/>
                <w:u w:val="none" w:color="auto"/>
              </w:rPr>
              <w:t>经化粪池预处理后进入经开区污水管网，最终进入松木污水处理厂进行处理</w:t>
            </w:r>
          </w:p>
        </w:tc>
      </w:tr>
      <w:tr w14:paraId="4CA86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6B3463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890E9A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177318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19E0B70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粉尘、二氧化硫</w:t>
            </w:r>
          </w:p>
        </w:tc>
        <w:tc>
          <w:tcPr>
            <w:tcW w:w="1559" w:type="dxa"/>
            <w:tcBorders>
              <w:tl2br w:val="nil"/>
              <w:tr2bl w:val="nil"/>
            </w:tcBorders>
            <w:vAlign w:val="center"/>
          </w:tcPr>
          <w:p w14:paraId="47B2C05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7B97FD5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锅炉废气采用脉冲布袋除尘进行处理，处理后经80m排气筒排放；</w:t>
            </w:r>
          </w:p>
          <w:p w14:paraId="2F71B61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食堂油烟经净化处理后经排气筒排放</w:t>
            </w:r>
          </w:p>
        </w:tc>
      </w:tr>
      <w:tr w14:paraId="291A5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B43F67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6F71E9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0FC8CDE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34F8E37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1AABEB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21t/a</w:t>
            </w:r>
          </w:p>
        </w:tc>
        <w:tc>
          <w:tcPr>
            <w:tcW w:w="8034" w:type="dxa"/>
            <w:vMerge w:val="restart"/>
            <w:tcBorders>
              <w:tl2br w:val="nil"/>
              <w:tr2bl w:val="nil"/>
            </w:tcBorders>
            <w:vAlign w:val="center"/>
          </w:tcPr>
          <w:p w14:paraId="3D63ABF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3743175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飞灰、底渣全部外售综合利用</w:t>
            </w:r>
          </w:p>
        </w:tc>
      </w:tr>
      <w:tr w14:paraId="40F53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CBCFE4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34810E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505213A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2E77B4F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4D04C2F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vMerge w:val="continue"/>
            <w:tcBorders>
              <w:tl2br w:val="nil"/>
              <w:tr2bl w:val="nil"/>
            </w:tcBorders>
            <w:vAlign w:val="center"/>
          </w:tcPr>
          <w:p w14:paraId="5369ECF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656F3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11E8B4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36</w:t>
            </w:r>
          </w:p>
        </w:tc>
        <w:tc>
          <w:tcPr>
            <w:tcW w:w="1165" w:type="dxa"/>
            <w:vMerge w:val="restart"/>
            <w:tcBorders>
              <w:tl2br w:val="nil"/>
              <w:tr2bl w:val="nil"/>
            </w:tcBorders>
            <w:vAlign w:val="center"/>
          </w:tcPr>
          <w:p w14:paraId="13D4163C">
            <w:pPr>
              <w:keepNext w:val="0"/>
              <w:keepLines w:val="0"/>
              <w:pageBreakBefore w:val="0"/>
              <w:widowControl/>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衡阳恒荣高纯半导体材料有限公司</w:t>
            </w:r>
          </w:p>
        </w:tc>
        <w:tc>
          <w:tcPr>
            <w:tcW w:w="1134" w:type="dxa"/>
            <w:tcBorders>
              <w:tl2br w:val="nil"/>
              <w:tr2bl w:val="nil"/>
            </w:tcBorders>
            <w:vAlign w:val="center"/>
          </w:tcPr>
          <w:p w14:paraId="16F4B31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D9C6DA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1559" w:type="dxa"/>
            <w:tcBorders>
              <w:tl2br w:val="nil"/>
              <w:tr2bl w:val="nil"/>
            </w:tcBorders>
            <w:vAlign w:val="center"/>
          </w:tcPr>
          <w:p w14:paraId="3ACC547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D7DC80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循环冷却系统排污水和高纯水制备产生的反渗透浓水进入雨水系统；</w:t>
            </w:r>
          </w:p>
          <w:p w14:paraId="0388BDB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工艺废水进入恒光污水处理站</w:t>
            </w:r>
          </w:p>
        </w:tc>
      </w:tr>
      <w:tr w14:paraId="7ADB1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E5F34D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2D3493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4BDCED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4CE264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1559" w:type="dxa"/>
            <w:tcBorders>
              <w:tl2br w:val="nil"/>
              <w:tr2bl w:val="nil"/>
            </w:tcBorders>
            <w:vAlign w:val="center"/>
          </w:tcPr>
          <w:p w14:paraId="11A0FF5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52A42C5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工艺废气采用喷淋（水为吸收液）+二级逆流吸收处理后经25m排气筒排放</w:t>
            </w:r>
          </w:p>
        </w:tc>
      </w:tr>
      <w:tr w14:paraId="44F9D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DF46C2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6540AF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A68BD2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4A84623">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C1CCAC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469.73t/a</w:t>
            </w:r>
          </w:p>
        </w:tc>
        <w:tc>
          <w:tcPr>
            <w:tcW w:w="8034" w:type="dxa"/>
            <w:tcBorders>
              <w:tl2br w:val="nil"/>
              <w:tr2bl w:val="nil"/>
            </w:tcBorders>
            <w:vAlign w:val="center"/>
          </w:tcPr>
          <w:p w14:paraId="0D69D47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稀盐酸交由建滔进行回收；</w:t>
            </w:r>
          </w:p>
          <w:p w14:paraId="6F98E5B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二氧化锗废渣进行蒸发浓缩回用于氯化工序；</w:t>
            </w:r>
          </w:p>
          <w:p w14:paraId="5214DA4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58A85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E3A8A6E">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37</w:t>
            </w:r>
          </w:p>
        </w:tc>
        <w:tc>
          <w:tcPr>
            <w:tcW w:w="1165" w:type="dxa"/>
            <w:vMerge w:val="restart"/>
            <w:tcBorders>
              <w:tl2br w:val="nil"/>
              <w:tr2bl w:val="nil"/>
            </w:tcBorders>
            <w:vAlign w:val="center"/>
          </w:tcPr>
          <w:p w14:paraId="4A3F145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湖南鸿胜物流有限公司</w:t>
            </w:r>
          </w:p>
        </w:tc>
        <w:tc>
          <w:tcPr>
            <w:tcW w:w="1134" w:type="dxa"/>
            <w:tcBorders>
              <w:tl2br w:val="nil"/>
              <w:tr2bl w:val="nil"/>
            </w:tcBorders>
            <w:vAlign w:val="center"/>
          </w:tcPr>
          <w:p w14:paraId="71596A5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73EDE8FB">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4D5B0C3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58887D5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生活污水经化粪池预处理后经经开区污水管网进入松木污水处理厂进行处理</w:t>
            </w:r>
          </w:p>
        </w:tc>
      </w:tr>
      <w:tr w14:paraId="51BA7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9BC1F7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4625E4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D90672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040A08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汽车尾气</w:t>
            </w:r>
          </w:p>
        </w:tc>
        <w:tc>
          <w:tcPr>
            <w:tcW w:w="1559" w:type="dxa"/>
            <w:tcBorders>
              <w:tl2br w:val="nil"/>
              <w:tr2bl w:val="nil"/>
            </w:tcBorders>
            <w:vAlign w:val="center"/>
          </w:tcPr>
          <w:p w14:paraId="0981EF8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48D7FC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不进行处理，直接排至大气中</w:t>
            </w:r>
          </w:p>
        </w:tc>
      </w:tr>
      <w:tr w14:paraId="062F3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EB8826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3ED957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F335AC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366677E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318FED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7163CD4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62C9B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FB2B690">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38</w:t>
            </w:r>
          </w:p>
        </w:tc>
        <w:tc>
          <w:tcPr>
            <w:tcW w:w="1165" w:type="dxa"/>
            <w:vMerge w:val="restart"/>
            <w:tcBorders>
              <w:tl2br w:val="nil"/>
              <w:tr2bl w:val="nil"/>
            </w:tcBorders>
            <w:vAlign w:val="center"/>
          </w:tcPr>
          <w:p w14:paraId="3675E21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衡阳市大源投资置业有限公司（雁城物流）</w:t>
            </w:r>
          </w:p>
        </w:tc>
        <w:tc>
          <w:tcPr>
            <w:tcW w:w="1134" w:type="dxa"/>
            <w:tcBorders>
              <w:tl2br w:val="nil"/>
              <w:tr2bl w:val="nil"/>
            </w:tcBorders>
            <w:vAlign w:val="center"/>
          </w:tcPr>
          <w:p w14:paraId="7846E21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7C3FA43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3054A09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490909A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生活污水经化粪池预处理后进入107国道市政污水管网</w:t>
            </w:r>
          </w:p>
        </w:tc>
      </w:tr>
      <w:tr w14:paraId="2408B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199A05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F7CFFB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7D17BEC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532D5F6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汽车尾气</w:t>
            </w:r>
          </w:p>
        </w:tc>
        <w:tc>
          <w:tcPr>
            <w:tcW w:w="1559" w:type="dxa"/>
            <w:tcBorders>
              <w:tl2br w:val="nil"/>
              <w:tr2bl w:val="nil"/>
            </w:tcBorders>
            <w:vAlign w:val="center"/>
          </w:tcPr>
          <w:p w14:paraId="057E351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823D51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不进行处理，直接排至大气中</w:t>
            </w:r>
          </w:p>
        </w:tc>
      </w:tr>
      <w:tr w14:paraId="248FD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A7BB39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CA2AD6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2F19B6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31DA8D1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01A585D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A08C0B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399CF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3522F6C">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39</w:t>
            </w:r>
          </w:p>
        </w:tc>
        <w:tc>
          <w:tcPr>
            <w:tcW w:w="1165" w:type="dxa"/>
            <w:vMerge w:val="restart"/>
            <w:tcBorders>
              <w:tl2br w:val="nil"/>
              <w:tr2bl w:val="nil"/>
            </w:tcBorders>
            <w:vAlign w:val="center"/>
          </w:tcPr>
          <w:p w14:paraId="112235B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衡阳市盛泰物流有限公司</w:t>
            </w:r>
          </w:p>
        </w:tc>
        <w:tc>
          <w:tcPr>
            <w:tcW w:w="1134" w:type="dxa"/>
            <w:tcBorders>
              <w:tl2br w:val="nil"/>
              <w:tr2bl w:val="nil"/>
            </w:tcBorders>
            <w:vAlign w:val="center"/>
          </w:tcPr>
          <w:p w14:paraId="3B045E2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189B3E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62D1113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2F3CB4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生活污水经化粪池预处理后经经开区污水管网进入松木污水处理厂进行处理</w:t>
            </w:r>
          </w:p>
        </w:tc>
      </w:tr>
      <w:tr w14:paraId="3E6BA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85152C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BDDEDB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398965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48CBF477">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汽车尾气</w:t>
            </w:r>
          </w:p>
        </w:tc>
        <w:tc>
          <w:tcPr>
            <w:tcW w:w="1559" w:type="dxa"/>
            <w:tcBorders>
              <w:tl2br w:val="nil"/>
              <w:tr2bl w:val="nil"/>
            </w:tcBorders>
            <w:vAlign w:val="center"/>
          </w:tcPr>
          <w:p w14:paraId="2739EA3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EF8695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不进行处理，直接排至大气中</w:t>
            </w:r>
          </w:p>
        </w:tc>
      </w:tr>
      <w:tr w14:paraId="238A0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4BFDF9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64B624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8DFF5D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E759172">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02C3683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43C9A73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64504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AA0684A">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40</w:t>
            </w:r>
          </w:p>
        </w:tc>
        <w:tc>
          <w:tcPr>
            <w:tcW w:w="1165" w:type="dxa"/>
            <w:vMerge w:val="restart"/>
            <w:tcBorders>
              <w:tl2br w:val="nil"/>
              <w:tr2bl w:val="nil"/>
            </w:tcBorders>
            <w:vAlign w:val="center"/>
          </w:tcPr>
          <w:p w14:paraId="3493F64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衡阳市诺顿焊材有限公司</w:t>
            </w:r>
          </w:p>
        </w:tc>
        <w:tc>
          <w:tcPr>
            <w:tcW w:w="1134" w:type="dxa"/>
            <w:tcBorders>
              <w:tl2br w:val="nil"/>
              <w:tr2bl w:val="nil"/>
            </w:tcBorders>
            <w:vAlign w:val="center"/>
          </w:tcPr>
          <w:p w14:paraId="4BE370C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FDFEF0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SS、COD、石油类</w:t>
            </w:r>
          </w:p>
        </w:tc>
        <w:tc>
          <w:tcPr>
            <w:tcW w:w="1559" w:type="dxa"/>
            <w:tcBorders>
              <w:tl2br w:val="nil"/>
              <w:tr2bl w:val="nil"/>
            </w:tcBorders>
            <w:vAlign w:val="center"/>
          </w:tcPr>
          <w:p w14:paraId="68D6404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720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7778225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酸洗、碱洗及清洗产生的废水经中和、絮凝沉淀、过滤后回用；</w:t>
            </w:r>
          </w:p>
          <w:p w14:paraId="1CB8076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经沉淀预处理的保洁废水与经隔油预处理的生活污水进入化粪池进行处理，处理后的污水经经开区污水管网进入松木污水处理厂进行处理</w:t>
            </w:r>
          </w:p>
        </w:tc>
      </w:tr>
      <w:tr w14:paraId="76850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9CB174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704239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2478D9E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6C90C82">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硫酸雾、二氧化硫、氮氧化物、油烟</w:t>
            </w:r>
          </w:p>
        </w:tc>
        <w:tc>
          <w:tcPr>
            <w:tcW w:w="1559" w:type="dxa"/>
            <w:tcBorders>
              <w:tl2br w:val="nil"/>
              <w:tr2bl w:val="nil"/>
            </w:tcBorders>
            <w:vAlign w:val="center"/>
          </w:tcPr>
          <w:p w14:paraId="6A155F2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4E516A6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硫酸雾经水喷淋处理装置处理后经15m排气筒排放；</w:t>
            </w:r>
          </w:p>
          <w:p w14:paraId="16D1EFC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食堂油烟经油烟净化器处理后排放</w:t>
            </w:r>
          </w:p>
        </w:tc>
      </w:tr>
      <w:tr w14:paraId="57017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D46992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E6920B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77997B7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6A7427D">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72FC08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35.4t/a</w:t>
            </w:r>
          </w:p>
        </w:tc>
        <w:tc>
          <w:tcPr>
            <w:tcW w:w="8034" w:type="dxa"/>
            <w:vMerge w:val="restart"/>
            <w:tcBorders>
              <w:tl2br w:val="nil"/>
              <w:tr2bl w:val="nil"/>
            </w:tcBorders>
            <w:vAlign w:val="center"/>
          </w:tcPr>
          <w:p w14:paraId="0A9306A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废边角料、铁灰等外售综合利用；</w:t>
            </w:r>
          </w:p>
          <w:p w14:paraId="43990B2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3DC8FC0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镀铜泥、污泥、废抛光油等危废进行分类收集达到一定数量后委托资质单位进行处理</w:t>
            </w:r>
          </w:p>
        </w:tc>
      </w:tr>
      <w:tr w14:paraId="3DD2B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2E0B2B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011B86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3AFC740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6BAA117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7142C9E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0.3t/a</w:t>
            </w:r>
          </w:p>
        </w:tc>
        <w:tc>
          <w:tcPr>
            <w:tcW w:w="8034" w:type="dxa"/>
            <w:vMerge w:val="continue"/>
            <w:tcBorders>
              <w:tl2br w:val="nil"/>
              <w:tr2bl w:val="nil"/>
            </w:tcBorders>
            <w:vAlign w:val="center"/>
          </w:tcPr>
          <w:p w14:paraId="5632628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2BE12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4D921C3">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41</w:t>
            </w:r>
          </w:p>
        </w:tc>
        <w:tc>
          <w:tcPr>
            <w:tcW w:w="1165" w:type="dxa"/>
            <w:vMerge w:val="restart"/>
            <w:tcBorders>
              <w:tl2br w:val="nil"/>
              <w:tr2bl w:val="nil"/>
            </w:tcBorders>
            <w:vAlign w:val="center"/>
          </w:tcPr>
          <w:p w14:paraId="312F699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衡阳市壹帆纸业有限公司</w:t>
            </w:r>
          </w:p>
        </w:tc>
        <w:tc>
          <w:tcPr>
            <w:tcW w:w="1134" w:type="dxa"/>
            <w:tcBorders>
              <w:tl2br w:val="nil"/>
              <w:tr2bl w:val="nil"/>
            </w:tcBorders>
            <w:vAlign w:val="center"/>
          </w:tcPr>
          <w:p w14:paraId="77F0111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DAA650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0258647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DDA65E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生活污水经化粪池预处理后经经开区污水管网进入松木污水处理厂进行处理</w:t>
            </w:r>
          </w:p>
        </w:tc>
      </w:tr>
      <w:tr w14:paraId="05F4D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2F3D5C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6BD967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AE3E68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072DE5EC">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w:t>
            </w:r>
          </w:p>
        </w:tc>
        <w:tc>
          <w:tcPr>
            <w:tcW w:w="1559" w:type="dxa"/>
            <w:tcBorders>
              <w:tl2br w:val="nil"/>
              <w:tr2bl w:val="nil"/>
            </w:tcBorders>
            <w:vAlign w:val="center"/>
          </w:tcPr>
          <w:p w14:paraId="49CE282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297AEC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不进行处理，直排至室内</w:t>
            </w:r>
          </w:p>
        </w:tc>
      </w:tr>
      <w:tr w14:paraId="0E44D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369C78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CD6AD0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9A7F6A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2664F631">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725E990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5FA36F8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56705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28C6700">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42</w:t>
            </w:r>
          </w:p>
        </w:tc>
        <w:tc>
          <w:tcPr>
            <w:tcW w:w="1165" w:type="dxa"/>
            <w:vMerge w:val="restart"/>
            <w:tcBorders>
              <w:tl2br w:val="nil"/>
              <w:tr2bl w:val="nil"/>
            </w:tcBorders>
            <w:vAlign w:val="center"/>
          </w:tcPr>
          <w:p w14:paraId="690D3E4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衡阳市嘉励运动器材有限公司</w:t>
            </w:r>
          </w:p>
        </w:tc>
        <w:tc>
          <w:tcPr>
            <w:tcW w:w="1134" w:type="dxa"/>
            <w:tcBorders>
              <w:tl2br w:val="nil"/>
              <w:tr2bl w:val="nil"/>
            </w:tcBorders>
            <w:vAlign w:val="center"/>
          </w:tcPr>
          <w:p w14:paraId="665529F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F9E313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COD、SS、氨氮、石油类</w:t>
            </w:r>
          </w:p>
        </w:tc>
        <w:tc>
          <w:tcPr>
            <w:tcW w:w="1559" w:type="dxa"/>
            <w:tcBorders>
              <w:tl2br w:val="nil"/>
              <w:tr2bl w:val="nil"/>
            </w:tcBorders>
            <w:vAlign w:val="center"/>
          </w:tcPr>
          <w:p w14:paraId="5070A48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13939.6 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43CBAD1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生产废水、车间地面冲洗水经厂区污水处理站（采用隔油+絮凝沉淀处理工艺）进行处理后排入经开区污水管网，进入松木污水处理厂进行处理；</w:t>
            </w:r>
          </w:p>
          <w:p w14:paraId="3783F4C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生活污水经化粪池预处理后汇入总排口进入经开区污水管网，经松木污水处理厂处理达标后排入湘江</w:t>
            </w:r>
          </w:p>
        </w:tc>
      </w:tr>
      <w:tr w14:paraId="0FEE3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467212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FD2903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6FF6D6D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5767E9E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VOC、氟化物、粉尘、颗粒物</w:t>
            </w:r>
          </w:p>
        </w:tc>
        <w:tc>
          <w:tcPr>
            <w:tcW w:w="1559" w:type="dxa"/>
            <w:tcBorders>
              <w:tl2br w:val="nil"/>
              <w:tr2bl w:val="nil"/>
            </w:tcBorders>
            <w:vAlign w:val="center"/>
          </w:tcPr>
          <w:p w14:paraId="445E218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3C756A7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酸性废气经集气罩+碱洗塔处理后高空排放；</w:t>
            </w:r>
          </w:p>
          <w:p w14:paraId="36C37E4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油漆废气经排风管道收集后经活性炭吸附后排放</w:t>
            </w:r>
          </w:p>
        </w:tc>
      </w:tr>
      <w:tr w14:paraId="135BF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D57B2E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6B8B87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2E3CFBB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8C3FF9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8C0211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116.6t/a</w:t>
            </w:r>
          </w:p>
        </w:tc>
        <w:tc>
          <w:tcPr>
            <w:tcW w:w="8034" w:type="dxa"/>
            <w:vMerge w:val="restart"/>
            <w:tcBorders>
              <w:tl2br w:val="nil"/>
              <w:tr2bl w:val="nil"/>
            </w:tcBorders>
            <w:vAlign w:val="center"/>
          </w:tcPr>
          <w:p w14:paraId="368CFE2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4845E1B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废坯壳、废合金料等一般固废外售</w:t>
            </w:r>
          </w:p>
          <w:p w14:paraId="4D72564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危化品包装袋由生产厂家进行回收；</w:t>
            </w:r>
          </w:p>
          <w:p w14:paraId="09A38B7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除蜡、除油废液、脱模废液、废酸液、废活性炭等其他危险废物交由资质单位进行处理</w:t>
            </w:r>
          </w:p>
        </w:tc>
      </w:tr>
      <w:tr w14:paraId="1AA76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AD26B3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C8D192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30E5E43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7A50DC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2970D59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5.01t/a</w:t>
            </w:r>
          </w:p>
        </w:tc>
        <w:tc>
          <w:tcPr>
            <w:tcW w:w="8034" w:type="dxa"/>
            <w:vMerge w:val="continue"/>
            <w:tcBorders>
              <w:tl2br w:val="nil"/>
              <w:tr2bl w:val="nil"/>
            </w:tcBorders>
            <w:vAlign w:val="center"/>
          </w:tcPr>
          <w:p w14:paraId="34096E3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62D7D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AB12C81">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43</w:t>
            </w:r>
          </w:p>
        </w:tc>
        <w:tc>
          <w:tcPr>
            <w:tcW w:w="1165" w:type="dxa"/>
            <w:vMerge w:val="restart"/>
            <w:tcBorders>
              <w:tl2br w:val="nil"/>
              <w:tr2bl w:val="nil"/>
            </w:tcBorders>
            <w:vAlign w:val="center"/>
          </w:tcPr>
          <w:p w14:paraId="74BF6CF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衡阳市优艺美雅松木水务有限责任公司</w:t>
            </w:r>
          </w:p>
        </w:tc>
        <w:tc>
          <w:tcPr>
            <w:tcW w:w="1134" w:type="dxa"/>
            <w:tcBorders>
              <w:tl2br w:val="nil"/>
              <w:tr2bl w:val="nil"/>
            </w:tcBorders>
            <w:vAlign w:val="center"/>
          </w:tcPr>
          <w:p w14:paraId="6A01F6F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DC9F4D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COD、SS、氨氮</w:t>
            </w:r>
          </w:p>
        </w:tc>
        <w:tc>
          <w:tcPr>
            <w:tcW w:w="1559" w:type="dxa"/>
            <w:tcBorders>
              <w:tl2br w:val="nil"/>
              <w:tr2bl w:val="nil"/>
            </w:tcBorders>
            <w:vAlign w:val="center"/>
          </w:tcPr>
          <w:p w14:paraId="7EBEA75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2522D29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反冲洗废水及沉淀池废水经沉淀后回用；</w:t>
            </w:r>
          </w:p>
          <w:p w14:paraId="6F4D93C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生活污水经化粪池预处理后由环卫部门上门运出厂区处理。</w:t>
            </w:r>
          </w:p>
        </w:tc>
      </w:tr>
      <w:tr w14:paraId="6C86F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99121E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09F550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FCB51F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49BDCAB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1559" w:type="dxa"/>
            <w:tcBorders>
              <w:tl2br w:val="nil"/>
              <w:tr2bl w:val="nil"/>
            </w:tcBorders>
            <w:vAlign w:val="center"/>
          </w:tcPr>
          <w:p w14:paraId="476086F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2CE1801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01A1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D90129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217269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A5BC82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0F65AD5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15DBC18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495t/a</w:t>
            </w:r>
          </w:p>
        </w:tc>
        <w:tc>
          <w:tcPr>
            <w:tcW w:w="8034" w:type="dxa"/>
            <w:tcBorders>
              <w:tl2br w:val="nil"/>
              <w:tr2bl w:val="nil"/>
            </w:tcBorders>
            <w:vAlign w:val="center"/>
          </w:tcPr>
          <w:p w14:paraId="03365BF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2B86EB8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沉淀池污泥、脱水泥饼等与生活垃圾一并处理</w:t>
            </w:r>
          </w:p>
        </w:tc>
      </w:tr>
      <w:tr w14:paraId="3CAC8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C8E2E24">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44</w:t>
            </w:r>
          </w:p>
        </w:tc>
        <w:tc>
          <w:tcPr>
            <w:tcW w:w="1165" w:type="dxa"/>
            <w:vMerge w:val="restart"/>
            <w:tcBorders>
              <w:tl2br w:val="nil"/>
              <w:tr2bl w:val="nil"/>
            </w:tcBorders>
            <w:vAlign w:val="center"/>
          </w:tcPr>
          <w:p w14:paraId="4F50C0D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衡阳市松木污水处理厂</w:t>
            </w:r>
          </w:p>
        </w:tc>
        <w:tc>
          <w:tcPr>
            <w:tcW w:w="1134" w:type="dxa"/>
            <w:tcBorders>
              <w:tl2br w:val="nil"/>
              <w:tr2bl w:val="nil"/>
            </w:tcBorders>
            <w:vAlign w:val="center"/>
          </w:tcPr>
          <w:p w14:paraId="3C9D8C4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77F2A7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COD、SS、氨氮、石油类</w:t>
            </w:r>
          </w:p>
        </w:tc>
        <w:tc>
          <w:tcPr>
            <w:tcW w:w="1559" w:type="dxa"/>
            <w:tcBorders>
              <w:tl2br w:val="nil"/>
              <w:tr2bl w:val="nil"/>
            </w:tcBorders>
            <w:vAlign w:val="center"/>
          </w:tcPr>
          <w:p w14:paraId="4623950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/d</w:t>
            </w:r>
          </w:p>
        </w:tc>
        <w:tc>
          <w:tcPr>
            <w:tcW w:w="8034" w:type="dxa"/>
            <w:tcBorders>
              <w:tl2br w:val="nil"/>
              <w:tr2bl w:val="nil"/>
            </w:tcBorders>
            <w:vAlign w:val="center"/>
          </w:tcPr>
          <w:p w14:paraId="027A689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污水采用格栅+絮凝沉淀+水解酸化+A/O生化+二次沉淀+混凝+气浮+接触消毒处理工艺处理后经总排口排至湘江</w:t>
            </w:r>
          </w:p>
        </w:tc>
      </w:tr>
      <w:tr w14:paraId="66CA9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FD12FF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8CA539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2E6A5AE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08FE2AC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硫化氢、氨气</w:t>
            </w:r>
          </w:p>
        </w:tc>
        <w:tc>
          <w:tcPr>
            <w:tcW w:w="1559" w:type="dxa"/>
            <w:tcBorders>
              <w:tl2br w:val="nil"/>
              <w:tr2bl w:val="nil"/>
            </w:tcBorders>
            <w:vAlign w:val="center"/>
          </w:tcPr>
          <w:p w14:paraId="0F62B75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623618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26E4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B83BC6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E7A266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4B3D2DE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90A312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577824E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5.5t/a</w:t>
            </w:r>
          </w:p>
        </w:tc>
        <w:tc>
          <w:tcPr>
            <w:tcW w:w="8034" w:type="dxa"/>
            <w:vMerge w:val="restart"/>
            <w:tcBorders>
              <w:tl2br w:val="nil"/>
              <w:tr2bl w:val="nil"/>
            </w:tcBorders>
            <w:vAlign w:val="center"/>
          </w:tcPr>
          <w:p w14:paraId="2DBA78E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污泥暂存于危废暂存间内，达到一定数量后委托资质单位进行处理；</w:t>
            </w:r>
          </w:p>
          <w:p w14:paraId="358AA3F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42988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2738FE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8C75D0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25E87FE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AAA412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206432C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650t/a</w:t>
            </w:r>
          </w:p>
        </w:tc>
        <w:tc>
          <w:tcPr>
            <w:tcW w:w="8034" w:type="dxa"/>
            <w:vMerge w:val="continue"/>
            <w:tcBorders>
              <w:tl2br w:val="nil"/>
              <w:tr2bl w:val="nil"/>
            </w:tcBorders>
            <w:vAlign w:val="center"/>
          </w:tcPr>
          <w:p w14:paraId="4AC167E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59B0A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7726EC4">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45</w:t>
            </w:r>
          </w:p>
        </w:tc>
        <w:tc>
          <w:tcPr>
            <w:tcW w:w="1165" w:type="dxa"/>
            <w:vMerge w:val="restart"/>
            <w:tcBorders>
              <w:tl2br w:val="nil"/>
              <w:tr2bl w:val="nil"/>
            </w:tcBorders>
            <w:vAlign w:val="center"/>
          </w:tcPr>
          <w:p w14:paraId="01A707F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湖南兆瑞华展再生资源回收有限公司</w:t>
            </w:r>
          </w:p>
        </w:tc>
        <w:tc>
          <w:tcPr>
            <w:tcW w:w="1134" w:type="dxa"/>
            <w:tcBorders>
              <w:tl2br w:val="nil"/>
              <w:tr2bl w:val="nil"/>
            </w:tcBorders>
            <w:vAlign w:val="center"/>
          </w:tcPr>
          <w:p w14:paraId="5B82A60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630004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COD、氨氮、SS、Pb</w:t>
            </w:r>
          </w:p>
        </w:tc>
        <w:tc>
          <w:tcPr>
            <w:tcW w:w="1559" w:type="dxa"/>
            <w:tcBorders>
              <w:tl2br w:val="nil"/>
              <w:tr2bl w:val="nil"/>
            </w:tcBorders>
            <w:vAlign w:val="center"/>
          </w:tcPr>
          <w:p w14:paraId="3D9DBB0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290.88t/a</w:t>
            </w:r>
          </w:p>
        </w:tc>
        <w:tc>
          <w:tcPr>
            <w:tcW w:w="8034" w:type="dxa"/>
            <w:tcBorders>
              <w:tl2br w:val="nil"/>
              <w:tr2bl w:val="nil"/>
            </w:tcBorders>
            <w:vAlign w:val="center"/>
          </w:tcPr>
          <w:p w14:paraId="32823B0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厂区地面清洁拖洗废水：经沉淀池沉淀后收集至吨桶内（耐酸、防渗）与沉淀渣一起定期送至有资质单位处理，不外排；</w:t>
            </w:r>
          </w:p>
          <w:p w14:paraId="59898CE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生活污水经化粪池处理后进入城市污水管网送至松木污水处理厂处理达标后排放</w:t>
            </w:r>
          </w:p>
        </w:tc>
      </w:tr>
      <w:tr w14:paraId="6B963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2BBBB1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8AE821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28A8C3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1A4B579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颗粒物、硫酸雾</w:t>
            </w:r>
          </w:p>
        </w:tc>
        <w:tc>
          <w:tcPr>
            <w:tcW w:w="1559" w:type="dxa"/>
            <w:tcBorders>
              <w:tl2br w:val="nil"/>
              <w:tr2bl w:val="nil"/>
            </w:tcBorders>
            <w:vAlign w:val="center"/>
          </w:tcPr>
          <w:p w14:paraId="43B1F7D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少量</w:t>
            </w:r>
          </w:p>
        </w:tc>
        <w:tc>
          <w:tcPr>
            <w:tcW w:w="8034" w:type="dxa"/>
            <w:tcBorders>
              <w:tl2br w:val="nil"/>
              <w:tr2bl w:val="nil"/>
            </w:tcBorders>
            <w:vAlign w:val="center"/>
          </w:tcPr>
          <w:p w14:paraId="6650792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车间废气经抽风系统外排；</w:t>
            </w:r>
          </w:p>
          <w:p w14:paraId="24BABA8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食堂油烟废气经油烟净化设施处理后由专用烟道至屋顶后高空排放</w:t>
            </w:r>
          </w:p>
        </w:tc>
      </w:tr>
      <w:tr w14:paraId="71D5D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7FF4E4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4169C5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3A4C0B7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2F78DC6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0D967D2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0.75t/a</w:t>
            </w:r>
          </w:p>
        </w:tc>
        <w:tc>
          <w:tcPr>
            <w:tcW w:w="8034" w:type="dxa"/>
            <w:tcBorders>
              <w:tl2br w:val="nil"/>
              <w:tr2bl w:val="nil"/>
            </w:tcBorders>
            <w:vAlign w:val="center"/>
          </w:tcPr>
          <w:p w14:paraId="35468B7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53638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8109B4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7D6A5C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2E89BBF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D781FE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37F3233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0.45t/a</w:t>
            </w:r>
          </w:p>
        </w:tc>
        <w:tc>
          <w:tcPr>
            <w:tcW w:w="8034" w:type="dxa"/>
            <w:tcBorders>
              <w:tl2br w:val="nil"/>
              <w:tr2bl w:val="nil"/>
            </w:tcBorders>
            <w:vAlign w:val="center"/>
          </w:tcPr>
          <w:p w14:paraId="1E8325C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废旧个体防护装备、废拖把、废抹布、废铅酸蓄电池泄漏液、厂区地面清洁废水沉渣等由带盖专用桶收集暂存后交由有资质单位进行处理</w:t>
            </w:r>
          </w:p>
        </w:tc>
      </w:tr>
      <w:tr w14:paraId="18E19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13BF055">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46</w:t>
            </w:r>
          </w:p>
        </w:tc>
        <w:tc>
          <w:tcPr>
            <w:tcW w:w="1165" w:type="dxa"/>
            <w:vMerge w:val="restart"/>
            <w:tcBorders>
              <w:tl2br w:val="nil"/>
              <w:tr2bl w:val="nil"/>
            </w:tcBorders>
            <w:vAlign w:val="center"/>
          </w:tcPr>
          <w:p w14:paraId="33E9804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衡阳市佳众再生资源有限责任公司</w:t>
            </w:r>
          </w:p>
        </w:tc>
        <w:tc>
          <w:tcPr>
            <w:tcW w:w="1134" w:type="dxa"/>
            <w:tcBorders>
              <w:tl2br w:val="nil"/>
              <w:tr2bl w:val="nil"/>
            </w:tcBorders>
            <w:vAlign w:val="center"/>
          </w:tcPr>
          <w:p w14:paraId="2A69FBB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AB3BF9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COD、氨氮、SS</w:t>
            </w:r>
          </w:p>
        </w:tc>
        <w:tc>
          <w:tcPr>
            <w:tcW w:w="1559" w:type="dxa"/>
            <w:tcBorders>
              <w:tl2br w:val="nil"/>
              <w:tr2bl w:val="nil"/>
            </w:tcBorders>
            <w:vAlign w:val="center"/>
          </w:tcPr>
          <w:p w14:paraId="32600BD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294.4t/a</w:t>
            </w:r>
          </w:p>
        </w:tc>
        <w:tc>
          <w:tcPr>
            <w:tcW w:w="8034" w:type="dxa"/>
            <w:tcBorders>
              <w:tl2br w:val="nil"/>
              <w:tr2bl w:val="nil"/>
            </w:tcBorders>
            <w:vAlign w:val="center"/>
          </w:tcPr>
          <w:p w14:paraId="00AB256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厂区地面清洁拖洗废水：经沉淀池沉淀后收集至吨桶内（耐酸、防渗）与沉淀渣一起定期送至有资质单位处理，不外排；</w:t>
            </w:r>
          </w:p>
          <w:p w14:paraId="3067720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生活污水经化粪池处理后进入城市污水管网送至松木污水处理厂处理达标后排放</w:t>
            </w:r>
          </w:p>
        </w:tc>
      </w:tr>
      <w:tr w14:paraId="3B55F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31C877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9A78C6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18809E7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02CDC0B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颗粒物、硫酸雾</w:t>
            </w:r>
          </w:p>
        </w:tc>
        <w:tc>
          <w:tcPr>
            <w:tcW w:w="1559" w:type="dxa"/>
            <w:tcBorders>
              <w:tl2br w:val="nil"/>
              <w:tr2bl w:val="nil"/>
            </w:tcBorders>
            <w:vAlign w:val="center"/>
          </w:tcPr>
          <w:p w14:paraId="64AC8A4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少量</w:t>
            </w:r>
          </w:p>
        </w:tc>
        <w:tc>
          <w:tcPr>
            <w:tcW w:w="8034" w:type="dxa"/>
            <w:tcBorders>
              <w:tl2br w:val="nil"/>
              <w:tr2bl w:val="nil"/>
            </w:tcBorders>
            <w:vAlign w:val="center"/>
          </w:tcPr>
          <w:p w14:paraId="4834968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车间废气经活性炭净化后外排；</w:t>
            </w:r>
          </w:p>
          <w:p w14:paraId="367279D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食堂油烟废气经油烟净化设施处理后由专用烟道至屋顶后高空排放</w:t>
            </w:r>
          </w:p>
        </w:tc>
      </w:tr>
      <w:tr w14:paraId="219FB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2FFC44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FC75DA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5117FA5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2FDDD0D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1B89D40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1.08t/a</w:t>
            </w:r>
          </w:p>
        </w:tc>
        <w:tc>
          <w:tcPr>
            <w:tcW w:w="8034" w:type="dxa"/>
            <w:tcBorders>
              <w:tl2br w:val="nil"/>
              <w:tr2bl w:val="nil"/>
            </w:tcBorders>
            <w:vAlign w:val="center"/>
          </w:tcPr>
          <w:p w14:paraId="562D04E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0DE70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466C97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6B3414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5E3B877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61045AA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403A997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0.515t/a</w:t>
            </w:r>
          </w:p>
        </w:tc>
        <w:tc>
          <w:tcPr>
            <w:tcW w:w="8034" w:type="dxa"/>
            <w:tcBorders>
              <w:tl2br w:val="nil"/>
              <w:tr2bl w:val="nil"/>
            </w:tcBorders>
            <w:vAlign w:val="center"/>
          </w:tcPr>
          <w:p w14:paraId="586ED42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废旧个体防护装备、废拖把、废抹布、废铅酸蓄电池泄漏液、废防酸滤铅网等由带盖专用桶收集暂存后交由有资质单位进行处理</w:t>
            </w:r>
          </w:p>
        </w:tc>
      </w:tr>
      <w:tr w14:paraId="470CA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2002032">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47</w:t>
            </w:r>
          </w:p>
        </w:tc>
        <w:tc>
          <w:tcPr>
            <w:tcW w:w="1165" w:type="dxa"/>
            <w:vMerge w:val="restart"/>
            <w:tcBorders>
              <w:tl2br w:val="nil"/>
              <w:tr2bl w:val="nil"/>
            </w:tcBorders>
            <w:vAlign w:val="center"/>
          </w:tcPr>
          <w:p w14:paraId="3888BA8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衡阳鸿宇化工有限责任公司</w:t>
            </w:r>
          </w:p>
        </w:tc>
        <w:tc>
          <w:tcPr>
            <w:tcW w:w="1134" w:type="dxa"/>
            <w:tcBorders>
              <w:tl2br w:val="nil"/>
              <w:tr2bl w:val="nil"/>
            </w:tcBorders>
            <w:vAlign w:val="center"/>
          </w:tcPr>
          <w:p w14:paraId="1FF180E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522A78A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、SS、ClO</w:t>
            </w:r>
            <w:r>
              <w:rPr>
                <w:rFonts w:hint="default" w:ascii="Times New Roman" w:hAnsi="Times New Roman" w:eastAsia="宋体" w:cs="Times New Roman"/>
                <w:color w:val="auto"/>
                <w:sz w:val="21"/>
                <w:szCs w:val="21"/>
                <w:highlight w:val="none"/>
                <w:u w:val="none" w:color="auto"/>
                <w:vertAlign w:val="superscript"/>
              </w:rPr>
              <w:t>-</w:t>
            </w:r>
            <w:r>
              <w:rPr>
                <w:rFonts w:hint="default" w:ascii="Times New Roman" w:hAnsi="Times New Roman" w:eastAsia="宋体" w:cs="Times New Roman"/>
                <w:color w:val="auto"/>
                <w:sz w:val="21"/>
                <w:szCs w:val="21"/>
                <w:highlight w:val="none"/>
                <w:u w:val="none" w:color="auto"/>
              </w:rPr>
              <w:t>、Al</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、Cl</w:t>
            </w:r>
            <w:r>
              <w:rPr>
                <w:rFonts w:hint="default" w:ascii="Times New Roman" w:hAnsi="Times New Roman" w:eastAsia="宋体" w:cs="Times New Roman"/>
                <w:color w:val="auto"/>
                <w:sz w:val="21"/>
                <w:szCs w:val="21"/>
                <w:highlight w:val="none"/>
                <w:u w:val="none" w:color="auto"/>
                <w:vertAlign w:val="superscript"/>
              </w:rPr>
              <w:t>-</w:t>
            </w:r>
            <w:r>
              <w:rPr>
                <w:rFonts w:hint="default" w:ascii="Times New Roman" w:hAnsi="Times New Roman" w:eastAsia="宋体" w:cs="Times New Roman"/>
                <w:color w:val="auto"/>
                <w:sz w:val="21"/>
                <w:szCs w:val="21"/>
                <w:highlight w:val="none"/>
                <w:u w:val="none" w:color="auto"/>
              </w:rPr>
              <w:t>、COD、氨氮</w:t>
            </w:r>
          </w:p>
        </w:tc>
        <w:tc>
          <w:tcPr>
            <w:tcW w:w="1559" w:type="dxa"/>
            <w:tcBorders>
              <w:tl2br w:val="nil"/>
              <w:tr2bl w:val="nil"/>
            </w:tcBorders>
            <w:vAlign w:val="center"/>
          </w:tcPr>
          <w:p w14:paraId="6920C5B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5252t/a</w:t>
            </w:r>
          </w:p>
        </w:tc>
        <w:tc>
          <w:tcPr>
            <w:tcW w:w="8034" w:type="dxa"/>
            <w:tcBorders>
              <w:tl2br w:val="nil"/>
              <w:tr2bl w:val="nil"/>
            </w:tcBorders>
            <w:vAlign w:val="center"/>
          </w:tcPr>
          <w:p w14:paraId="124A364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碱洗塔洗涤水经调</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-沉淀-澄清处理后循环利用，不外排；</w:t>
            </w:r>
          </w:p>
          <w:p w14:paraId="08306B8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地坪清洁水及初期雨水经厂区污水处理站内用液碱调</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-沉淀-澄清处理后用于配置碱洗塔洗涤水，多余的废水送建滔化工中水循环处理站处理；</w:t>
            </w:r>
          </w:p>
          <w:p w14:paraId="1F56230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生活污水经厂区化粪池预处理后，送建滔化工中水循环处理站处理</w:t>
            </w:r>
          </w:p>
        </w:tc>
      </w:tr>
      <w:tr w14:paraId="340A8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C07830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B9AE12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E1F800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AB63FC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氯气</w:t>
            </w:r>
          </w:p>
        </w:tc>
        <w:tc>
          <w:tcPr>
            <w:tcW w:w="1559" w:type="dxa"/>
            <w:tcBorders>
              <w:tl2br w:val="nil"/>
              <w:tr2bl w:val="nil"/>
            </w:tcBorders>
            <w:vAlign w:val="center"/>
          </w:tcPr>
          <w:p w14:paraId="6B37D40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45.7t/a</w:t>
            </w:r>
          </w:p>
        </w:tc>
        <w:tc>
          <w:tcPr>
            <w:tcW w:w="8034" w:type="dxa"/>
            <w:tcBorders>
              <w:tl2br w:val="nil"/>
              <w:tr2bl w:val="nil"/>
            </w:tcBorders>
            <w:vAlign w:val="center"/>
          </w:tcPr>
          <w:p w14:paraId="17A10F3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氯化反应炉废气经二级碱洗塔处理后经25m排气筒排放</w:t>
            </w:r>
          </w:p>
        </w:tc>
      </w:tr>
      <w:tr w14:paraId="6A27B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724982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684446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27509F8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284B43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1B1EF9F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308.8t/a</w:t>
            </w:r>
          </w:p>
        </w:tc>
        <w:tc>
          <w:tcPr>
            <w:tcW w:w="8034" w:type="dxa"/>
            <w:tcBorders>
              <w:tl2br w:val="nil"/>
              <w:tr2bl w:val="nil"/>
            </w:tcBorders>
            <w:vAlign w:val="center"/>
          </w:tcPr>
          <w:p w14:paraId="09BC2C6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氧化铝渣、碱洗塔洗涤水沉淀渣外售综合利用；</w:t>
            </w:r>
          </w:p>
          <w:p w14:paraId="5F807A2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0AB0A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A6A17F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7CF303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729F753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73E8ADF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5F4701B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20t/a</w:t>
            </w:r>
          </w:p>
        </w:tc>
        <w:tc>
          <w:tcPr>
            <w:tcW w:w="8034" w:type="dxa"/>
            <w:tcBorders>
              <w:tl2br w:val="nil"/>
              <w:tr2bl w:val="nil"/>
            </w:tcBorders>
            <w:vAlign w:val="center"/>
          </w:tcPr>
          <w:p w14:paraId="7ABBC98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废碱液、无水三氯化铝包装袋收集后交由有资质单位处置</w:t>
            </w:r>
          </w:p>
        </w:tc>
      </w:tr>
      <w:tr w14:paraId="44B96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2709408">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48</w:t>
            </w:r>
          </w:p>
        </w:tc>
        <w:tc>
          <w:tcPr>
            <w:tcW w:w="1165" w:type="dxa"/>
            <w:vMerge w:val="restart"/>
            <w:tcBorders>
              <w:tl2br w:val="nil"/>
              <w:tr2bl w:val="nil"/>
            </w:tcBorders>
            <w:vAlign w:val="center"/>
          </w:tcPr>
          <w:p w14:paraId="5D799CC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湖南捷瑞化工有限公司</w:t>
            </w:r>
          </w:p>
        </w:tc>
        <w:tc>
          <w:tcPr>
            <w:tcW w:w="1134" w:type="dxa"/>
            <w:tcBorders>
              <w:tl2br w:val="nil"/>
              <w:tr2bl w:val="nil"/>
            </w:tcBorders>
            <w:vAlign w:val="center"/>
          </w:tcPr>
          <w:p w14:paraId="6954D81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07485C3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甲醇、二氯苯、醋酸、对苯二酚、HCl、SS、COD、氨氮</w:t>
            </w:r>
          </w:p>
        </w:tc>
        <w:tc>
          <w:tcPr>
            <w:tcW w:w="1559" w:type="dxa"/>
            <w:tcBorders>
              <w:tl2br w:val="nil"/>
              <w:tr2bl w:val="nil"/>
            </w:tcBorders>
            <w:vAlign w:val="center"/>
          </w:tcPr>
          <w:p w14:paraId="5F4F827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9190t/a</w:t>
            </w:r>
          </w:p>
        </w:tc>
        <w:tc>
          <w:tcPr>
            <w:tcW w:w="8034" w:type="dxa"/>
            <w:tcBorders>
              <w:tl2br w:val="nil"/>
              <w:tr2bl w:val="nil"/>
            </w:tcBorders>
            <w:vAlign w:val="center"/>
          </w:tcPr>
          <w:p w14:paraId="5EBBA0A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甲醇再生废水、反应釜清洗水经厂区隔油沉淀池处理分离出二氯苯后，汇入建滔化工双氧水污水处理站处理；</w:t>
            </w:r>
          </w:p>
          <w:p w14:paraId="4F779D2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车间地面冲洗水汇入建滔化工双氧水污水处理站处理；</w:t>
            </w:r>
          </w:p>
          <w:p w14:paraId="677EB18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抽</w:t>
            </w:r>
            <w:r>
              <w:rPr>
                <w:rFonts w:hint="default" w:ascii="Times New Roman" w:hAnsi="Times New Roman" w:eastAsia="宋体" w:cs="Times New Roman"/>
                <w:color w:val="auto"/>
                <w:sz w:val="21"/>
                <w:szCs w:val="21"/>
                <w:highlight w:val="none"/>
                <w:u w:val="none" w:color="auto"/>
                <w:lang w:eastAsia="zh-CN"/>
              </w:rPr>
              <w:t>三效蒸发器</w:t>
            </w:r>
            <w:r>
              <w:rPr>
                <w:rFonts w:hint="default" w:ascii="Times New Roman" w:hAnsi="Times New Roman" w:eastAsia="宋体" w:cs="Times New Roman"/>
                <w:color w:val="auto"/>
                <w:sz w:val="21"/>
                <w:szCs w:val="21"/>
                <w:highlight w:val="none"/>
                <w:u w:val="none" w:color="auto"/>
              </w:rPr>
              <w:t>废水排入中和池中和后汇入建滔化工双氧水装置污水处理站处理；</w:t>
            </w:r>
          </w:p>
          <w:p w14:paraId="7DD0307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初期雨水经沉淀后汇入园区雨水管网；</w:t>
            </w:r>
          </w:p>
          <w:p w14:paraId="0755730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生活污水经化粪池处理后排入建滔中水循环水处理站处理</w:t>
            </w:r>
          </w:p>
        </w:tc>
      </w:tr>
      <w:tr w14:paraId="2DE2B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5CE25C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ADF0CF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9AB5F8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0AF908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HCl、Cl</w:t>
            </w:r>
            <w:r>
              <w:rPr>
                <w:rFonts w:hint="default" w:ascii="Times New Roman" w:hAnsi="Times New Roman" w:eastAsia="宋体" w:cs="Times New Roman"/>
                <w:color w:val="auto"/>
                <w:kern w:val="0"/>
                <w:sz w:val="21"/>
                <w:szCs w:val="21"/>
                <w:highlight w:val="none"/>
                <w:u w:val="none" w:color="auto"/>
                <w:vertAlign w:val="subscript"/>
              </w:rPr>
              <w:t>2</w:t>
            </w:r>
            <w:r>
              <w:rPr>
                <w:rFonts w:hint="default" w:ascii="Times New Roman" w:hAnsi="Times New Roman" w:eastAsia="宋体" w:cs="Times New Roman"/>
                <w:color w:val="auto"/>
                <w:kern w:val="0"/>
                <w:sz w:val="21"/>
                <w:szCs w:val="21"/>
                <w:highlight w:val="none"/>
                <w:u w:val="none" w:color="auto"/>
              </w:rPr>
              <w:t>、醋酸、粉尘、油烟</w:t>
            </w:r>
          </w:p>
        </w:tc>
        <w:tc>
          <w:tcPr>
            <w:tcW w:w="1559" w:type="dxa"/>
            <w:tcBorders>
              <w:tl2br w:val="nil"/>
              <w:tr2bl w:val="nil"/>
            </w:tcBorders>
            <w:vAlign w:val="center"/>
          </w:tcPr>
          <w:p w14:paraId="1409B9A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592E4A5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反应挥发尾气采用“二级水洗+二级碱洗”处理后通过25m高排气筒排放；</w:t>
            </w:r>
          </w:p>
          <w:p w14:paraId="21D0980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干燥粉尘经布袋收尘后通过15m高排气筒排放；</w:t>
            </w:r>
          </w:p>
          <w:p w14:paraId="45592C0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食堂油烟废气净化处理后通过专用排气筒至屋顶高空排放</w:t>
            </w:r>
          </w:p>
        </w:tc>
      </w:tr>
      <w:tr w14:paraId="563D4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294703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57C82A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4E53900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096998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1BC0F2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6.75t/a</w:t>
            </w:r>
          </w:p>
        </w:tc>
        <w:tc>
          <w:tcPr>
            <w:tcW w:w="8034" w:type="dxa"/>
            <w:tcBorders>
              <w:tl2br w:val="nil"/>
              <w:tr2bl w:val="nil"/>
            </w:tcBorders>
            <w:vAlign w:val="center"/>
          </w:tcPr>
          <w:p w14:paraId="36E13CE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533C7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59F632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C01695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39B0461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A244B8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4B19C2E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3t/a</w:t>
            </w:r>
          </w:p>
        </w:tc>
        <w:tc>
          <w:tcPr>
            <w:tcW w:w="8034" w:type="dxa"/>
            <w:tcBorders>
              <w:tl2br w:val="nil"/>
              <w:tr2bl w:val="nil"/>
            </w:tcBorders>
            <w:vAlign w:val="center"/>
          </w:tcPr>
          <w:p w14:paraId="06F5080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废包装袋、废机油、废手套等收集后交由有资质单位处理</w:t>
            </w:r>
          </w:p>
        </w:tc>
      </w:tr>
      <w:tr w14:paraId="7A0E5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E302A96">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49</w:t>
            </w:r>
          </w:p>
        </w:tc>
        <w:tc>
          <w:tcPr>
            <w:tcW w:w="1165" w:type="dxa"/>
            <w:vMerge w:val="restart"/>
            <w:tcBorders>
              <w:tl2br w:val="nil"/>
              <w:tr2bl w:val="nil"/>
            </w:tcBorders>
            <w:vAlign w:val="center"/>
          </w:tcPr>
          <w:p w14:paraId="12ECD09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湖南宝康医药有限公司</w:t>
            </w:r>
          </w:p>
        </w:tc>
        <w:tc>
          <w:tcPr>
            <w:tcW w:w="1134" w:type="dxa"/>
            <w:tcBorders>
              <w:tl2br w:val="nil"/>
              <w:tr2bl w:val="nil"/>
            </w:tcBorders>
            <w:vAlign w:val="center"/>
          </w:tcPr>
          <w:p w14:paraId="30DFD3A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72E038F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COD、氨氮</w:t>
            </w:r>
          </w:p>
        </w:tc>
        <w:tc>
          <w:tcPr>
            <w:tcW w:w="1559" w:type="dxa"/>
            <w:tcBorders>
              <w:tl2br w:val="nil"/>
              <w:tr2bl w:val="nil"/>
            </w:tcBorders>
            <w:vAlign w:val="center"/>
          </w:tcPr>
          <w:p w14:paraId="0C5ABF2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1314t/a</w:t>
            </w:r>
          </w:p>
        </w:tc>
        <w:tc>
          <w:tcPr>
            <w:tcW w:w="8034" w:type="dxa"/>
            <w:tcBorders>
              <w:tl2br w:val="nil"/>
              <w:tr2bl w:val="nil"/>
            </w:tcBorders>
            <w:vAlign w:val="center"/>
          </w:tcPr>
          <w:p w14:paraId="027102E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生活污水经化粪池处理后，经园区污水管网排入松木污水处理厂处理</w:t>
            </w:r>
          </w:p>
        </w:tc>
      </w:tr>
      <w:tr w14:paraId="36B7C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77AB84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133962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5428EE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38CB7D6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w:t>
            </w:r>
          </w:p>
        </w:tc>
        <w:tc>
          <w:tcPr>
            <w:tcW w:w="1559" w:type="dxa"/>
            <w:tcBorders>
              <w:tl2br w:val="nil"/>
              <w:tr2bl w:val="nil"/>
            </w:tcBorders>
            <w:vAlign w:val="center"/>
          </w:tcPr>
          <w:p w14:paraId="7EEEC04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5F42C91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食堂油烟废气净化处理后通过专用排气筒至屋顶高空排放</w:t>
            </w:r>
          </w:p>
        </w:tc>
      </w:tr>
      <w:tr w14:paraId="4F047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793176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C3CD51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E29D65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3F7D27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33BAD0F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8.76t/a</w:t>
            </w:r>
          </w:p>
        </w:tc>
        <w:tc>
          <w:tcPr>
            <w:tcW w:w="8034" w:type="dxa"/>
            <w:tcBorders>
              <w:tl2br w:val="nil"/>
              <w:tr2bl w:val="nil"/>
            </w:tcBorders>
            <w:vAlign w:val="center"/>
          </w:tcPr>
          <w:p w14:paraId="56FF09F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32642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D4248B8">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50</w:t>
            </w:r>
          </w:p>
        </w:tc>
        <w:tc>
          <w:tcPr>
            <w:tcW w:w="1165" w:type="dxa"/>
            <w:vMerge w:val="restart"/>
            <w:tcBorders>
              <w:tl2br w:val="nil"/>
              <w:tr2bl w:val="nil"/>
            </w:tcBorders>
            <w:vAlign w:val="center"/>
          </w:tcPr>
          <w:p w14:paraId="2ACF1C4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湖南新华阳建材有限公司</w:t>
            </w:r>
          </w:p>
        </w:tc>
        <w:tc>
          <w:tcPr>
            <w:tcW w:w="1134" w:type="dxa"/>
            <w:tcBorders>
              <w:tl2br w:val="nil"/>
              <w:tr2bl w:val="nil"/>
            </w:tcBorders>
            <w:vAlign w:val="center"/>
          </w:tcPr>
          <w:p w14:paraId="3A87FF6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2917A2D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COD、氨氮</w:t>
            </w:r>
          </w:p>
        </w:tc>
        <w:tc>
          <w:tcPr>
            <w:tcW w:w="1559" w:type="dxa"/>
            <w:tcBorders>
              <w:tl2br w:val="nil"/>
              <w:tr2bl w:val="nil"/>
            </w:tcBorders>
            <w:vAlign w:val="center"/>
          </w:tcPr>
          <w:p w14:paraId="7A0E1AF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462.95t/a</w:t>
            </w:r>
          </w:p>
        </w:tc>
        <w:tc>
          <w:tcPr>
            <w:tcW w:w="8034" w:type="dxa"/>
            <w:tcBorders>
              <w:tl2br w:val="nil"/>
              <w:tr2bl w:val="nil"/>
            </w:tcBorders>
            <w:vAlign w:val="center"/>
          </w:tcPr>
          <w:p w14:paraId="59B2446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软水站排水回用于产品复配；</w:t>
            </w:r>
          </w:p>
          <w:p w14:paraId="57E67D0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生活污水经化粪池、沉淀池预处理后经污水管网进入松木污水处理厂</w:t>
            </w:r>
          </w:p>
        </w:tc>
      </w:tr>
      <w:tr w14:paraId="6BA19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593E1F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AEC02E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85D29B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6559E03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颗粒物、SO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p>
        </w:tc>
        <w:tc>
          <w:tcPr>
            <w:tcW w:w="1559" w:type="dxa"/>
            <w:tcBorders>
              <w:tl2br w:val="nil"/>
              <w:tr2bl w:val="nil"/>
            </w:tcBorders>
            <w:vAlign w:val="center"/>
          </w:tcPr>
          <w:p w14:paraId="2DA88D1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p>
        </w:tc>
        <w:tc>
          <w:tcPr>
            <w:tcW w:w="8034" w:type="dxa"/>
            <w:tcBorders>
              <w:tl2br w:val="nil"/>
              <w:tr2bl w:val="nil"/>
            </w:tcBorders>
            <w:vAlign w:val="center"/>
          </w:tcPr>
          <w:p w14:paraId="57F6501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燃油锅炉（仅冬季使用）废气经8m高排气筒排放；</w:t>
            </w:r>
          </w:p>
        </w:tc>
      </w:tr>
      <w:tr w14:paraId="73281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86F786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1836B5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B0EA52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3C62AA7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32D405C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p>
        </w:tc>
        <w:tc>
          <w:tcPr>
            <w:tcW w:w="8034" w:type="dxa"/>
            <w:tcBorders>
              <w:tl2br w:val="nil"/>
              <w:tr2bl w:val="nil"/>
            </w:tcBorders>
            <w:vAlign w:val="center"/>
          </w:tcPr>
          <w:p w14:paraId="164D1D0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聚醚、维生素C、葡萄糖酸钠等废弃包装材料收集后外售；</w:t>
            </w:r>
          </w:p>
          <w:p w14:paraId="2E74991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巯基丙酸等废弃包装桶由供应商回收处置；</w:t>
            </w:r>
          </w:p>
          <w:p w14:paraId="6D6B8BD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1A534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3FE2B0E">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51</w:t>
            </w:r>
          </w:p>
        </w:tc>
        <w:tc>
          <w:tcPr>
            <w:tcW w:w="1165" w:type="dxa"/>
            <w:vMerge w:val="restart"/>
            <w:tcBorders>
              <w:tl2br w:val="nil"/>
              <w:tr2bl w:val="nil"/>
            </w:tcBorders>
            <w:vAlign w:val="center"/>
          </w:tcPr>
          <w:p w14:paraId="6FE0CCB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衡阳市群立新科机械有限公司</w:t>
            </w:r>
          </w:p>
        </w:tc>
        <w:tc>
          <w:tcPr>
            <w:tcW w:w="1134" w:type="dxa"/>
            <w:tcBorders>
              <w:tl2br w:val="nil"/>
              <w:tr2bl w:val="nil"/>
            </w:tcBorders>
            <w:vAlign w:val="center"/>
          </w:tcPr>
          <w:p w14:paraId="073DDBC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728CBA7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石油类、SS、COD、氨氮</w:t>
            </w:r>
          </w:p>
        </w:tc>
        <w:tc>
          <w:tcPr>
            <w:tcW w:w="1559" w:type="dxa"/>
            <w:tcBorders>
              <w:tl2br w:val="nil"/>
              <w:tr2bl w:val="nil"/>
            </w:tcBorders>
            <w:vAlign w:val="center"/>
          </w:tcPr>
          <w:p w14:paraId="02B0AFB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p>
        </w:tc>
        <w:tc>
          <w:tcPr>
            <w:tcW w:w="8034" w:type="dxa"/>
            <w:tcBorders>
              <w:tl2br w:val="nil"/>
              <w:tr2bl w:val="nil"/>
            </w:tcBorders>
            <w:vAlign w:val="center"/>
          </w:tcPr>
          <w:p w14:paraId="25ABEFE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清洗废水、脱模废水等经隔油+混凝沉淀处理后回用；</w:t>
            </w:r>
          </w:p>
          <w:p w14:paraId="28AC3B4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生活污水经化粪池、沉淀池预处理后经污水管网进入松木污水处理厂</w:t>
            </w:r>
          </w:p>
        </w:tc>
      </w:tr>
      <w:tr w14:paraId="4693D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1257E4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284380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3E9DDD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360E5D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w:t>
            </w:r>
          </w:p>
        </w:tc>
        <w:tc>
          <w:tcPr>
            <w:tcW w:w="1559" w:type="dxa"/>
            <w:tcBorders>
              <w:tl2br w:val="nil"/>
              <w:tr2bl w:val="nil"/>
            </w:tcBorders>
            <w:vAlign w:val="center"/>
          </w:tcPr>
          <w:p w14:paraId="3E0D73E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p>
        </w:tc>
        <w:tc>
          <w:tcPr>
            <w:tcW w:w="8034" w:type="dxa"/>
            <w:tcBorders>
              <w:tl2br w:val="nil"/>
              <w:tr2bl w:val="nil"/>
            </w:tcBorders>
            <w:vAlign w:val="center"/>
          </w:tcPr>
          <w:p w14:paraId="0BDD0EF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食堂油烟废气净化处理后通过专用排气筒至屋顶高空排放</w:t>
            </w:r>
          </w:p>
        </w:tc>
      </w:tr>
      <w:tr w14:paraId="5B7B3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3E902F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3A5F1D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0AFD8E8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721CF9E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3989127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60t/a</w:t>
            </w:r>
          </w:p>
        </w:tc>
        <w:tc>
          <w:tcPr>
            <w:tcW w:w="8034" w:type="dxa"/>
            <w:tcBorders>
              <w:tl2br w:val="nil"/>
              <w:tr2bl w:val="nil"/>
            </w:tcBorders>
            <w:vAlign w:val="center"/>
          </w:tcPr>
          <w:p w14:paraId="6039C52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金属边角料经收集后外售；</w:t>
            </w:r>
          </w:p>
          <w:p w14:paraId="7A4A65E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3B467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A3EA77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43866E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73E0686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63F4D1F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w:t>
            </w:r>
          </w:p>
        </w:tc>
        <w:tc>
          <w:tcPr>
            <w:tcW w:w="1559" w:type="dxa"/>
            <w:tcBorders>
              <w:tl2br w:val="nil"/>
              <w:tr2bl w:val="nil"/>
            </w:tcBorders>
            <w:vAlign w:val="center"/>
          </w:tcPr>
          <w:p w14:paraId="45A3FA3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5t/a</w:t>
            </w:r>
          </w:p>
        </w:tc>
        <w:tc>
          <w:tcPr>
            <w:tcW w:w="8034" w:type="dxa"/>
            <w:tcBorders>
              <w:tl2br w:val="nil"/>
              <w:tr2bl w:val="nil"/>
            </w:tcBorders>
            <w:vAlign w:val="center"/>
          </w:tcPr>
          <w:p w14:paraId="20B1331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废液压油、废机油、污水处理污泥等危险废物交由有资质单位处理</w:t>
            </w:r>
          </w:p>
        </w:tc>
      </w:tr>
      <w:tr w14:paraId="12F89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1EC39B8">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52</w:t>
            </w:r>
          </w:p>
        </w:tc>
        <w:tc>
          <w:tcPr>
            <w:tcW w:w="1165" w:type="dxa"/>
            <w:vMerge w:val="restart"/>
            <w:tcBorders>
              <w:tl2br w:val="nil"/>
              <w:tr2bl w:val="nil"/>
            </w:tcBorders>
            <w:vAlign w:val="center"/>
          </w:tcPr>
          <w:p w14:paraId="54F4F5F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湖南春晓明珠门窗有限公司</w:t>
            </w:r>
          </w:p>
        </w:tc>
        <w:tc>
          <w:tcPr>
            <w:tcW w:w="1134" w:type="dxa"/>
            <w:tcBorders>
              <w:tl2br w:val="nil"/>
              <w:tr2bl w:val="nil"/>
            </w:tcBorders>
            <w:vAlign w:val="center"/>
          </w:tcPr>
          <w:p w14:paraId="7FB6C4A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5C0D92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COD、氨氮、SS</w:t>
            </w:r>
          </w:p>
        </w:tc>
        <w:tc>
          <w:tcPr>
            <w:tcW w:w="1559" w:type="dxa"/>
            <w:tcBorders>
              <w:tl2br w:val="nil"/>
              <w:tr2bl w:val="nil"/>
            </w:tcBorders>
            <w:vAlign w:val="center"/>
          </w:tcPr>
          <w:p w14:paraId="62679A5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10058.4t/a</w:t>
            </w:r>
          </w:p>
        </w:tc>
        <w:tc>
          <w:tcPr>
            <w:tcW w:w="8034" w:type="dxa"/>
            <w:tcBorders>
              <w:tl2br w:val="nil"/>
              <w:tr2bl w:val="nil"/>
            </w:tcBorders>
            <w:vAlign w:val="center"/>
          </w:tcPr>
          <w:p w14:paraId="1F68906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清洗废水经二级沉淀池处理后，再经园区污水管网排入松木污水处理厂处理；</w:t>
            </w:r>
          </w:p>
          <w:p w14:paraId="0C41778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磨边冲洗水经静置沉淀后循环利用不外排；</w:t>
            </w:r>
          </w:p>
          <w:p w14:paraId="42CA8BA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生活污水经化粪池处理后，经园区污水管网排入松木污水处理厂处理</w:t>
            </w:r>
          </w:p>
        </w:tc>
      </w:tr>
      <w:tr w14:paraId="5AC84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C131AB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2DC3E3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8854D0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6ACE614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VOC</w:t>
            </w:r>
            <w:r>
              <w:rPr>
                <w:rFonts w:hint="default" w:ascii="Times New Roman" w:hAnsi="Times New Roman" w:eastAsia="宋体" w:cs="Times New Roman"/>
                <w:color w:val="auto"/>
                <w:sz w:val="21"/>
                <w:szCs w:val="21"/>
                <w:highlight w:val="none"/>
                <w:u w:val="none" w:color="auto"/>
                <w:vertAlign w:val="subscript"/>
              </w:rPr>
              <w:t>S</w:t>
            </w:r>
            <w:r>
              <w:rPr>
                <w:rFonts w:hint="default" w:ascii="Times New Roman" w:hAnsi="Times New Roman" w:eastAsia="宋体" w:cs="Times New Roman"/>
                <w:color w:val="auto"/>
                <w:sz w:val="21"/>
                <w:szCs w:val="21"/>
                <w:highlight w:val="none"/>
                <w:u w:val="none" w:color="auto"/>
              </w:rPr>
              <w:t>、油烟</w:t>
            </w:r>
          </w:p>
        </w:tc>
        <w:tc>
          <w:tcPr>
            <w:tcW w:w="1559" w:type="dxa"/>
            <w:tcBorders>
              <w:tl2br w:val="nil"/>
              <w:tr2bl w:val="nil"/>
            </w:tcBorders>
            <w:vAlign w:val="center"/>
          </w:tcPr>
          <w:p w14:paraId="5C5D850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p>
        </w:tc>
        <w:tc>
          <w:tcPr>
            <w:tcW w:w="8034" w:type="dxa"/>
            <w:tcBorders>
              <w:tl2br w:val="nil"/>
              <w:tr2bl w:val="nil"/>
            </w:tcBorders>
            <w:vAlign w:val="center"/>
          </w:tcPr>
          <w:p w14:paraId="462E227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打胶机、涂丁基胶等工序会产生有机废气经气楼排放；</w:t>
            </w:r>
          </w:p>
          <w:p w14:paraId="755C595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食堂油烟废气净化处理后通过专用排气筒至屋顶高空排放</w:t>
            </w:r>
          </w:p>
        </w:tc>
      </w:tr>
      <w:tr w14:paraId="01613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410A5C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7FADBA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DA395E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3847EE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1FBBE70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428.45t/a</w:t>
            </w:r>
          </w:p>
        </w:tc>
        <w:tc>
          <w:tcPr>
            <w:tcW w:w="8034" w:type="dxa"/>
            <w:tcBorders>
              <w:tl2br w:val="nil"/>
              <w:tr2bl w:val="nil"/>
            </w:tcBorders>
            <w:vAlign w:val="center"/>
          </w:tcPr>
          <w:p w14:paraId="4192C04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玻璃边角料、铝材边角料、金属粉尘等收集后外卖；</w:t>
            </w:r>
          </w:p>
          <w:p w14:paraId="1E42311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残留焊丝收集后回用；</w:t>
            </w:r>
          </w:p>
          <w:p w14:paraId="5978F08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生活垃圾、玻璃泥、清洗废水沉淀渣交由环卫部门进行处理</w:t>
            </w:r>
          </w:p>
        </w:tc>
      </w:tr>
      <w:tr w14:paraId="32E0B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F199CFE">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53</w:t>
            </w:r>
          </w:p>
        </w:tc>
        <w:tc>
          <w:tcPr>
            <w:tcW w:w="1165" w:type="dxa"/>
            <w:vMerge w:val="restart"/>
            <w:tcBorders>
              <w:tl2br w:val="nil"/>
              <w:tr2bl w:val="nil"/>
            </w:tcBorders>
            <w:vAlign w:val="center"/>
          </w:tcPr>
          <w:p w14:paraId="6395D32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衡阳市金源开发建设投资有限责任公司（金兰砂场）</w:t>
            </w:r>
          </w:p>
        </w:tc>
        <w:tc>
          <w:tcPr>
            <w:tcW w:w="1134" w:type="dxa"/>
            <w:tcBorders>
              <w:tl2br w:val="nil"/>
              <w:tr2bl w:val="nil"/>
            </w:tcBorders>
            <w:vAlign w:val="center"/>
          </w:tcPr>
          <w:p w14:paraId="2B77DEB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0FE1CAF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36E0013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4504t/a</w:t>
            </w:r>
          </w:p>
        </w:tc>
        <w:tc>
          <w:tcPr>
            <w:tcW w:w="8034" w:type="dxa"/>
            <w:tcBorders>
              <w:tl2br w:val="nil"/>
              <w:tr2bl w:val="nil"/>
            </w:tcBorders>
            <w:vAlign w:val="center"/>
          </w:tcPr>
          <w:p w14:paraId="530AE95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地面、车辆、道路冲洗废水、初期雨水经初期雨水池沉淀</w:t>
            </w:r>
            <w:r>
              <w:rPr>
                <w:rFonts w:hint="default" w:ascii="Times New Roman" w:hAnsi="Times New Roman" w:eastAsia="宋体" w:cs="Times New Roman"/>
                <w:color w:val="auto"/>
                <w:kern w:val="44"/>
                <w:sz w:val="21"/>
                <w:szCs w:val="21"/>
                <w:highlight w:val="none"/>
                <w:u w:val="none" w:color="auto"/>
              </w:rPr>
              <w:t>后</w:t>
            </w:r>
            <w:r>
              <w:rPr>
                <w:rFonts w:hint="default" w:ascii="Times New Roman" w:hAnsi="Times New Roman" w:eastAsia="宋体" w:cs="Times New Roman"/>
                <w:color w:val="auto"/>
                <w:sz w:val="21"/>
                <w:szCs w:val="21"/>
                <w:highlight w:val="none"/>
                <w:u w:val="none" w:color="auto"/>
              </w:rPr>
              <w:t>回用于生产；</w:t>
            </w:r>
          </w:p>
          <w:p w14:paraId="308CFC1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生活污水经化粪池处理后，经园区污水管网排入松木污水处理厂处理</w:t>
            </w:r>
          </w:p>
        </w:tc>
      </w:tr>
      <w:tr w14:paraId="5146B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C33EE3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3499EA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5ED6814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32EF131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粉尘、油烟</w:t>
            </w:r>
          </w:p>
        </w:tc>
        <w:tc>
          <w:tcPr>
            <w:tcW w:w="1559" w:type="dxa"/>
            <w:tcBorders>
              <w:tl2br w:val="nil"/>
              <w:tr2bl w:val="nil"/>
            </w:tcBorders>
            <w:vAlign w:val="center"/>
          </w:tcPr>
          <w:p w14:paraId="1A91A86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p>
        </w:tc>
        <w:tc>
          <w:tcPr>
            <w:tcW w:w="8034" w:type="dxa"/>
            <w:tcBorders>
              <w:tl2br w:val="nil"/>
              <w:tr2bl w:val="nil"/>
            </w:tcBorders>
            <w:vAlign w:val="center"/>
          </w:tcPr>
          <w:p w14:paraId="22EB5F4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振动筛分产生粉尘通过喷淋降尘措施；</w:t>
            </w:r>
          </w:p>
          <w:p w14:paraId="6587033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油烟废气净化处理后通过专用排气筒至屋顶高空排放</w:t>
            </w:r>
          </w:p>
        </w:tc>
      </w:tr>
      <w:tr w14:paraId="447CC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92344E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5A3FF0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362F56C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3914437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586EA36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2003t/a</w:t>
            </w:r>
          </w:p>
        </w:tc>
        <w:tc>
          <w:tcPr>
            <w:tcW w:w="8034" w:type="dxa"/>
            <w:tcBorders>
              <w:tl2br w:val="nil"/>
              <w:tr2bl w:val="nil"/>
            </w:tcBorders>
            <w:vAlign w:val="center"/>
          </w:tcPr>
          <w:p w14:paraId="7537C7F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废水处理设施沉淀渣定期清捞；</w:t>
            </w:r>
          </w:p>
          <w:p w14:paraId="2C7892D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废弃设备零部件收集后送废品回收站回收利用；</w:t>
            </w:r>
          </w:p>
          <w:p w14:paraId="466889B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7B7CF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0D52C1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804B64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6456651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91CC81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419C723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0.01t/a</w:t>
            </w:r>
          </w:p>
        </w:tc>
        <w:tc>
          <w:tcPr>
            <w:tcW w:w="8034" w:type="dxa"/>
            <w:tcBorders>
              <w:tl2br w:val="nil"/>
              <w:tr2bl w:val="nil"/>
            </w:tcBorders>
            <w:vAlign w:val="center"/>
          </w:tcPr>
          <w:p w14:paraId="51BCD7F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废润滑油送衡阳市危险废物处置中心</w:t>
            </w:r>
          </w:p>
        </w:tc>
      </w:tr>
      <w:tr w14:paraId="183B9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169E13D">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54</w:t>
            </w:r>
          </w:p>
        </w:tc>
        <w:tc>
          <w:tcPr>
            <w:tcW w:w="1165" w:type="dxa"/>
            <w:vMerge w:val="restart"/>
            <w:tcBorders>
              <w:tl2br w:val="nil"/>
              <w:tr2bl w:val="nil"/>
            </w:tcBorders>
            <w:vAlign w:val="center"/>
          </w:tcPr>
          <w:p w14:paraId="74A35A8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衡阳市晋宏精细化工有限公司</w:t>
            </w:r>
          </w:p>
        </w:tc>
        <w:tc>
          <w:tcPr>
            <w:tcW w:w="1134" w:type="dxa"/>
            <w:tcBorders>
              <w:tl2br w:val="nil"/>
              <w:tr2bl w:val="nil"/>
            </w:tcBorders>
            <w:vAlign w:val="center"/>
          </w:tcPr>
          <w:p w14:paraId="0EBA895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32A37C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氰、Pb、Ag、SS、COD、氨氮</w:t>
            </w:r>
          </w:p>
        </w:tc>
        <w:tc>
          <w:tcPr>
            <w:tcW w:w="1559" w:type="dxa"/>
            <w:tcBorders>
              <w:tl2br w:val="nil"/>
              <w:tr2bl w:val="nil"/>
            </w:tcBorders>
            <w:vAlign w:val="center"/>
          </w:tcPr>
          <w:p w14:paraId="51A55FE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3570t/a</w:t>
            </w:r>
          </w:p>
        </w:tc>
        <w:tc>
          <w:tcPr>
            <w:tcW w:w="8034" w:type="dxa"/>
            <w:tcBorders>
              <w:tl2br w:val="nil"/>
              <w:tr2bl w:val="nil"/>
            </w:tcBorders>
            <w:vAlign w:val="center"/>
          </w:tcPr>
          <w:p w14:paraId="70338B5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氰化亚金钾生产废水经厂区自建污水处理管道进入含氰废水处理站处理；</w:t>
            </w:r>
          </w:p>
          <w:p w14:paraId="06A50CA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车间地面清洗废水经收集后进入含氰废水处理站处理；</w:t>
            </w:r>
          </w:p>
          <w:p w14:paraId="76E6B31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员工生产洗手水，工服清洗水经过管道收集至回用桶后进入含氰废水处理站处理；</w:t>
            </w:r>
          </w:p>
          <w:p w14:paraId="5BBE4B9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纯水制备所产生的浓排水进入含氰废水处理站处理；</w:t>
            </w:r>
          </w:p>
          <w:p w14:paraId="28CB02E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含氰废水处理站处理达标后废水回用于生产；</w:t>
            </w:r>
          </w:p>
          <w:p w14:paraId="15154AA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生活污水</w:t>
            </w:r>
            <w:r>
              <w:rPr>
                <w:rFonts w:hint="default" w:ascii="Times New Roman" w:hAnsi="Times New Roman" w:eastAsia="宋体" w:cs="Times New Roman"/>
                <w:color w:val="auto"/>
                <w:sz w:val="21"/>
                <w:szCs w:val="21"/>
                <w:highlight w:val="none"/>
                <w:u w:val="none" w:color="auto"/>
              </w:rPr>
              <w:t>经化粪池预处理后排入园区污水管网，进入松木污水处理厂处理，处理达标后排入湘江。</w:t>
            </w:r>
          </w:p>
        </w:tc>
      </w:tr>
      <w:tr w14:paraId="42DA4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F1FBFA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3930B7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09359F1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25B969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氰、烟尘</w:t>
            </w:r>
          </w:p>
        </w:tc>
        <w:tc>
          <w:tcPr>
            <w:tcW w:w="1559" w:type="dxa"/>
            <w:tcBorders>
              <w:tl2br w:val="nil"/>
              <w:tr2bl w:val="nil"/>
            </w:tcBorders>
            <w:vAlign w:val="center"/>
          </w:tcPr>
          <w:p w14:paraId="05D7E5C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E53D17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 xml:space="preserve">电解含氰废气先通过冷却系统进行冷却，冷却后的废气采用两级喷淋（焦亚硫酸钠+双氧水）+锌丝吸金法处理，最后经过气水分离，经由30m排气筒外排； </w:t>
            </w:r>
          </w:p>
          <w:p w14:paraId="4653C68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烘干废气经管道收集抽到含氰废气处理塔中处理后通过两级喷淋（焦亚硫酸钠+双氧水）+锌丝吸金法处理30m排气筒外排；</w:t>
            </w:r>
          </w:p>
          <w:p w14:paraId="4D3CDCB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再生金粉中频熔炉烟尘通过负压收集抽至综合废气吸收塔通过双氧水喷淋处理后通过28m排气筒外排</w:t>
            </w:r>
          </w:p>
        </w:tc>
      </w:tr>
      <w:tr w14:paraId="49159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5DBC7A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E56A77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23DBBBD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1E43B34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519A2D3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4.8t/a</w:t>
            </w:r>
          </w:p>
        </w:tc>
        <w:tc>
          <w:tcPr>
            <w:tcW w:w="8034" w:type="dxa"/>
            <w:tcBorders>
              <w:tl2br w:val="nil"/>
              <w:tr2bl w:val="nil"/>
            </w:tcBorders>
            <w:vAlign w:val="center"/>
          </w:tcPr>
          <w:p w14:paraId="4B6696E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废反渗透膜由厂家回收处置；</w:t>
            </w:r>
          </w:p>
          <w:p w14:paraId="7E01569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废包装材料及生活垃圾交由环卫部门进行处理</w:t>
            </w:r>
          </w:p>
        </w:tc>
      </w:tr>
      <w:tr w14:paraId="28AA3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D621F50">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55</w:t>
            </w:r>
          </w:p>
        </w:tc>
        <w:tc>
          <w:tcPr>
            <w:tcW w:w="1165" w:type="dxa"/>
            <w:vMerge w:val="restart"/>
            <w:tcBorders>
              <w:tl2br w:val="nil"/>
              <w:tr2bl w:val="nil"/>
            </w:tcBorders>
            <w:vAlign w:val="center"/>
          </w:tcPr>
          <w:p w14:paraId="0F4F6B4D">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衡阳市利美电瓶车制造有限公司</w:t>
            </w:r>
          </w:p>
        </w:tc>
        <w:tc>
          <w:tcPr>
            <w:tcW w:w="1134" w:type="dxa"/>
            <w:tcBorders>
              <w:tl2br w:val="nil"/>
              <w:tr2bl w:val="nil"/>
            </w:tcBorders>
            <w:vAlign w:val="center"/>
          </w:tcPr>
          <w:p w14:paraId="7FF9D5C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CCA19C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SS、COD、氨氮</w:t>
            </w:r>
          </w:p>
        </w:tc>
        <w:tc>
          <w:tcPr>
            <w:tcW w:w="1559" w:type="dxa"/>
            <w:tcBorders>
              <w:tl2br w:val="nil"/>
              <w:tr2bl w:val="nil"/>
            </w:tcBorders>
            <w:vAlign w:val="center"/>
          </w:tcPr>
          <w:p w14:paraId="60E4F38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18t/d</w:t>
            </w:r>
          </w:p>
        </w:tc>
        <w:tc>
          <w:tcPr>
            <w:tcW w:w="8034" w:type="dxa"/>
            <w:tcBorders>
              <w:tl2br w:val="nil"/>
              <w:tr2bl w:val="nil"/>
            </w:tcBorders>
            <w:vAlign w:val="center"/>
          </w:tcPr>
          <w:p w14:paraId="7FCF87A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生活污水</w:t>
            </w:r>
            <w:r>
              <w:rPr>
                <w:rFonts w:hint="default" w:ascii="Times New Roman" w:hAnsi="Times New Roman" w:eastAsia="宋体" w:cs="Times New Roman"/>
                <w:color w:val="auto"/>
                <w:sz w:val="21"/>
                <w:szCs w:val="21"/>
                <w:highlight w:val="none"/>
                <w:u w:val="none" w:color="auto"/>
              </w:rPr>
              <w:t>经化粪池预处理后排入园区污水管网，进入松木污水处理厂处理，处理达标后排入湘江。</w:t>
            </w:r>
          </w:p>
        </w:tc>
      </w:tr>
      <w:tr w14:paraId="4C2C9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5B49BD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7AB274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42D0E56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5D84173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VOC</w:t>
            </w:r>
            <w:r>
              <w:rPr>
                <w:rFonts w:hint="default" w:ascii="Times New Roman" w:hAnsi="Times New Roman" w:eastAsia="宋体" w:cs="Times New Roman"/>
                <w:color w:val="auto"/>
                <w:sz w:val="21"/>
                <w:szCs w:val="21"/>
                <w:highlight w:val="none"/>
                <w:u w:val="none" w:color="auto"/>
                <w:vertAlign w:val="subscript"/>
              </w:rPr>
              <w:t>S</w:t>
            </w:r>
          </w:p>
        </w:tc>
        <w:tc>
          <w:tcPr>
            <w:tcW w:w="1559" w:type="dxa"/>
            <w:tcBorders>
              <w:tl2br w:val="nil"/>
              <w:tr2bl w:val="nil"/>
            </w:tcBorders>
            <w:vAlign w:val="center"/>
          </w:tcPr>
          <w:p w14:paraId="397954C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8034" w:type="dxa"/>
            <w:tcBorders>
              <w:tl2br w:val="nil"/>
              <w:tr2bl w:val="nil"/>
            </w:tcBorders>
            <w:vAlign w:val="center"/>
          </w:tcPr>
          <w:p w14:paraId="7B302F2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采用集气罩收集后水淋处理外排</w:t>
            </w:r>
          </w:p>
        </w:tc>
      </w:tr>
      <w:tr w14:paraId="5E886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8B30B0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AF5BFE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244BD7F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7C0D08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52C6E9F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p>
        </w:tc>
        <w:tc>
          <w:tcPr>
            <w:tcW w:w="8034" w:type="dxa"/>
            <w:tcBorders>
              <w:tl2br w:val="nil"/>
              <w:tr2bl w:val="nil"/>
            </w:tcBorders>
            <w:vAlign w:val="center"/>
          </w:tcPr>
          <w:p w14:paraId="1D8C01B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642E9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16B02EB">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56</w:t>
            </w:r>
          </w:p>
        </w:tc>
        <w:tc>
          <w:tcPr>
            <w:tcW w:w="1165" w:type="dxa"/>
            <w:vMerge w:val="restart"/>
            <w:tcBorders>
              <w:tl2br w:val="nil"/>
              <w:tr2bl w:val="nil"/>
            </w:tcBorders>
            <w:vAlign w:val="center"/>
          </w:tcPr>
          <w:p w14:paraId="2A5BDD09">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松木港一期</w:t>
            </w:r>
          </w:p>
        </w:tc>
        <w:tc>
          <w:tcPr>
            <w:tcW w:w="1134" w:type="dxa"/>
            <w:tcBorders>
              <w:tl2br w:val="nil"/>
              <w:tr2bl w:val="nil"/>
            </w:tcBorders>
            <w:vAlign w:val="center"/>
          </w:tcPr>
          <w:p w14:paraId="568EF7B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2985AB4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石油类、SS、COD、氨氮</w:t>
            </w:r>
          </w:p>
        </w:tc>
        <w:tc>
          <w:tcPr>
            <w:tcW w:w="1559" w:type="dxa"/>
            <w:tcBorders>
              <w:tl2br w:val="nil"/>
              <w:tr2bl w:val="nil"/>
            </w:tcBorders>
            <w:vAlign w:val="center"/>
          </w:tcPr>
          <w:p w14:paraId="2A02718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11788.95t/a</w:t>
            </w:r>
          </w:p>
        </w:tc>
        <w:tc>
          <w:tcPr>
            <w:tcW w:w="8034" w:type="dxa"/>
            <w:tcBorders>
              <w:tl2br w:val="nil"/>
              <w:tr2bl w:val="nil"/>
            </w:tcBorders>
            <w:vAlign w:val="center"/>
          </w:tcPr>
          <w:p w14:paraId="4017456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船舶含油废水收集后由有条件的码头接收并处理；船舶生活污水经船舶生活污水处理装置处理后交由有接收条件的码头接收处理；</w:t>
            </w:r>
          </w:p>
          <w:p w14:paraId="2AC5F40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地面冲洗废水经管沟收集后纳入松木污水处理厂处理；</w:t>
            </w:r>
          </w:p>
          <w:p w14:paraId="3FB1590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机械冲洗、修理含油废水经隔油沉淀后进入园区污水管网，最终进入松木污水处理厂处理；</w:t>
            </w:r>
          </w:p>
          <w:p w14:paraId="3CB4E14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生活污水经化粪池处理后排入园区污水管网，送至松木污水处理厂处理</w:t>
            </w:r>
          </w:p>
        </w:tc>
      </w:tr>
      <w:tr w14:paraId="13C75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E21834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8C3A39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5DB3E42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69A6340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一氧化碳、氮氧化物</w:t>
            </w:r>
          </w:p>
        </w:tc>
        <w:tc>
          <w:tcPr>
            <w:tcW w:w="1559" w:type="dxa"/>
            <w:tcBorders>
              <w:tl2br w:val="nil"/>
              <w:tr2bl w:val="nil"/>
            </w:tcBorders>
            <w:vAlign w:val="center"/>
          </w:tcPr>
          <w:p w14:paraId="41C75B8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p>
        </w:tc>
        <w:tc>
          <w:tcPr>
            <w:tcW w:w="8034" w:type="dxa"/>
            <w:tcBorders>
              <w:tl2br w:val="nil"/>
              <w:tr2bl w:val="nil"/>
            </w:tcBorders>
            <w:vAlign w:val="center"/>
          </w:tcPr>
          <w:p w14:paraId="459CC5D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车辆及船舶排放尾气呈无组织排放</w:t>
            </w:r>
          </w:p>
        </w:tc>
      </w:tr>
      <w:tr w14:paraId="03634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93DFE9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22F772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restart"/>
            <w:tcBorders>
              <w:tl2br w:val="nil"/>
              <w:tr2bl w:val="nil"/>
            </w:tcBorders>
            <w:vAlign w:val="center"/>
          </w:tcPr>
          <w:p w14:paraId="559EC83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46F802B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D2C30B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100t/a</w:t>
            </w:r>
          </w:p>
        </w:tc>
        <w:tc>
          <w:tcPr>
            <w:tcW w:w="8034" w:type="dxa"/>
            <w:vMerge w:val="restart"/>
            <w:tcBorders>
              <w:tl2br w:val="nil"/>
              <w:tr2bl w:val="nil"/>
            </w:tcBorders>
            <w:vAlign w:val="center"/>
          </w:tcPr>
          <w:p w14:paraId="3629783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5A57CE9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废油交由有资质单位处理</w:t>
            </w:r>
          </w:p>
        </w:tc>
      </w:tr>
      <w:tr w14:paraId="11CD3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D0D43A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E42E7A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continue"/>
            <w:tcBorders>
              <w:tl2br w:val="nil"/>
              <w:tr2bl w:val="nil"/>
            </w:tcBorders>
            <w:vAlign w:val="center"/>
          </w:tcPr>
          <w:p w14:paraId="60705E1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499E3CA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12516CB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3.6t/a</w:t>
            </w:r>
          </w:p>
        </w:tc>
        <w:tc>
          <w:tcPr>
            <w:tcW w:w="8034" w:type="dxa"/>
            <w:vMerge w:val="continue"/>
            <w:tcBorders>
              <w:tl2br w:val="nil"/>
              <w:tr2bl w:val="nil"/>
            </w:tcBorders>
            <w:vAlign w:val="center"/>
          </w:tcPr>
          <w:p w14:paraId="0C5C153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238BA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5968D9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57</w:t>
            </w:r>
          </w:p>
        </w:tc>
        <w:tc>
          <w:tcPr>
            <w:tcW w:w="1165" w:type="dxa"/>
            <w:vMerge w:val="restart"/>
            <w:tcBorders>
              <w:tl2br w:val="nil"/>
              <w:tr2bl w:val="nil"/>
            </w:tcBorders>
            <w:vAlign w:val="center"/>
          </w:tcPr>
          <w:p w14:paraId="316F7337">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衡阳市锦轩化工有限公司</w:t>
            </w:r>
          </w:p>
        </w:tc>
        <w:tc>
          <w:tcPr>
            <w:tcW w:w="1134" w:type="dxa"/>
            <w:tcBorders>
              <w:tl2br w:val="nil"/>
              <w:tr2bl w:val="nil"/>
            </w:tcBorders>
            <w:vAlign w:val="center"/>
          </w:tcPr>
          <w:p w14:paraId="53FD6A5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CB3218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、SS、COD、BOD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、NH</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-N、氟化物</w:t>
            </w:r>
          </w:p>
        </w:tc>
        <w:tc>
          <w:tcPr>
            <w:tcW w:w="1559" w:type="dxa"/>
            <w:tcBorders>
              <w:tl2br w:val="nil"/>
              <w:tr2bl w:val="nil"/>
            </w:tcBorders>
            <w:vAlign w:val="center"/>
          </w:tcPr>
          <w:p w14:paraId="07C211A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421.2m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/a</w:t>
            </w:r>
          </w:p>
        </w:tc>
        <w:tc>
          <w:tcPr>
            <w:tcW w:w="8034" w:type="dxa"/>
            <w:tcBorders>
              <w:tl2br w:val="nil"/>
              <w:tr2bl w:val="nil"/>
            </w:tcBorders>
            <w:vAlign w:val="center"/>
          </w:tcPr>
          <w:p w14:paraId="55441C4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生产区清洗水和初期雨水集中收集后经厂内污水站预处理后通过污水管网排至松木污水处理厂，厂区污水处理站处理工艺为“气提+沉淀”；</w:t>
            </w:r>
          </w:p>
          <w:p w14:paraId="4A2E721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生活污水经厂区化粪池处理后，汇入经开区污水管网，最终进入松木污水处理厂处理达标后外排湘江</w:t>
            </w:r>
          </w:p>
        </w:tc>
      </w:tr>
      <w:tr w14:paraId="048B7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CA3F26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65" w:type="dxa"/>
            <w:vMerge w:val="continue"/>
            <w:tcBorders>
              <w:tl2br w:val="nil"/>
              <w:tr2bl w:val="nil"/>
            </w:tcBorders>
            <w:vAlign w:val="center"/>
          </w:tcPr>
          <w:p w14:paraId="3D58A4B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C56C5D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1D9A39D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颗粒物</w:t>
            </w:r>
          </w:p>
        </w:tc>
        <w:tc>
          <w:tcPr>
            <w:tcW w:w="1559" w:type="dxa"/>
            <w:tcBorders>
              <w:tl2br w:val="nil"/>
              <w:tr2bl w:val="nil"/>
            </w:tcBorders>
            <w:vAlign w:val="center"/>
          </w:tcPr>
          <w:p w14:paraId="123F1CE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369C649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干燥环节产生的粉尘先经旋风除尘器一次处理；粉碎环节产生的粉尘浓先经布袋除尘器一次处理后，然后两股粉尘集中收集进入湿式除尘器内统一再经过二次除尘处理达标后，通过20m高的排气筒外排</w:t>
            </w:r>
          </w:p>
        </w:tc>
      </w:tr>
      <w:tr w14:paraId="61D7B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01BD76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65" w:type="dxa"/>
            <w:vMerge w:val="continue"/>
            <w:tcBorders>
              <w:tl2br w:val="nil"/>
              <w:tr2bl w:val="nil"/>
            </w:tcBorders>
            <w:vAlign w:val="center"/>
          </w:tcPr>
          <w:p w14:paraId="62E50A6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1333E8D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1F2FD1C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39419E4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28.765t/a</w:t>
            </w:r>
          </w:p>
        </w:tc>
        <w:tc>
          <w:tcPr>
            <w:tcW w:w="8034" w:type="dxa"/>
            <w:tcBorders>
              <w:tl2br w:val="nil"/>
              <w:tr2bl w:val="nil"/>
            </w:tcBorders>
            <w:vAlign w:val="center"/>
          </w:tcPr>
          <w:p w14:paraId="098A5F8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p w14:paraId="6FE8606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粉尘尘渣回用于生产</w:t>
            </w:r>
          </w:p>
        </w:tc>
      </w:tr>
      <w:tr w14:paraId="33B87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14661D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65" w:type="dxa"/>
            <w:vMerge w:val="continue"/>
            <w:tcBorders>
              <w:tl2br w:val="nil"/>
              <w:tr2bl w:val="nil"/>
            </w:tcBorders>
            <w:vAlign w:val="center"/>
          </w:tcPr>
          <w:p w14:paraId="7D2E792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2705A44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4D78D0B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35641C5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8t/a</w:t>
            </w:r>
          </w:p>
        </w:tc>
        <w:tc>
          <w:tcPr>
            <w:tcW w:w="8034" w:type="dxa"/>
            <w:tcBorders>
              <w:tl2br w:val="nil"/>
              <w:tr2bl w:val="nil"/>
            </w:tcBorders>
            <w:vAlign w:val="center"/>
          </w:tcPr>
          <w:p w14:paraId="6A58E25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委托有相应危废资质的单位回收处置</w:t>
            </w:r>
          </w:p>
        </w:tc>
      </w:tr>
      <w:tr w14:paraId="4B7DE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7BC99A1">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58</w:t>
            </w:r>
          </w:p>
        </w:tc>
        <w:tc>
          <w:tcPr>
            <w:tcW w:w="1165" w:type="dxa"/>
            <w:vMerge w:val="restart"/>
            <w:tcBorders>
              <w:tl2br w:val="nil"/>
              <w:tr2bl w:val="nil"/>
            </w:tcBorders>
            <w:vAlign w:val="center"/>
          </w:tcPr>
          <w:p w14:paraId="00F87AB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衡阳恒缘新材料科技股份有限公司</w:t>
            </w:r>
          </w:p>
        </w:tc>
        <w:tc>
          <w:tcPr>
            <w:tcW w:w="1134" w:type="dxa"/>
            <w:tcBorders>
              <w:tl2br w:val="nil"/>
              <w:tr2bl w:val="nil"/>
            </w:tcBorders>
            <w:vAlign w:val="center"/>
          </w:tcPr>
          <w:p w14:paraId="6AD647B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0138597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COD、氨氮、石油类、SS、挥发酚</w:t>
            </w:r>
          </w:p>
        </w:tc>
        <w:tc>
          <w:tcPr>
            <w:tcW w:w="1559" w:type="dxa"/>
            <w:tcBorders>
              <w:tl2br w:val="nil"/>
              <w:tr2bl w:val="nil"/>
            </w:tcBorders>
            <w:vAlign w:val="center"/>
          </w:tcPr>
          <w:p w14:paraId="1CC9ED8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47574t/a</w:t>
            </w:r>
          </w:p>
        </w:tc>
        <w:tc>
          <w:tcPr>
            <w:tcW w:w="8034" w:type="dxa"/>
            <w:tcBorders>
              <w:tl2br w:val="nil"/>
              <w:tr2bl w:val="nil"/>
            </w:tcBorders>
            <w:vAlign w:val="center"/>
          </w:tcPr>
          <w:p w14:paraId="09605F5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酯化反应生成水等工艺废水经收集暂存后委托有资质单位处理；</w:t>
            </w:r>
          </w:p>
          <w:p w14:paraId="329D24D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车间地面冲洗废水、机泵冷却水排水经沉砂、隔油池处理达标后通过市政管网送至松木污水处理厂处理；</w:t>
            </w:r>
          </w:p>
          <w:p w14:paraId="700557C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机加工废水经沉淀处理后循环回用；</w:t>
            </w:r>
          </w:p>
          <w:p w14:paraId="65827E9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生活污水</w:t>
            </w:r>
            <w:r>
              <w:rPr>
                <w:rFonts w:hint="default" w:ascii="Times New Roman" w:hAnsi="Times New Roman" w:eastAsia="宋体" w:cs="Times New Roman"/>
                <w:color w:val="auto"/>
                <w:sz w:val="21"/>
                <w:szCs w:val="21"/>
                <w:highlight w:val="none"/>
                <w:u w:val="none" w:color="auto"/>
              </w:rPr>
              <w:t>经化粪池预处理后排入园区污水管网，进入松木污水处理厂处理，处理达标后排入湘江。</w:t>
            </w:r>
          </w:p>
        </w:tc>
      </w:tr>
      <w:tr w14:paraId="510E3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B2DC11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130674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4A6F742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640A856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粉尘、甲醇、甲苯、二甲苯、甲醛、非甲烷总体</w:t>
            </w:r>
          </w:p>
        </w:tc>
        <w:tc>
          <w:tcPr>
            <w:tcW w:w="1559" w:type="dxa"/>
            <w:tcBorders>
              <w:tl2br w:val="nil"/>
              <w:tr2bl w:val="nil"/>
            </w:tcBorders>
            <w:vAlign w:val="center"/>
          </w:tcPr>
          <w:p w14:paraId="54293B1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5446EF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成型件加工车间含尘废气经布袋收尘后经15m排气筒排放；</w:t>
            </w:r>
          </w:p>
          <w:p w14:paraId="35F7F7D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层压车间、油漆树脂车间工艺废气、云母管棒车间废气等经蓄热焚烧炉焚烧后经15m高排气筒排放</w:t>
            </w:r>
          </w:p>
        </w:tc>
      </w:tr>
      <w:tr w14:paraId="11CD4D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FA9794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B3695D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05A78F3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CD6A37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7C9BA3B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394t/a</w:t>
            </w:r>
          </w:p>
        </w:tc>
        <w:tc>
          <w:tcPr>
            <w:tcW w:w="8034" w:type="dxa"/>
            <w:tcBorders>
              <w:tl2br w:val="nil"/>
              <w:tr2bl w:val="nil"/>
            </w:tcBorders>
            <w:vAlign w:val="center"/>
          </w:tcPr>
          <w:p w14:paraId="72FCF97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废水沉淀渣、布袋收尘灰、机加工废渣等收集后送生活垃圾填埋场处理；</w:t>
            </w:r>
          </w:p>
          <w:p w14:paraId="7A0C689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废包装材料由厂家回收；</w:t>
            </w:r>
          </w:p>
          <w:p w14:paraId="0B1B961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60218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3DEEB3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01D56F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62CF3A8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2E55664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6E5A0C6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123.399t/a</w:t>
            </w:r>
          </w:p>
        </w:tc>
        <w:tc>
          <w:tcPr>
            <w:tcW w:w="8034" w:type="dxa"/>
            <w:tcBorders>
              <w:tl2br w:val="nil"/>
              <w:tr2bl w:val="nil"/>
            </w:tcBorders>
            <w:vAlign w:val="center"/>
          </w:tcPr>
          <w:p w14:paraId="2638DDD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过滤渣、废导热油、废劳保用品、酯化反应废水经收集后送有资质单位处理</w:t>
            </w:r>
          </w:p>
        </w:tc>
      </w:tr>
      <w:tr w14:paraId="31883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96ED503">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59</w:t>
            </w:r>
          </w:p>
        </w:tc>
        <w:tc>
          <w:tcPr>
            <w:tcW w:w="1165" w:type="dxa"/>
            <w:vMerge w:val="restart"/>
            <w:tcBorders>
              <w:tl2br w:val="nil"/>
              <w:tr2bl w:val="nil"/>
            </w:tcBorders>
            <w:vAlign w:val="center"/>
          </w:tcPr>
          <w:p w14:paraId="743B4B55">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衡阳力赛储能有限公司</w:t>
            </w:r>
          </w:p>
        </w:tc>
        <w:tc>
          <w:tcPr>
            <w:tcW w:w="1134" w:type="dxa"/>
            <w:tcBorders>
              <w:tl2br w:val="nil"/>
              <w:tr2bl w:val="nil"/>
            </w:tcBorders>
            <w:vAlign w:val="center"/>
          </w:tcPr>
          <w:p w14:paraId="76FBACA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282CFBE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COD、P、Li、氨氮、SS</w:t>
            </w:r>
          </w:p>
        </w:tc>
        <w:tc>
          <w:tcPr>
            <w:tcW w:w="1559" w:type="dxa"/>
            <w:tcBorders>
              <w:tl2br w:val="nil"/>
              <w:tr2bl w:val="nil"/>
            </w:tcBorders>
            <w:vAlign w:val="center"/>
          </w:tcPr>
          <w:p w14:paraId="2932963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1726.35t/a</w:t>
            </w:r>
          </w:p>
        </w:tc>
        <w:tc>
          <w:tcPr>
            <w:tcW w:w="8034" w:type="dxa"/>
            <w:tcBorders>
              <w:tl2br w:val="nil"/>
              <w:tr2bl w:val="nil"/>
            </w:tcBorders>
            <w:vAlign w:val="center"/>
          </w:tcPr>
          <w:p w14:paraId="4C8D0E1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电池清洗废水经厂区污水处理站（调节</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值+一级氧化处理+二级强氧化处理+絮凝沉淀）处理后排入松木污水处理厂处理；</w:t>
            </w:r>
          </w:p>
          <w:p w14:paraId="7E1F7D6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生活污水</w:t>
            </w:r>
            <w:r>
              <w:rPr>
                <w:rFonts w:hint="default" w:ascii="Times New Roman" w:hAnsi="Times New Roman" w:eastAsia="宋体" w:cs="Times New Roman"/>
                <w:color w:val="auto"/>
                <w:sz w:val="21"/>
                <w:szCs w:val="21"/>
                <w:highlight w:val="none"/>
                <w:u w:val="none" w:color="auto"/>
              </w:rPr>
              <w:t>经化粪池预处理后排入园区污水管网，进入松木污水处理厂处理，处理达标后排入湘江</w:t>
            </w:r>
          </w:p>
        </w:tc>
      </w:tr>
      <w:tr w14:paraId="12479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CAABBB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FFCD31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32813AA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B3E681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VOC</w:t>
            </w:r>
            <w:r>
              <w:rPr>
                <w:rFonts w:hint="default" w:ascii="Times New Roman" w:hAnsi="Times New Roman" w:eastAsia="宋体" w:cs="Times New Roman"/>
                <w:color w:val="auto"/>
                <w:sz w:val="21"/>
                <w:szCs w:val="21"/>
                <w:highlight w:val="none"/>
                <w:u w:val="none" w:color="auto"/>
                <w:vertAlign w:val="subscript"/>
              </w:rPr>
              <w:t>S</w:t>
            </w:r>
          </w:p>
        </w:tc>
        <w:tc>
          <w:tcPr>
            <w:tcW w:w="1559" w:type="dxa"/>
            <w:tcBorders>
              <w:tl2br w:val="nil"/>
              <w:tr2bl w:val="nil"/>
            </w:tcBorders>
            <w:vAlign w:val="center"/>
          </w:tcPr>
          <w:p w14:paraId="65F0F4D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47A2C45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涂布烘干废气经转轮吸附系统吸收后部分返回涂布工序，部分通过15m高排气筒排放；</w:t>
            </w:r>
          </w:p>
          <w:p w14:paraId="3B5CEA1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电解液废气经转轮吸附系统吸收后通过15m高排气筒排放；</w:t>
            </w:r>
          </w:p>
        </w:tc>
      </w:tr>
      <w:tr w14:paraId="199AC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041B20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142C45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restart"/>
            <w:tcBorders>
              <w:tl2br w:val="nil"/>
              <w:tr2bl w:val="nil"/>
            </w:tcBorders>
            <w:vAlign w:val="center"/>
          </w:tcPr>
          <w:p w14:paraId="5CDE5A1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253BABF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5495569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43.675t/a</w:t>
            </w:r>
          </w:p>
        </w:tc>
        <w:tc>
          <w:tcPr>
            <w:tcW w:w="8034" w:type="dxa"/>
            <w:tcBorders>
              <w:tl2br w:val="nil"/>
              <w:tr2bl w:val="nil"/>
            </w:tcBorders>
            <w:vAlign w:val="center"/>
          </w:tcPr>
          <w:p w14:paraId="3E5E987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废包装材料、正负极板下角料、废极耳、废铜箔等外售综合利用；</w:t>
            </w:r>
          </w:p>
          <w:p w14:paraId="36197AB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2AB8A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A5426B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F01CEB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continue"/>
            <w:tcBorders>
              <w:tl2br w:val="nil"/>
              <w:tr2bl w:val="nil"/>
            </w:tcBorders>
            <w:vAlign w:val="center"/>
          </w:tcPr>
          <w:p w14:paraId="0D84E19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6E84FF8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0424AE5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952.6t/a</w:t>
            </w:r>
          </w:p>
        </w:tc>
        <w:tc>
          <w:tcPr>
            <w:tcW w:w="8034" w:type="dxa"/>
            <w:tcBorders>
              <w:tl2br w:val="nil"/>
              <w:tr2bl w:val="nil"/>
            </w:tcBorders>
            <w:vAlign w:val="center"/>
          </w:tcPr>
          <w:p w14:paraId="0E18A35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污泥委托有资质单位处理；</w:t>
            </w:r>
          </w:p>
          <w:p w14:paraId="3CC0E32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NMP冷凝回收液送生产厂家回收处理</w:t>
            </w:r>
          </w:p>
        </w:tc>
      </w:tr>
      <w:tr w14:paraId="595D5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641BD45">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60</w:t>
            </w:r>
          </w:p>
        </w:tc>
        <w:tc>
          <w:tcPr>
            <w:tcW w:w="1165" w:type="dxa"/>
            <w:vMerge w:val="restart"/>
            <w:tcBorders>
              <w:tl2br w:val="nil"/>
              <w:tr2bl w:val="nil"/>
            </w:tcBorders>
            <w:vAlign w:val="center"/>
          </w:tcPr>
          <w:p w14:paraId="48E6C83B">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湖南大合新材料有限公司</w:t>
            </w:r>
          </w:p>
        </w:tc>
        <w:tc>
          <w:tcPr>
            <w:tcW w:w="1134" w:type="dxa"/>
            <w:tcBorders>
              <w:tl2br w:val="nil"/>
              <w:tr2bl w:val="nil"/>
            </w:tcBorders>
            <w:vAlign w:val="center"/>
          </w:tcPr>
          <w:p w14:paraId="7CA006E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24EDD74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SS、COD、石油类、硫化物、氨氮</w:t>
            </w:r>
          </w:p>
        </w:tc>
        <w:tc>
          <w:tcPr>
            <w:tcW w:w="1559" w:type="dxa"/>
            <w:tcBorders>
              <w:tl2br w:val="nil"/>
              <w:tr2bl w:val="nil"/>
            </w:tcBorders>
            <w:vAlign w:val="center"/>
          </w:tcPr>
          <w:p w14:paraId="2DD4BAE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30967t/a</w:t>
            </w:r>
          </w:p>
        </w:tc>
        <w:tc>
          <w:tcPr>
            <w:tcW w:w="8034" w:type="dxa"/>
            <w:tcBorders>
              <w:tl2br w:val="nil"/>
              <w:tr2bl w:val="nil"/>
            </w:tcBorders>
            <w:vAlign w:val="center"/>
          </w:tcPr>
          <w:p w14:paraId="1C878CE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酯化冷凝废水、环合废水、精制废水、洗涤塔废水、CS2储罐水封废水、设备及地面冲洗水等生产废水及初期雨水收集后经硫酸亚铁沉淀+芬顿反应+MVR蒸发+生化处理后部分回用，其余排至园区污水处理厂处理；</w:t>
            </w:r>
          </w:p>
          <w:p w14:paraId="1D94E93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生活污水</w:t>
            </w:r>
            <w:r>
              <w:rPr>
                <w:rFonts w:hint="default" w:ascii="Times New Roman" w:hAnsi="Times New Roman" w:eastAsia="宋体" w:cs="Times New Roman"/>
                <w:color w:val="auto"/>
                <w:sz w:val="21"/>
                <w:szCs w:val="21"/>
                <w:highlight w:val="none"/>
                <w:u w:val="none" w:color="auto"/>
              </w:rPr>
              <w:t>经化粪池预处理后排入园区污水管网，进入松木污水处理厂处理，处理达标后排入湘江</w:t>
            </w:r>
          </w:p>
        </w:tc>
      </w:tr>
      <w:tr w14:paraId="1A989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1EF702D">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602E62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1927835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374B1A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二氧化硫、VOC</w:t>
            </w:r>
            <w:r>
              <w:rPr>
                <w:rFonts w:hint="default" w:ascii="Times New Roman" w:hAnsi="Times New Roman" w:eastAsia="宋体" w:cs="Times New Roman"/>
                <w:color w:val="auto"/>
                <w:sz w:val="21"/>
                <w:szCs w:val="21"/>
                <w:highlight w:val="none"/>
                <w:u w:val="none" w:color="auto"/>
                <w:vertAlign w:val="subscript"/>
              </w:rPr>
              <w:t>S</w:t>
            </w:r>
            <w:r>
              <w:rPr>
                <w:rFonts w:hint="default" w:ascii="Times New Roman" w:hAnsi="Times New Roman" w:eastAsia="宋体" w:cs="Times New Roman"/>
                <w:color w:val="auto"/>
                <w:sz w:val="21"/>
                <w:szCs w:val="21"/>
                <w:highlight w:val="none"/>
                <w:u w:val="none" w:color="auto"/>
              </w:rPr>
              <w:t>、粉尘、氯化氢、NH</w:t>
            </w:r>
            <w:r>
              <w:rPr>
                <w:rFonts w:hint="default" w:ascii="Times New Roman" w:hAnsi="Times New Roman" w:eastAsia="宋体" w:cs="Times New Roman"/>
                <w:color w:val="auto"/>
                <w:sz w:val="21"/>
                <w:szCs w:val="21"/>
                <w:highlight w:val="none"/>
                <w:u w:val="none" w:color="auto"/>
                <w:vertAlign w:val="subscript"/>
              </w:rPr>
              <w:t>3</w:t>
            </w:r>
          </w:p>
        </w:tc>
        <w:tc>
          <w:tcPr>
            <w:tcW w:w="1559" w:type="dxa"/>
            <w:tcBorders>
              <w:tl2br w:val="nil"/>
              <w:tr2bl w:val="nil"/>
            </w:tcBorders>
            <w:vAlign w:val="center"/>
          </w:tcPr>
          <w:p w14:paraId="1727A40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041610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酯化反应尾气、环合釜尾气和半胱胺盐酸盐减压精馏尾气经引风机引至洗涤塔经一级碱洗+一级水洗后，由20米排气筒外排；</w:t>
            </w:r>
          </w:p>
          <w:p w14:paraId="7B7BCB4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水解尾气送水降膜吸收塔+填料塔回收氯化氢后送硫化氢焚烧炉尾气送至湖南恒光化工有限公司硫酸制酸系统经“二转二吸工艺”生产硫酸；</w:t>
            </w:r>
          </w:p>
          <w:p w14:paraId="28F5D6E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元明粉离心干燥器自带旋风除尘和布袋除尘器处理后由17米排气筒外排</w:t>
            </w:r>
          </w:p>
        </w:tc>
      </w:tr>
      <w:tr w14:paraId="46536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43FD1C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40964B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restart"/>
            <w:tcBorders>
              <w:tl2br w:val="nil"/>
              <w:tr2bl w:val="nil"/>
            </w:tcBorders>
            <w:vAlign w:val="center"/>
          </w:tcPr>
          <w:p w14:paraId="5D8150C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2B328D6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E4EAB3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689t/a</w:t>
            </w:r>
          </w:p>
        </w:tc>
        <w:tc>
          <w:tcPr>
            <w:tcW w:w="8034" w:type="dxa"/>
            <w:tcBorders>
              <w:tl2br w:val="nil"/>
              <w:tr2bl w:val="nil"/>
            </w:tcBorders>
            <w:vAlign w:val="center"/>
          </w:tcPr>
          <w:p w14:paraId="5239BCB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废水处理站污泥经脱水后送至垃圾填埋场填埋、粉尘外售、废旧包装袋/桶返回厂家利用；生活垃圾交由环卫部门处理</w:t>
            </w:r>
          </w:p>
        </w:tc>
      </w:tr>
      <w:tr w14:paraId="56AF8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B2AB2B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099F0A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continue"/>
            <w:tcBorders>
              <w:tl2br w:val="nil"/>
              <w:tr2bl w:val="nil"/>
            </w:tcBorders>
            <w:vAlign w:val="center"/>
          </w:tcPr>
          <w:p w14:paraId="525386A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2AD7C9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5FD1241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3.236t/a</w:t>
            </w:r>
          </w:p>
        </w:tc>
        <w:tc>
          <w:tcPr>
            <w:tcW w:w="8034" w:type="dxa"/>
            <w:tcBorders>
              <w:tl2br w:val="nil"/>
              <w:tr2bl w:val="nil"/>
            </w:tcBorders>
            <w:vAlign w:val="center"/>
          </w:tcPr>
          <w:p w14:paraId="045BF48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交由资质单位处理</w:t>
            </w:r>
          </w:p>
        </w:tc>
      </w:tr>
      <w:tr w14:paraId="52D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8C8F993">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61</w:t>
            </w:r>
          </w:p>
        </w:tc>
        <w:tc>
          <w:tcPr>
            <w:tcW w:w="1165" w:type="dxa"/>
            <w:vMerge w:val="restart"/>
            <w:tcBorders>
              <w:tl2br w:val="nil"/>
              <w:tr2bl w:val="nil"/>
            </w:tcBorders>
            <w:vAlign w:val="center"/>
          </w:tcPr>
          <w:p w14:paraId="735FE4B4">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湖南丰联精细化工有限公司</w:t>
            </w:r>
          </w:p>
        </w:tc>
        <w:tc>
          <w:tcPr>
            <w:tcW w:w="1134" w:type="dxa"/>
            <w:tcBorders>
              <w:tl2br w:val="nil"/>
              <w:tr2bl w:val="nil"/>
            </w:tcBorders>
            <w:vAlign w:val="center"/>
          </w:tcPr>
          <w:p w14:paraId="2932C03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2CC565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、COD、SS、硫化物、硫酸盐、石油类、氨氮</w:t>
            </w:r>
          </w:p>
        </w:tc>
        <w:tc>
          <w:tcPr>
            <w:tcW w:w="1559" w:type="dxa"/>
            <w:tcBorders>
              <w:tl2br w:val="nil"/>
              <w:tr2bl w:val="nil"/>
            </w:tcBorders>
            <w:vAlign w:val="center"/>
          </w:tcPr>
          <w:p w14:paraId="6891421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28226.55t/a</w:t>
            </w:r>
          </w:p>
        </w:tc>
        <w:tc>
          <w:tcPr>
            <w:tcW w:w="8034" w:type="dxa"/>
            <w:tcBorders>
              <w:tl2br w:val="nil"/>
              <w:tr2bl w:val="nil"/>
            </w:tcBorders>
            <w:vAlign w:val="center"/>
          </w:tcPr>
          <w:p w14:paraId="2A6C5A3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酯化生产废水、环合废水、精制废水、洗涤塔废水、CS2储罐水封废水、设备及地面冲洗废水等经厂区污水处理站处理后排至松木污水处理厂处理；</w:t>
            </w:r>
          </w:p>
          <w:p w14:paraId="4FA221C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生活污水</w:t>
            </w:r>
            <w:r>
              <w:rPr>
                <w:rFonts w:hint="default" w:ascii="Times New Roman" w:hAnsi="Times New Roman" w:eastAsia="宋体" w:cs="Times New Roman"/>
                <w:color w:val="auto"/>
                <w:sz w:val="21"/>
                <w:szCs w:val="21"/>
                <w:highlight w:val="none"/>
                <w:u w:val="none" w:color="auto"/>
              </w:rPr>
              <w:t>经化粪池预处理后排入园区污水管网，进入松木污水处理厂处理，处理达标后排入湘江</w:t>
            </w:r>
          </w:p>
        </w:tc>
      </w:tr>
      <w:tr w14:paraId="7F6B6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B1ABAC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5457AE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797255A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0005FEF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硫化氢、氯化氢、硫化碳、氨、VOC</w:t>
            </w:r>
            <w:r>
              <w:rPr>
                <w:rFonts w:hint="default" w:ascii="Times New Roman" w:hAnsi="Times New Roman" w:eastAsia="宋体" w:cs="Times New Roman"/>
                <w:color w:val="auto"/>
                <w:sz w:val="21"/>
                <w:szCs w:val="21"/>
                <w:highlight w:val="none"/>
                <w:u w:val="none" w:color="auto"/>
                <w:vertAlign w:val="subscript"/>
              </w:rPr>
              <w:t>S</w:t>
            </w:r>
          </w:p>
        </w:tc>
        <w:tc>
          <w:tcPr>
            <w:tcW w:w="1559" w:type="dxa"/>
            <w:tcBorders>
              <w:tl2br w:val="nil"/>
              <w:tr2bl w:val="nil"/>
            </w:tcBorders>
            <w:vAlign w:val="center"/>
          </w:tcPr>
          <w:p w14:paraId="401AF90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78C80CA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元明粉干燥废气经旋风除尘+布袋除尘后由17m排气筒外排；</w:t>
            </w:r>
          </w:p>
          <w:p w14:paraId="01D4EAA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水解釜尾气经降膜吸收塔+填料塔回收氯化氢后，送硫化氢焚烧炉焚烧，焚烧尾气送湖南恒光化工有限公司制酸系统回用；</w:t>
            </w:r>
          </w:p>
          <w:p w14:paraId="01ADEEB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酯化反应尾气、环合釜尾气、精馏尾气经洗涤塔碱洗后由20m排气筒排放</w:t>
            </w:r>
          </w:p>
        </w:tc>
      </w:tr>
      <w:tr w14:paraId="1FB9A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7C5AC3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C02FBC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restart"/>
            <w:tcBorders>
              <w:tl2br w:val="nil"/>
              <w:tr2bl w:val="nil"/>
            </w:tcBorders>
            <w:vAlign w:val="center"/>
          </w:tcPr>
          <w:p w14:paraId="7D42021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F21EA9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AAE7F1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702.2t/a</w:t>
            </w:r>
          </w:p>
        </w:tc>
        <w:tc>
          <w:tcPr>
            <w:tcW w:w="8034" w:type="dxa"/>
            <w:tcBorders>
              <w:tl2br w:val="nil"/>
              <w:tr2bl w:val="nil"/>
            </w:tcBorders>
            <w:vAlign w:val="center"/>
          </w:tcPr>
          <w:p w14:paraId="2F6C341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污水处理站污泥脱水后送垃圾填埋场填埋处理；</w:t>
            </w:r>
          </w:p>
          <w:p w14:paraId="2F9CC1D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收尘器粉尘经收集后外售处理；</w:t>
            </w:r>
          </w:p>
          <w:p w14:paraId="2868FF1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废包装材料返回厂家利用；</w:t>
            </w:r>
          </w:p>
          <w:p w14:paraId="5A0F060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1A18C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CEF996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5616DC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continue"/>
            <w:tcBorders>
              <w:tl2br w:val="nil"/>
              <w:tr2bl w:val="nil"/>
            </w:tcBorders>
            <w:vAlign w:val="center"/>
          </w:tcPr>
          <w:p w14:paraId="23DAED8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B558F6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0F03E71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3.2t/a</w:t>
            </w:r>
          </w:p>
        </w:tc>
        <w:tc>
          <w:tcPr>
            <w:tcW w:w="8034" w:type="dxa"/>
            <w:tcBorders>
              <w:tl2br w:val="nil"/>
              <w:tr2bl w:val="nil"/>
            </w:tcBorders>
            <w:vAlign w:val="center"/>
          </w:tcPr>
          <w:p w14:paraId="49B993B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外委有资质单位处理</w:t>
            </w:r>
          </w:p>
        </w:tc>
      </w:tr>
      <w:tr w14:paraId="66AA1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9FB289C">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62</w:t>
            </w:r>
          </w:p>
        </w:tc>
        <w:tc>
          <w:tcPr>
            <w:tcW w:w="1165" w:type="dxa"/>
            <w:vMerge w:val="restart"/>
            <w:tcBorders>
              <w:tl2br w:val="nil"/>
              <w:tr2bl w:val="nil"/>
            </w:tcBorders>
            <w:vAlign w:val="center"/>
          </w:tcPr>
          <w:p w14:paraId="6CC18E84">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湖南潇峰化工科技有限公司</w:t>
            </w:r>
          </w:p>
        </w:tc>
        <w:tc>
          <w:tcPr>
            <w:tcW w:w="1134" w:type="dxa"/>
            <w:tcBorders>
              <w:tl2br w:val="nil"/>
              <w:tr2bl w:val="nil"/>
            </w:tcBorders>
            <w:vAlign w:val="center"/>
          </w:tcPr>
          <w:p w14:paraId="2A7E5D22">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47B3202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COD、氨氮、SS</w:t>
            </w:r>
          </w:p>
        </w:tc>
        <w:tc>
          <w:tcPr>
            <w:tcW w:w="1559" w:type="dxa"/>
            <w:tcBorders>
              <w:tl2br w:val="nil"/>
              <w:tr2bl w:val="nil"/>
            </w:tcBorders>
            <w:vAlign w:val="center"/>
          </w:tcPr>
          <w:p w14:paraId="221C5467">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280t/a</w:t>
            </w:r>
          </w:p>
        </w:tc>
        <w:tc>
          <w:tcPr>
            <w:tcW w:w="8034" w:type="dxa"/>
            <w:tcBorders>
              <w:tl2br w:val="nil"/>
              <w:tr2bl w:val="nil"/>
            </w:tcBorders>
            <w:vAlign w:val="center"/>
          </w:tcPr>
          <w:p w14:paraId="5C8AA01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地面冲洗废水经沉淀隔油池处理后进入松木污水处理厂；生活污水经化粪池预处理后进入松木污水处理厂；</w:t>
            </w:r>
          </w:p>
        </w:tc>
      </w:tr>
      <w:tr w14:paraId="76A76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124828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E36189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1A1ACA2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F8AFFF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VOC</w:t>
            </w:r>
            <w:r>
              <w:rPr>
                <w:rFonts w:hint="default" w:ascii="Times New Roman" w:hAnsi="Times New Roman" w:eastAsia="宋体" w:cs="Times New Roman"/>
                <w:color w:val="auto"/>
                <w:sz w:val="21"/>
                <w:szCs w:val="21"/>
                <w:highlight w:val="none"/>
                <w:u w:val="none" w:color="auto"/>
                <w:vertAlign w:val="subscript"/>
              </w:rPr>
              <w:t>S</w:t>
            </w:r>
          </w:p>
        </w:tc>
        <w:tc>
          <w:tcPr>
            <w:tcW w:w="1559" w:type="dxa"/>
            <w:tcBorders>
              <w:tl2br w:val="nil"/>
              <w:tr2bl w:val="nil"/>
            </w:tcBorders>
            <w:vAlign w:val="center"/>
          </w:tcPr>
          <w:p w14:paraId="66616DD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9A2425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聚合有机废气经活性炭吸附+光催化氧化设施处理后经15m排气筒外排；</w:t>
            </w:r>
          </w:p>
        </w:tc>
      </w:tr>
      <w:tr w14:paraId="501D9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38EFE1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0EF6B8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restart"/>
            <w:tcBorders>
              <w:tl2br w:val="nil"/>
              <w:tr2bl w:val="nil"/>
            </w:tcBorders>
            <w:vAlign w:val="center"/>
          </w:tcPr>
          <w:p w14:paraId="25CD373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6F87699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71289DD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4.6t/a</w:t>
            </w:r>
          </w:p>
        </w:tc>
        <w:tc>
          <w:tcPr>
            <w:tcW w:w="8034" w:type="dxa"/>
            <w:tcBorders>
              <w:tl2br w:val="nil"/>
              <w:tr2bl w:val="nil"/>
            </w:tcBorders>
            <w:vAlign w:val="center"/>
          </w:tcPr>
          <w:p w14:paraId="0694315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生活垃圾及废旧包装袋交由环卫部门进行处理</w:t>
            </w:r>
          </w:p>
        </w:tc>
      </w:tr>
      <w:tr w14:paraId="6BFC4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04107D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4C2779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continue"/>
            <w:tcBorders>
              <w:tl2br w:val="nil"/>
              <w:tr2bl w:val="nil"/>
            </w:tcBorders>
            <w:vAlign w:val="center"/>
          </w:tcPr>
          <w:p w14:paraId="4A4CEA9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2BFA4EE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5A8E044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14.6t/a</w:t>
            </w:r>
          </w:p>
        </w:tc>
        <w:tc>
          <w:tcPr>
            <w:tcW w:w="8034" w:type="dxa"/>
            <w:tcBorders>
              <w:tl2br w:val="nil"/>
              <w:tr2bl w:val="nil"/>
            </w:tcBorders>
            <w:vAlign w:val="center"/>
          </w:tcPr>
          <w:p w14:paraId="0571D25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滤渣、沉淀池沉渣、废导热油、废活性炭交由有资质单位处理</w:t>
            </w:r>
          </w:p>
        </w:tc>
      </w:tr>
      <w:tr w14:paraId="18BB8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7E10A51">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63</w:t>
            </w:r>
          </w:p>
        </w:tc>
        <w:tc>
          <w:tcPr>
            <w:tcW w:w="1165" w:type="dxa"/>
            <w:vMerge w:val="restart"/>
            <w:tcBorders>
              <w:tl2br w:val="nil"/>
              <w:tr2bl w:val="nil"/>
            </w:tcBorders>
            <w:vAlign w:val="center"/>
          </w:tcPr>
          <w:p w14:paraId="05670CD4">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衡阳金新莱孚新材料有限公司</w:t>
            </w:r>
          </w:p>
        </w:tc>
        <w:tc>
          <w:tcPr>
            <w:tcW w:w="1134" w:type="dxa"/>
            <w:tcBorders>
              <w:tl2br w:val="nil"/>
              <w:tr2bl w:val="nil"/>
            </w:tcBorders>
            <w:vAlign w:val="center"/>
          </w:tcPr>
          <w:p w14:paraId="36B0113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21CCEED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、F</w:t>
            </w:r>
            <w:r>
              <w:rPr>
                <w:rFonts w:hint="default" w:ascii="Times New Roman" w:hAnsi="Times New Roman" w:eastAsia="宋体" w:cs="Times New Roman"/>
                <w:color w:val="auto"/>
                <w:sz w:val="21"/>
                <w:szCs w:val="21"/>
                <w:highlight w:val="none"/>
                <w:u w:val="none" w:color="auto"/>
                <w:vertAlign w:val="superscript"/>
              </w:rPr>
              <w:t>-</w:t>
            </w: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4</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、NH</w:t>
            </w:r>
            <w:r>
              <w:rPr>
                <w:rFonts w:hint="default" w:ascii="Times New Roman" w:hAnsi="Times New Roman" w:eastAsia="宋体" w:cs="Times New Roman"/>
                <w:color w:val="auto"/>
                <w:sz w:val="21"/>
                <w:szCs w:val="21"/>
                <w:highlight w:val="none"/>
                <w:u w:val="none" w:color="auto"/>
                <w:vertAlign w:val="subscript"/>
              </w:rPr>
              <w:t>4</w:t>
            </w:r>
            <w:r>
              <w:rPr>
                <w:rFonts w:hint="default" w:ascii="Times New Roman" w:hAnsi="Times New Roman" w:eastAsia="宋体" w:cs="Times New Roman"/>
                <w:color w:val="auto"/>
                <w:sz w:val="21"/>
                <w:szCs w:val="21"/>
                <w:highlight w:val="none"/>
                <w:u w:val="none" w:color="auto"/>
                <w:vertAlign w:val="superscript"/>
              </w:rPr>
              <w:t>+</w:t>
            </w:r>
            <w:r>
              <w:rPr>
                <w:rFonts w:hint="default" w:ascii="Times New Roman" w:hAnsi="Times New Roman" w:eastAsia="宋体" w:cs="Times New Roman"/>
                <w:color w:val="auto"/>
                <w:sz w:val="21"/>
                <w:szCs w:val="21"/>
                <w:highlight w:val="none"/>
                <w:u w:val="none" w:color="auto"/>
              </w:rPr>
              <w:t>、COD</w:t>
            </w:r>
          </w:p>
        </w:tc>
        <w:tc>
          <w:tcPr>
            <w:tcW w:w="1559" w:type="dxa"/>
            <w:tcBorders>
              <w:tl2br w:val="nil"/>
              <w:tr2bl w:val="nil"/>
            </w:tcBorders>
            <w:vAlign w:val="center"/>
          </w:tcPr>
          <w:p w14:paraId="71E4F44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74400t/a</w:t>
            </w:r>
          </w:p>
        </w:tc>
        <w:tc>
          <w:tcPr>
            <w:tcW w:w="8034" w:type="dxa"/>
            <w:tcBorders>
              <w:tl2br w:val="nil"/>
              <w:tr2bl w:val="nil"/>
            </w:tcBorders>
            <w:vAlign w:val="center"/>
          </w:tcPr>
          <w:p w14:paraId="7215FC4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淋洗塔冷凝废水及清水洗淋废水回用于钽铌矿分解；碱洗淋洗废水进入厂区污水处理站加石灰沉淀处理后排入园区污水管网进松木污水处理厂处理；</w:t>
            </w:r>
          </w:p>
          <w:p w14:paraId="74059C0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矿萃车间含氟废水80%回用于钽铌矿分解，20%排入废水处理站加石灰浆后隔油沉淀处理后排入松木污水处理厂处理；</w:t>
            </w:r>
          </w:p>
          <w:p w14:paraId="5EA5508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含氨废水经过加石灰浆调</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值并且沉淀SO42-、F-，再通过蒸气进行三级吹脱脱氨、鸟粪石沉淀、石灰乳和聚合硫酸铝沉淀法处理后排入松木污水处理厂处理；</w:t>
            </w:r>
          </w:p>
          <w:p w14:paraId="2808D09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阴阳离子交换废水经中和处理后排入松木污水处理厂处理；</w:t>
            </w:r>
          </w:p>
          <w:p w14:paraId="5D894C4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厂区车间清洁废水及初期雨水与含氨废水调节后，采用鸟粪石沉淀、石灰乳和聚合硫酸铝沉淀法处理，而后排入松木污水处理厂处理；</w:t>
            </w:r>
          </w:p>
          <w:p w14:paraId="63386C3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生活污水经化粪池处理后，经园区污水管网排入松木污水处理厂处理</w:t>
            </w:r>
          </w:p>
        </w:tc>
      </w:tr>
      <w:tr w14:paraId="4DA6B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3FC26D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17562BC">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5C9F4E6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270B05E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r>
              <w:rPr>
                <w:rFonts w:hint="default" w:ascii="Times New Roman" w:hAnsi="Times New Roman" w:eastAsia="宋体" w:cs="Times New Roman"/>
                <w:color w:val="auto"/>
                <w:sz w:val="21"/>
                <w:szCs w:val="21"/>
                <w:highlight w:val="none"/>
                <w:u w:val="none" w:color="auto"/>
              </w:rPr>
              <w:t>、HF、硫酸雾、油烟</w:t>
            </w:r>
          </w:p>
        </w:tc>
        <w:tc>
          <w:tcPr>
            <w:tcW w:w="1559" w:type="dxa"/>
            <w:tcBorders>
              <w:tl2br w:val="nil"/>
              <w:tr2bl w:val="nil"/>
            </w:tcBorders>
            <w:vAlign w:val="center"/>
          </w:tcPr>
          <w:p w14:paraId="080F239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FB4D72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燃气锅炉废气通过15m排气筒排放；</w:t>
            </w:r>
          </w:p>
          <w:p w14:paraId="692366B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磨矿粉尘经过布袋除尘器处理后，通过15m高排气筒排放；</w:t>
            </w:r>
          </w:p>
          <w:p w14:paraId="551D762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分解过程中产生HF、硫酸雾的酸性废气经过冷凝、二级清水淋洗塔、二级碱洗淋洗塔淋洗后经过15m排气筒排放；</w:t>
            </w:r>
          </w:p>
          <w:p w14:paraId="3A454EB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油烟废气净化处理后通过专用排气筒至屋顶高空排放</w:t>
            </w:r>
          </w:p>
        </w:tc>
      </w:tr>
      <w:tr w14:paraId="4E278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30237C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EA9279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restart"/>
            <w:tcBorders>
              <w:tl2br w:val="nil"/>
              <w:tr2bl w:val="nil"/>
            </w:tcBorders>
            <w:vAlign w:val="center"/>
          </w:tcPr>
          <w:p w14:paraId="7E5A05E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54C7F16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F724C2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236.7t/a</w:t>
            </w:r>
          </w:p>
        </w:tc>
        <w:tc>
          <w:tcPr>
            <w:tcW w:w="8034" w:type="dxa"/>
            <w:tcBorders>
              <w:tl2br w:val="nil"/>
              <w:tr2bl w:val="nil"/>
            </w:tcBorders>
            <w:vAlign w:val="center"/>
          </w:tcPr>
          <w:p w14:paraId="7BF29C3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脱氨废水沉淀渣外售做肥料综合利用；</w:t>
            </w:r>
          </w:p>
          <w:p w14:paraId="082C009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废离子交换树脂返回生产厂家处理；</w:t>
            </w:r>
          </w:p>
          <w:p w14:paraId="5D5FD6E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0A2D2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D6C20B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4C38AE2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continue"/>
            <w:tcBorders>
              <w:tl2br w:val="nil"/>
              <w:tr2bl w:val="nil"/>
            </w:tcBorders>
            <w:vAlign w:val="center"/>
          </w:tcPr>
          <w:p w14:paraId="15566D7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16E3EE5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危险固废（低放射性）</w:t>
            </w:r>
          </w:p>
        </w:tc>
        <w:tc>
          <w:tcPr>
            <w:tcW w:w="1559" w:type="dxa"/>
            <w:tcBorders>
              <w:tl2br w:val="nil"/>
              <w:tr2bl w:val="nil"/>
            </w:tcBorders>
            <w:vAlign w:val="center"/>
          </w:tcPr>
          <w:p w14:paraId="7EA4A9D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3070t/a</w:t>
            </w:r>
          </w:p>
        </w:tc>
        <w:tc>
          <w:tcPr>
            <w:tcW w:w="8034" w:type="dxa"/>
            <w:tcBorders>
              <w:tl2br w:val="nil"/>
              <w:tr2bl w:val="nil"/>
            </w:tcBorders>
            <w:vAlign w:val="center"/>
          </w:tcPr>
          <w:p w14:paraId="2588428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矿萃分解滤渣、中和沉渣等送湖南省放射性废物库</w:t>
            </w:r>
          </w:p>
        </w:tc>
      </w:tr>
      <w:tr w14:paraId="469E9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1CC2704">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64</w:t>
            </w:r>
          </w:p>
        </w:tc>
        <w:tc>
          <w:tcPr>
            <w:tcW w:w="1165" w:type="dxa"/>
            <w:vMerge w:val="restart"/>
            <w:tcBorders>
              <w:tl2br w:val="nil"/>
              <w:tr2bl w:val="nil"/>
            </w:tcBorders>
            <w:vAlign w:val="center"/>
          </w:tcPr>
          <w:p w14:paraId="41D30121">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lang w:bidi="ar"/>
              </w:rPr>
              <w:t>衡阳市铖昱锌品有限责任公司</w:t>
            </w:r>
          </w:p>
        </w:tc>
        <w:tc>
          <w:tcPr>
            <w:tcW w:w="1134" w:type="dxa"/>
            <w:tcBorders>
              <w:tl2br w:val="nil"/>
              <w:tr2bl w:val="nil"/>
            </w:tcBorders>
            <w:vAlign w:val="center"/>
          </w:tcPr>
          <w:p w14:paraId="441F194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051A7C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SS、Pb、As、</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、硫酸铵、硫酸钠、COD、氨氮</w:t>
            </w:r>
          </w:p>
        </w:tc>
        <w:tc>
          <w:tcPr>
            <w:tcW w:w="1559" w:type="dxa"/>
            <w:tcBorders>
              <w:tl2br w:val="nil"/>
              <w:tr2bl w:val="nil"/>
            </w:tcBorders>
            <w:vAlign w:val="center"/>
          </w:tcPr>
          <w:p w14:paraId="6705119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49.532万t/a</w:t>
            </w:r>
          </w:p>
        </w:tc>
        <w:tc>
          <w:tcPr>
            <w:tcW w:w="8034" w:type="dxa"/>
            <w:tcBorders>
              <w:tl2br w:val="nil"/>
              <w:tr2bl w:val="nil"/>
            </w:tcBorders>
            <w:vAlign w:val="center"/>
          </w:tcPr>
          <w:p w14:paraId="6C43FB5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回转窑冲渣水经循环水池沉淀后循环使用；</w:t>
            </w:r>
          </w:p>
          <w:p w14:paraId="109C8AB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布袋清洗废水经中和沉淀后循环使用；</w:t>
            </w:r>
          </w:p>
          <w:p w14:paraId="36B9DB5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软化系统废水回用于回转窑冲渣；</w:t>
            </w:r>
          </w:p>
          <w:p w14:paraId="0527EC6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沉锌后液及碱式碳酸锌洗水外运至衡阳市建衡实业有限公司生产硫酸铝铵；</w:t>
            </w:r>
          </w:p>
          <w:p w14:paraId="2CC800B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地面及设备清洗废水经中和沉淀后回用于回转窑冲渣；</w:t>
            </w:r>
          </w:p>
          <w:p w14:paraId="0862049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碱液喷淋废水及酸雾吸收废水循环使用不外排；</w:t>
            </w:r>
          </w:p>
          <w:p w14:paraId="111CE85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原料及废渣堆放渗滤液用于瓦斯灰湿润；</w:t>
            </w:r>
          </w:p>
          <w:p w14:paraId="18A3093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生活污水</w:t>
            </w:r>
            <w:r>
              <w:rPr>
                <w:rFonts w:hint="default" w:ascii="Times New Roman" w:hAnsi="Times New Roman" w:eastAsia="宋体" w:cs="Times New Roman"/>
                <w:color w:val="auto"/>
                <w:sz w:val="21"/>
                <w:szCs w:val="21"/>
                <w:highlight w:val="none"/>
                <w:u w:val="none" w:color="auto"/>
              </w:rPr>
              <w:t>经化粪池预处理后排入园区污水管网，进入松木污水处理厂处理，处理达标后排入湘江</w:t>
            </w:r>
          </w:p>
        </w:tc>
      </w:tr>
      <w:tr w14:paraId="39B21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61EF77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2FD895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0B6AF4EB">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1D2914D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烟尘、SO</w:t>
            </w:r>
            <w:r>
              <w:rPr>
                <w:rFonts w:hint="default" w:ascii="Times New Roman" w:hAnsi="Times New Roman" w:eastAsia="宋体" w:cs="Times New Roman"/>
                <w:color w:val="auto"/>
                <w:sz w:val="21"/>
                <w:szCs w:val="21"/>
                <w:highlight w:val="none"/>
                <w:u w:val="none" w:color="auto"/>
                <w:vertAlign w:val="subscript"/>
              </w:rPr>
              <w:t>2</w:t>
            </w: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X</w:t>
            </w:r>
            <w:r>
              <w:rPr>
                <w:rFonts w:hint="default" w:ascii="Times New Roman" w:hAnsi="Times New Roman" w:eastAsia="宋体" w:cs="Times New Roman"/>
                <w:color w:val="auto"/>
                <w:sz w:val="21"/>
                <w:szCs w:val="21"/>
                <w:highlight w:val="none"/>
                <w:u w:val="none" w:color="auto"/>
              </w:rPr>
              <w:t>、Pb、As、Cd、硫酸雾、砷化氢、氨</w:t>
            </w:r>
          </w:p>
        </w:tc>
        <w:tc>
          <w:tcPr>
            <w:tcW w:w="1559" w:type="dxa"/>
            <w:tcBorders>
              <w:tl2br w:val="nil"/>
              <w:tr2bl w:val="nil"/>
            </w:tcBorders>
            <w:vAlign w:val="center"/>
          </w:tcPr>
          <w:p w14:paraId="39DDF88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8034" w:type="dxa"/>
            <w:tcBorders>
              <w:tl2br w:val="nil"/>
              <w:tr2bl w:val="nil"/>
            </w:tcBorders>
            <w:vAlign w:val="center"/>
          </w:tcPr>
          <w:p w14:paraId="16AABC6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回转窑炉烟气通过“余热锅炉+烟道冷却+布袋收尘+碱液喷淋+水喷淋”后由30m烟囱排放；</w:t>
            </w:r>
          </w:p>
          <w:p w14:paraId="4DAF9F0B">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回转窑卫生收尘废气经布袋收尘后由30m高烟囱排放；</w:t>
            </w:r>
          </w:p>
          <w:p w14:paraId="2186B02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浸出酸雾、砷化氢废气经碱液吸收后由15m高排气筒排放；</w:t>
            </w:r>
          </w:p>
          <w:p w14:paraId="4722E83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闪蒸干燥废气经旋风除尘+布袋收尘+水膜除尘后由20m排气筒排放；</w:t>
            </w:r>
          </w:p>
          <w:p w14:paraId="51746AF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煅烧窑炉废气经布袋收尘+水膜除尘后由20m排气筒排放；</w:t>
            </w:r>
          </w:p>
          <w:p w14:paraId="1464669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煤气燃烧废气经水膜除尘后由20m排气筒排放</w:t>
            </w:r>
          </w:p>
        </w:tc>
      </w:tr>
      <w:tr w14:paraId="3AA1E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7222FC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1AF0CE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restart"/>
            <w:tcBorders>
              <w:tl2br w:val="nil"/>
              <w:tr2bl w:val="nil"/>
            </w:tcBorders>
            <w:vAlign w:val="center"/>
          </w:tcPr>
          <w:p w14:paraId="7E569EF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744ABB4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196B3AD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48432t/a</w:t>
            </w:r>
          </w:p>
        </w:tc>
        <w:tc>
          <w:tcPr>
            <w:tcW w:w="8034" w:type="dxa"/>
            <w:tcBorders>
              <w:tl2br w:val="nil"/>
              <w:tr2bl w:val="nil"/>
            </w:tcBorders>
            <w:vAlign w:val="center"/>
          </w:tcPr>
          <w:p w14:paraId="1CCEA16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回转窑水淬渣外售处理；</w:t>
            </w:r>
          </w:p>
          <w:p w14:paraId="7E01394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煤气发生炉渣、脱硫渣外售处理；</w:t>
            </w:r>
          </w:p>
          <w:p w14:paraId="3669F0D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生活垃圾交由环卫部门进行处理</w:t>
            </w:r>
          </w:p>
        </w:tc>
      </w:tr>
      <w:tr w14:paraId="394C8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783BE1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F98F27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continue"/>
            <w:tcBorders>
              <w:tl2br w:val="nil"/>
              <w:tr2bl w:val="nil"/>
            </w:tcBorders>
            <w:vAlign w:val="center"/>
          </w:tcPr>
          <w:p w14:paraId="332736A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0B44F4A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6F89B81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8762.89t/a</w:t>
            </w:r>
          </w:p>
        </w:tc>
        <w:tc>
          <w:tcPr>
            <w:tcW w:w="8034" w:type="dxa"/>
            <w:tcBorders>
              <w:tl2br w:val="nil"/>
              <w:tr2bl w:val="nil"/>
            </w:tcBorders>
            <w:vAlign w:val="center"/>
          </w:tcPr>
          <w:p w14:paraId="0914E2C6">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回转窑重力收尘灰、铁渣及废水处理污泥返回回转窑配料；干燥煅烧收尘灰返闪蒸干燥机；原料包装袋经清洗后循环使用；</w:t>
            </w:r>
          </w:p>
          <w:p w14:paraId="35EDD97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浸出铅渣、铜镉渣出售给有资质单位处理；</w:t>
            </w:r>
          </w:p>
        </w:tc>
      </w:tr>
      <w:tr w14:paraId="14D11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432771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65</w:t>
            </w:r>
          </w:p>
        </w:tc>
        <w:tc>
          <w:tcPr>
            <w:tcW w:w="1165" w:type="dxa"/>
            <w:vMerge w:val="restart"/>
            <w:tcBorders>
              <w:tl2br w:val="nil"/>
              <w:tr2bl w:val="nil"/>
            </w:tcBorders>
            <w:vAlign w:val="center"/>
          </w:tcPr>
          <w:p w14:paraId="6FD39D2C">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湖南鸿业变压器有限公司</w:t>
            </w:r>
          </w:p>
        </w:tc>
        <w:tc>
          <w:tcPr>
            <w:tcW w:w="1134" w:type="dxa"/>
            <w:tcBorders>
              <w:tl2br w:val="nil"/>
              <w:tr2bl w:val="nil"/>
            </w:tcBorders>
            <w:vAlign w:val="center"/>
          </w:tcPr>
          <w:p w14:paraId="4F1522E5">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3F7184A7">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、氨氮</w:t>
            </w:r>
          </w:p>
        </w:tc>
        <w:tc>
          <w:tcPr>
            <w:tcW w:w="1559" w:type="dxa"/>
            <w:tcBorders>
              <w:tl2br w:val="nil"/>
              <w:tr2bl w:val="nil"/>
            </w:tcBorders>
            <w:vAlign w:val="center"/>
          </w:tcPr>
          <w:p w14:paraId="534AF0B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1183.5t/a</w:t>
            </w:r>
          </w:p>
        </w:tc>
        <w:tc>
          <w:tcPr>
            <w:tcW w:w="8034" w:type="dxa"/>
            <w:tcBorders>
              <w:tl2br w:val="nil"/>
              <w:tr2bl w:val="nil"/>
            </w:tcBorders>
            <w:vAlign w:val="center"/>
          </w:tcPr>
          <w:p w14:paraId="4A599F1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生活污水经化粪池处理后排入松木污水处理厂处理</w:t>
            </w:r>
          </w:p>
        </w:tc>
      </w:tr>
      <w:tr w14:paraId="1B6B1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7D43B3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938E57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409CC8C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4FB47D9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w:t>
            </w:r>
          </w:p>
        </w:tc>
        <w:tc>
          <w:tcPr>
            <w:tcW w:w="1559" w:type="dxa"/>
            <w:tcBorders>
              <w:tl2br w:val="nil"/>
              <w:tr2bl w:val="nil"/>
            </w:tcBorders>
            <w:vAlign w:val="center"/>
          </w:tcPr>
          <w:p w14:paraId="6CF070D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413051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烘干废气主要为水蒸气，经烟道有组织排放</w:t>
            </w:r>
          </w:p>
          <w:p w14:paraId="33B28B1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食堂油烟经油烟净化器进行净化后引至食堂楼顶排放。</w:t>
            </w:r>
          </w:p>
        </w:tc>
      </w:tr>
      <w:tr w14:paraId="63275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C7574C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B41526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restart"/>
            <w:tcBorders>
              <w:tl2br w:val="nil"/>
              <w:tr2bl w:val="nil"/>
            </w:tcBorders>
            <w:vAlign w:val="center"/>
          </w:tcPr>
          <w:p w14:paraId="28396D7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7EDB333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6BD614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12.3t/a</w:t>
            </w:r>
          </w:p>
        </w:tc>
        <w:tc>
          <w:tcPr>
            <w:tcW w:w="8034" w:type="dxa"/>
            <w:vMerge w:val="restart"/>
            <w:tcBorders>
              <w:tl2br w:val="nil"/>
              <w:tr2bl w:val="nil"/>
            </w:tcBorders>
            <w:vAlign w:val="center"/>
          </w:tcPr>
          <w:p w14:paraId="2AF099B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废变压器油、废油渣等由有资质单位处理；</w:t>
            </w:r>
          </w:p>
          <w:p w14:paraId="0E14EFC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硅钢片剪切边角料、绝缘板材边角料等由生产厂家回收；</w:t>
            </w:r>
          </w:p>
          <w:p w14:paraId="23853EE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废包装材料作为废品出售；</w:t>
            </w:r>
          </w:p>
          <w:p w14:paraId="4BA490C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生活垃圾经收集后由环卫部门处理。</w:t>
            </w:r>
          </w:p>
        </w:tc>
      </w:tr>
      <w:tr w14:paraId="26EC8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C514AA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6CE534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continue"/>
            <w:tcBorders>
              <w:tl2br w:val="nil"/>
              <w:tr2bl w:val="nil"/>
            </w:tcBorders>
            <w:vAlign w:val="center"/>
          </w:tcPr>
          <w:p w14:paraId="29A494A2">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3662A82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0F2B0D9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3.2t/a</w:t>
            </w:r>
          </w:p>
        </w:tc>
        <w:tc>
          <w:tcPr>
            <w:tcW w:w="8034" w:type="dxa"/>
            <w:vMerge w:val="continue"/>
            <w:tcBorders>
              <w:tl2br w:val="nil"/>
              <w:tr2bl w:val="nil"/>
            </w:tcBorders>
            <w:vAlign w:val="center"/>
          </w:tcPr>
          <w:p w14:paraId="727A7F3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49DE6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17F3664">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66</w:t>
            </w:r>
          </w:p>
        </w:tc>
        <w:tc>
          <w:tcPr>
            <w:tcW w:w="1165" w:type="dxa"/>
            <w:vMerge w:val="restart"/>
            <w:tcBorders>
              <w:tl2br w:val="nil"/>
              <w:tr2bl w:val="nil"/>
            </w:tcBorders>
            <w:vAlign w:val="center"/>
          </w:tcPr>
          <w:p w14:paraId="5D6D8834">
            <w:pPr>
              <w:keepNext w:val="0"/>
              <w:keepLines w:val="0"/>
              <w:pageBreakBefore w:val="0"/>
              <w:widowControl/>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衡阳三祥特变电力有限公司</w:t>
            </w:r>
          </w:p>
        </w:tc>
        <w:tc>
          <w:tcPr>
            <w:tcW w:w="1134" w:type="dxa"/>
            <w:tcBorders>
              <w:tl2br w:val="nil"/>
              <w:tr2bl w:val="nil"/>
            </w:tcBorders>
            <w:vAlign w:val="center"/>
          </w:tcPr>
          <w:p w14:paraId="608D664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446465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、氨氮</w:t>
            </w:r>
          </w:p>
        </w:tc>
        <w:tc>
          <w:tcPr>
            <w:tcW w:w="1559" w:type="dxa"/>
            <w:tcBorders>
              <w:tl2br w:val="nil"/>
              <w:tr2bl w:val="nil"/>
            </w:tcBorders>
            <w:vAlign w:val="center"/>
          </w:tcPr>
          <w:p w14:paraId="6F1021A8">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400t/a</w:t>
            </w:r>
          </w:p>
        </w:tc>
        <w:tc>
          <w:tcPr>
            <w:tcW w:w="8034" w:type="dxa"/>
            <w:tcBorders>
              <w:tl2br w:val="nil"/>
              <w:tr2bl w:val="nil"/>
            </w:tcBorders>
            <w:vAlign w:val="center"/>
          </w:tcPr>
          <w:p w14:paraId="205B353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生活污水经化粪池处理后排入松木污水处理厂处理</w:t>
            </w:r>
          </w:p>
        </w:tc>
      </w:tr>
      <w:tr w14:paraId="07B4F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2EE50B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75E588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tcBorders>
              <w:tl2br w:val="nil"/>
              <w:tr2bl w:val="nil"/>
            </w:tcBorders>
            <w:vAlign w:val="center"/>
          </w:tcPr>
          <w:p w14:paraId="75C098A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4C4B09B0">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w:t>
            </w:r>
          </w:p>
        </w:tc>
        <w:tc>
          <w:tcPr>
            <w:tcW w:w="1559" w:type="dxa"/>
            <w:tcBorders>
              <w:tl2br w:val="nil"/>
              <w:tr2bl w:val="nil"/>
            </w:tcBorders>
            <w:vAlign w:val="center"/>
          </w:tcPr>
          <w:p w14:paraId="64F08AF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148515F9">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烘干废气主要为水蒸气，经烟道有组织排放；</w:t>
            </w:r>
          </w:p>
          <w:p w14:paraId="5108521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食堂油烟经油烟净化器进行净化后引至食堂楼顶排放</w:t>
            </w:r>
          </w:p>
        </w:tc>
      </w:tr>
      <w:tr w14:paraId="66438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632BFD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9EED12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restart"/>
            <w:tcBorders>
              <w:tl2br w:val="nil"/>
              <w:tr2bl w:val="nil"/>
            </w:tcBorders>
            <w:vAlign w:val="center"/>
          </w:tcPr>
          <w:p w14:paraId="6D048039">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05F4189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688DB71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2.69t/a</w:t>
            </w:r>
          </w:p>
        </w:tc>
        <w:tc>
          <w:tcPr>
            <w:tcW w:w="8034" w:type="dxa"/>
            <w:vMerge w:val="restart"/>
            <w:tcBorders>
              <w:tl2br w:val="nil"/>
              <w:tr2bl w:val="nil"/>
            </w:tcBorders>
            <w:vAlign w:val="center"/>
          </w:tcPr>
          <w:p w14:paraId="4F88DC08">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废绝缘纸板边角料由生产厂家回收；废包装材料作为废品外售；</w:t>
            </w:r>
          </w:p>
          <w:p w14:paraId="7BA0E13C">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废变压器油、废变压器油渣交由有资质单位处置；</w:t>
            </w:r>
          </w:p>
          <w:p w14:paraId="3B2F2CF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生活垃圾收集后交由当地环卫部门处理</w:t>
            </w:r>
          </w:p>
        </w:tc>
      </w:tr>
      <w:tr w14:paraId="62594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61B0BB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30C8D7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34" w:type="dxa"/>
            <w:vMerge w:val="continue"/>
            <w:tcBorders>
              <w:tl2br w:val="nil"/>
              <w:tr2bl w:val="nil"/>
            </w:tcBorders>
            <w:vAlign w:val="center"/>
          </w:tcPr>
          <w:p w14:paraId="1385E2C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30F9E0B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11875F30">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0.6t/a</w:t>
            </w:r>
          </w:p>
        </w:tc>
        <w:tc>
          <w:tcPr>
            <w:tcW w:w="8034" w:type="dxa"/>
            <w:vMerge w:val="continue"/>
            <w:tcBorders>
              <w:tl2br w:val="nil"/>
              <w:tr2bl w:val="nil"/>
            </w:tcBorders>
            <w:vAlign w:val="center"/>
          </w:tcPr>
          <w:p w14:paraId="21E4E18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5A3AA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C0087DB">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67</w:t>
            </w:r>
          </w:p>
        </w:tc>
        <w:tc>
          <w:tcPr>
            <w:tcW w:w="1165" w:type="dxa"/>
            <w:vMerge w:val="restart"/>
            <w:tcBorders>
              <w:tl2br w:val="nil"/>
              <w:tr2bl w:val="nil"/>
            </w:tcBorders>
            <w:vAlign w:val="center"/>
          </w:tcPr>
          <w:p w14:paraId="7EEABD6F">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衡阳市华宜光电科技有限公司</w:t>
            </w:r>
          </w:p>
        </w:tc>
        <w:tc>
          <w:tcPr>
            <w:tcW w:w="1134" w:type="dxa"/>
            <w:tcBorders>
              <w:tl2br w:val="nil"/>
              <w:tr2bl w:val="nil"/>
            </w:tcBorders>
            <w:vAlign w:val="center"/>
          </w:tcPr>
          <w:p w14:paraId="4DBD89B3">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1CD8E3A5">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、SS、氨氮</w:t>
            </w:r>
          </w:p>
        </w:tc>
        <w:tc>
          <w:tcPr>
            <w:tcW w:w="1559" w:type="dxa"/>
            <w:tcBorders>
              <w:tl2br w:val="nil"/>
              <w:tr2bl w:val="nil"/>
            </w:tcBorders>
            <w:vAlign w:val="center"/>
          </w:tcPr>
          <w:p w14:paraId="43B0B566">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500t/a</w:t>
            </w:r>
          </w:p>
        </w:tc>
        <w:tc>
          <w:tcPr>
            <w:tcW w:w="8034" w:type="dxa"/>
            <w:tcBorders>
              <w:tl2br w:val="nil"/>
              <w:tr2bl w:val="nil"/>
            </w:tcBorders>
            <w:vAlign w:val="center"/>
          </w:tcPr>
          <w:p w14:paraId="5B9AC68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车间地面清洗废水及生活污水经化粪池处理后排入松木污水处理厂处理。</w:t>
            </w:r>
          </w:p>
        </w:tc>
      </w:tr>
      <w:tr w14:paraId="702D0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39C82E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68FFD770">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646C0A8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93CE3A3">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w:t>
            </w:r>
          </w:p>
        </w:tc>
        <w:tc>
          <w:tcPr>
            <w:tcW w:w="1559" w:type="dxa"/>
            <w:tcBorders>
              <w:tl2br w:val="nil"/>
              <w:tr2bl w:val="nil"/>
            </w:tcBorders>
            <w:vAlign w:val="center"/>
          </w:tcPr>
          <w:p w14:paraId="020A168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01DCFC5D">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食堂油烟经油烟净化器进行净化后引至食堂楼顶排放。</w:t>
            </w:r>
          </w:p>
        </w:tc>
      </w:tr>
      <w:tr w14:paraId="78ABB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D48597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752FA3DE">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2BA9AA2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70E46D67">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45C952D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4.5t/a</w:t>
            </w:r>
          </w:p>
        </w:tc>
        <w:tc>
          <w:tcPr>
            <w:tcW w:w="8034" w:type="dxa"/>
            <w:vMerge w:val="restart"/>
            <w:tcBorders>
              <w:tl2br w:val="nil"/>
              <w:tr2bl w:val="nil"/>
            </w:tcBorders>
            <w:vAlign w:val="center"/>
          </w:tcPr>
          <w:p w14:paraId="0ABE205F">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废乳化液由资质单位处理；</w:t>
            </w:r>
          </w:p>
          <w:p w14:paraId="59EEDE0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残次品由厂家回收处理；金属屑外售金属回收公司；</w:t>
            </w:r>
          </w:p>
          <w:p w14:paraId="5581C15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生活垃圾收集后交由当地环卫部门处理。</w:t>
            </w:r>
          </w:p>
        </w:tc>
      </w:tr>
      <w:tr w14:paraId="657EE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E14C70A">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3A1D98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02140DCB">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60131F9A">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危险固废</w:t>
            </w:r>
          </w:p>
        </w:tc>
        <w:tc>
          <w:tcPr>
            <w:tcW w:w="1559" w:type="dxa"/>
            <w:tcBorders>
              <w:tl2br w:val="nil"/>
              <w:tr2bl w:val="nil"/>
            </w:tcBorders>
            <w:vAlign w:val="center"/>
          </w:tcPr>
          <w:p w14:paraId="473BFCF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20kg/a</w:t>
            </w:r>
          </w:p>
        </w:tc>
        <w:tc>
          <w:tcPr>
            <w:tcW w:w="8034" w:type="dxa"/>
            <w:vMerge w:val="continue"/>
            <w:tcBorders>
              <w:tl2br w:val="nil"/>
              <w:tr2bl w:val="nil"/>
            </w:tcBorders>
            <w:vAlign w:val="center"/>
          </w:tcPr>
          <w:p w14:paraId="5DDBDE6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r>
      <w:tr w14:paraId="56E1B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EDE8F9E">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68</w:t>
            </w:r>
          </w:p>
        </w:tc>
        <w:tc>
          <w:tcPr>
            <w:tcW w:w="1165" w:type="dxa"/>
            <w:vMerge w:val="restart"/>
            <w:tcBorders>
              <w:tl2br w:val="nil"/>
              <w:tr2bl w:val="nil"/>
            </w:tcBorders>
            <w:vAlign w:val="center"/>
          </w:tcPr>
          <w:p w14:paraId="6B2B2369">
            <w:pPr>
              <w:keepNext w:val="0"/>
              <w:keepLines w:val="0"/>
              <w:pageBreakBefore w:val="0"/>
              <w:widowControl/>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衡阳市大成洗涤科技有限责任公司</w:t>
            </w:r>
          </w:p>
        </w:tc>
        <w:tc>
          <w:tcPr>
            <w:tcW w:w="1134" w:type="dxa"/>
            <w:tcBorders>
              <w:tl2br w:val="nil"/>
              <w:tr2bl w:val="nil"/>
            </w:tcBorders>
            <w:vAlign w:val="center"/>
          </w:tcPr>
          <w:p w14:paraId="469F88E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55E891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、SS、氨氮、阴离子表面活性剂</w:t>
            </w:r>
          </w:p>
        </w:tc>
        <w:tc>
          <w:tcPr>
            <w:tcW w:w="1559" w:type="dxa"/>
            <w:tcBorders>
              <w:tl2br w:val="nil"/>
              <w:tr2bl w:val="nil"/>
            </w:tcBorders>
            <w:vAlign w:val="center"/>
          </w:tcPr>
          <w:p w14:paraId="51724B24">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5841t/a</w:t>
            </w:r>
          </w:p>
        </w:tc>
        <w:tc>
          <w:tcPr>
            <w:tcW w:w="8034" w:type="dxa"/>
            <w:tcBorders>
              <w:tl2br w:val="nil"/>
              <w:tr2bl w:val="nil"/>
            </w:tcBorders>
            <w:vAlign w:val="center"/>
          </w:tcPr>
          <w:p w14:paraId="03037ED2">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布草清洗废水经自建污水处理厂（处理工艺为接触氧化+絮凝沉淀+过滤）处理后60%的废水回用于洗涤工序，其余外排至经开区污水管网后进入松木污水处理厂处理；</w:t>
            </w:r>
          </w:p>
          <w:p w14:paraId="3C0106C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生活污水经化粪池处理后排入松木污水处理厂处理。</w:t>
            </w:r>
          </w:p>
        </w:tc>
      </w:tr>
      <w:tr w14:paraId="61C45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3EA0E4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5D05B668">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62A5AF6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7E2E88A6">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油烟</w:t>
            </w:r>
          </w:p>
        </w:tc>
        <w:tc>
          <w:tcPr>
            <w:tcW w:w="1559" w:type="dxa"/>
            <w:tcBorders>
              <w:tl2br w:val="nil"/>
              <w:tr2bl w:val="nil"/>
            </w:tcBorders>
            <w:vAlign w:val="center"/>
          </w:tcPr>
          <w:p w14:paraId="238C14CF">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8034" w:type="dxa"/>
            <w:tcBorders>
              <w:tl2br w:val="nil"/>
              <w:tr2bl w:val="nil"/>
            </w:tcBorders>
            <w:vAlign w:val="center"/>
          </w:tcPr>
          <w:p w14:paraId="6CF54DE4">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食堂油烟经油烟净化器进行净化后引至食堂楼顶排放。</w:t>
            </w:r>
          </w:p>
        </w:tc>
      </w:tr>
      <w:tr w14:paraId="0FD12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00F0E45">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2F08C3D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3BCDB28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664C86DE">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59" w:type="dxa"/>
            <w:tcBorders>
              <w:tl2br w:val="nil"/>
              <w:tr2bl w:val="nil"/>
            </w:tcBorders>
            <w:vAlign w:val="center"/>
          </w:tcPr>
          <w:p w14:paraId="2874670C">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68t/a</w:t>
            </w:r>
          </w:p>
        </w:tc>
        <w:tc>
          <w:tcPr>
            <w:tcW w:w="8034" w:type="dxa"/>
            <w:tcBorders>
              <w:tl2br w:val="nil"/>
              <w:tr2bl w:val="nil"/>
            </w:tcBorders>
            <w:vAlign w:val="center"/>
          </w:tcPr>
          <w:p w14:paraId="00E2AE01">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污水处理站污泥经板框压滤后运至填埋场处置；</w:t>
            </w:r>
          </w:p>
          <w:p w14:paraId="0728DC0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废包装材料交物资回收部门回收利用；</w:t>
            </w:r>
          </w:p>
          <w:p w14:paraId="51D3D927">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烘干纤维、生活垃圾经收集后交由环卫部门处置。</w:t>
            </w:r>
          </w:p>
        </w:tc>
      </w:tr>
      <w:tr w14:paraId="16553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2B0A03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69</w:t>
            </w:r>
          </w:p>
        </w:tc>
        <w:tc>
          <w:tcPr>
            <w:tcW w:w="1165" w:type="dxa"/>
            <w:vMerge w:val="restart"/>
            <w:tcBorders>
              <w:tl2br w:val="nil"/>
              <w:tr2bl w:val="nil"/>
            </w:tcBorders>
            <w:vAlign w:val="center"/>
          </w:tcPr>
          <w:p w14:paraId="63432933">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衡阳比亚迪实业有限公司</w:t>
            </w:r>
          </w:p>
        </w:tc>
        <w:tc>
          <w:tcPr>
            <w:tcW w:w="1134" w:type="dxa"/>
            <w:tcBorders>
              <w:tl2br w:val="nil"/>
              <w:tr2bl w:val="nil"/>
            </w:tcBorders>
            <w:vAlign w:val="center"/>
          </w:tcPr>
          <w:p w14:paraId="2BC7088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废水</w:t>
            </w:r>
          </w:p>
        </w:tc>
        <w:tc>
          <w:tcPr>
            <w:tcW w:w="1560" w:type="dxa"/>
            <w:tcBorders>
              <w:tl2br w:val="nil"/>
              <w:tr2bl w:val="nil"/>
            </w:tcBorders>
            <w:vAlign w:val="center"/>
          </w:tcPr>
          <w:p w14:paraId="6276A358">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COD、BOD</w:t>
            </w:r>
            <w:r>
              <w:rPr>
                <w:rFonts w:hint="default" w:ascii="Times New Roman" w:hAnsi="Times New Roman" w:eastAsia="宋体" w:cs="Times New Roman"/>
                <w:color w:val="auto"/>
                <w:sz w:val="21"/>
                <w:szCs w:val="21"/>
                <w:highlight w:val="none"/>
                <w:u w:val="none" w:color="auto"/>
                <w:vertAlign w:val="subscript"/>
              </w:rPr>
              <w:t>5</w:t>
            </w:r>
            <w:r>
              <w:rPr>
                <w:rFonts w:hint="default" w:ascii="Times New Roman" w:hAnsi="Times New Roman" w:eastAsia="宋体" w:cs="Times New Roman"/>
                <w:color w:val="auto"/>
                <w:sz w:val="21"/>
                <w:szCs w:val="21"/>
                <w:highlight w:val="none"/>
                <w:u w:val="none" w:color="auto"/>
              </w:rPr>
              <w:t>、SS、氨氮</w:t>
            </w:r>
          </w:p>
        </w:tc>
        <w:tc>
          <w:tcPr>
            <w:tcW w:w="1559" w:type="dxa"/>
            <w:tcBorders>
              <w:tl2br w:val="nil"/>
              <w:tr2bl w:val="nil"/>
            </w:tcBorders>
            <w:vAlign w:val="center"/>
          </w:tcPr>
          <w:p w14:paraId="5085B2AD">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30388.5</w:t>
            </w:r>
          </w:p>
        </w:tc>
        <w:tc>
          <w:tcPr>
            <w:tcW w:w="8034" w:type="dxa"/>
            <w:tcBorders>
              <w:tl2br w:val="nil"/>
              <w:tr2bl w:val="nil"/>
            </w:tcBorders>
            <w:vAlign w:val="center"/>
          </w:tcPr>
          <w:p w14:paraId="39C7EC15">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软水弃水和循环冷却系统溢流排水作为清下水和雨水通过雨水排口排入市政雨水管网；地面清洁废水经隔油沉淀池预处理后纳入市政官网至松木污水处理厂集中处理；生活污水经化粪池预处理后排入松木污水处理厂，最终排入湘江。</w:t>
            </w:r>
          </w:p>
        </w:tc>
      </w:tr>
      <w:tr w14:paraId="56F28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040605F">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140A7B41">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tcBorders>
              <w:tl2br w:val="nil"/>
              <w:tr2bl w:val="nil"/>
            </w:tcBorders>
            <w:vAlign w:val="center"/>
          </w:tcPr>
          <w:p w14:paraId="699A4C7E">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废气</w:t>
            </w:r>
          </w:p>
        </w:tc>
        <w:tc>
          <w:tcPr>
            <w:tcW w:w="1560" w:type="dxa"/>
            <w:tcBorders>
              <w:tl2br w:val="nil"/>
              <w:tr2bl w:val="nil"/>
            </w:tcBorders>
            <w:vAlign w:val="center"/>
          </w:tcPr>
          <w:p w14:paraId="0142D339">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rPr>
              <w:t>TSP、苯、甲苯、二甲苯、非甲烷总烃</w:t>
            </w:r>
          </w:p>
        </w:tc>
        <w:tc>
          <w:tcPr>
            <w:tcW w:w="1559" w:type="dxa"/>
            <w:tcBorders>
              <w:tl2br w:val="nil"/>
              <w:tr2bl w:val="nil"/>
            </w:tcBorders>
            <w:vAlign w:val="center"/>
          </w:tcPr>
          <w:p w14:paraId="73F6831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8034" w:type="dxa"/>
            <w:tcBorders>
              <w:tl2br w:val="nil"/>
              <w:tr2bl w:val="nil"/>
            </w:tcBorders>
            <w:vAlign w:val="center"/>
          </w:tcPr>
          <w:p w14:paraId="014B0BBE">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涂装</w:t>
            </w:r>
            <w:r>
              <w:rPr>
                <w:rFonts w:hint="default" w:ascii="Times New Roman" w:hAnsi="Times New Roman" w:eastAsia="宋体" w:cs="Times New Roman"/>
                <w:color w:val="auto"/>
                <w:sz w:val="21"/>
                <w:szCs w:val="21"/>
                <w:highlight w:val="none"/>
                <w:u w:val="none" w:color="auto"/>
                <w:lang w:eastAsia="zh-CN"/>
              </w:rPr>
              <w:t>废气采用</w:t>
            </w:r>
            <w:r>
              <w:rPr>
                <w:rFonts w:hint="default" w:ascii="Times New Roman" w:hAnsi="Times New Roman" w:eastAsia="宋体" w:cs="Times New Roman"/>
                <w:color w:val="auto"/>
                <w:sz w:val="21"/>
                <w:szCs w:val="21"/>
                <w:highlight w:val="none"/>
                <w:u w:val="none" w:color="auto"/>
              </w:rPr>
              <w:t>1套“过滤棉吸附+蓄热式热氧化设备（RTO）”</w:t>
            </w:r>
            <w:r>
              <w:rPr>
                <w:rFonts w:hint="default" w:ascii="Times New Roman" w:hAnsi="Times New Roman" w:eastAsia="宋体" w:cs="Times New Roman"/>
                <w:color w:val="auto"/>
                <w:sz w:val="21"/>
                <w:szCs w:val="21"/>
                <w:highlight w:val="none"/>
                <w:u w:val="none" w:color="auto"/>
                <w:lang w:eastAsia="zh-CN"/>
              </w:rPr>
              <w:t>处置后</w:t>
            </w:r>
            <w:r>
              <w:rPr>
                <w:rFonts w:hint="default" w:ascii="Times New Roman" w:hAnsi="Times New Roman" w:eastAsia="宋体" w:cs="Times New Roman"/>
                <w:color w:val="auto"/>
                <w:sz w:val="21"/>
                <w:szCs w:val="21"/>
                <w:highlight w:val="none"/>
                <w:u w:val="none" w:color="auto"/>
                <w:lang w:val="en-US" w:eastAsia="zh-CN"/>
              </w:rPr>
              <w:t>18m</w:t>
            </w:r>
            <w:r>
              <w:rPr>
                <w:rFonts w:hint="default" w:ascii="Times New Roman" w:hAnsi="Times New Roman" w:eastAsia="宋体" w:cs="Times New Roman"/>
                <w:color w:val="auto"/>
                <w:sz w:val="21"/>
                <w:szCs w:val="21"/>
                <w:highlight w:val="none"/>
                <w:u w:val="none" w:color="auto"/>
                <w:lang w:eastAsia="zh-CN"/>
              </w:rPr>
              <w:t>排放；</w:t>
            </w:r>
            <w:r>
              <w:rPr>
                <w:rFonts w:hint="default" w:ascii="Times New Roman" w:hAnsi="Times New Roman" w:eastAsia="宋体" w:cs="Times New Roman"/>
                <w:color w:val="auto"/>
                <w:sz w:val="21"/>
                <w:szCs w:val="21"/>
                <w:highlight w:val="none"/>
                <w:u w:val="none" w:color="auto"/>
              </w:rPr>
              <w:t>水泥拌合粉尘</w:t>
            </w:r>
            <w:r>
              <w:rPr>
                <w:rFonts w:hint="default" w:ascii="Times New Roman" w:hAnsi="Times New Roman" w:eastAsia="宋体" w:cs="Times New Roman"/>
                <w:color w:val="auto"/>
                <w:sz w:val="21"/>
                <w:szCs w:val="21"/>
                <w:highlight w:val="none"/>
                <w:u w:val="none" w:color="auto"/>
                <w:lang w:eastAsia="zh-CN"/>
              </w:rPr>
              <w:t>经布袋除尘器处理后</w:t>
            </w:r>
            <w:r>
              <w:rPr>
                <w:rFonts w:hint="default" w:ascii="Times New Roman" w:hAnsi="Times New Roman" w:eastAsia="宋体" w:cs="Times New Roman"/>
                <w:color w:val="auto"/>
                <w:sz w:val="21"/>
                <w:szCs w:val="21"/>
                <w:highlight w:val="none"/>
                <w:u w:val="none" w:color="auto"/>
                <w:lang w:val="en-US" w:eastAsia="zh-CN"/>
              </w:rPr>
              <w:t>15m排放，</w:t>
            </w:r>
            <w:r>
              <w:rPr>
                <w:rFonts w:hint="default" w:ascii="Times New Roman" w:hAnsi="Times New Roman" w:eastAsia="宋体" w:cs="Times New Roman"/>
                <w:color w:val="auto"/>
                <w:sz w:val="21"/>
                <w:szCs w:val="21"/>
                <w:highlight w:val="none"/>
                <w:u w:val="none" w:color="auto"/>
              </w:rPr>
              <w:t>、锅炉燃气废气</w:t>
            </w:r>
            <w:r>
              <w:rPr>
                <w:rFonts w:hint="default" w:ascii="Times New Roman" w:hAnsi="Times New Roman" w:eastAsia="宋体" w:cs="Times New Roman"/>
                <w:color w:val="auto"/>
                <w:sz w:val="21"/>
                <w:szCs w:val="21"/>
                <w:highlight w:val="none"/>
                <w:u w:val="none" w:color="auto"/>
                <w:lang w:val="en-US" w:eastAsia="zh-CN"/>
              </w:rPr>
              <w:t>15m排放</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零部件项目抛丸粉尘</w:t>
            </w:r>
            <w:r>
              <w:rPr>
                <w:rFonts w:hint="default" w:ascii="Times New Roman" w:hAnsi="Times New Roman" w:eastAsia="宋体" w:cs="Times New Roman"/>
                <w:color w:val="auto"/>
                <w:sz w:val="21"/>
                <w:szCs w:val="21"/>
                <w:highlight w:val="none"/>
                <w:u w:val="none" w:color="auto"/>
                <w:lang w:eastAsia="zh-CN"/>
              </w:rPr>
              <w:t>经</w:t>
            </w:r>
            <w:r>
              <w:rPr>
                <w:rFonts w:hint="default" w:ascii="Times New Roman" w:hAnsi="Times New Roman" w:eastAsia="宋体" w:cs="Times New Roman"/>
                <w:color w:val="auto"/>
                <w:sz w:val="21"/>
                <w:szCs w:val="21"/>
                <w:highlight w:val="none"/>
                <w:u w:val="none" w:color="auto"/>
              </w:rPr>
              <w:t>自带的喷砂粉尘过滤系统</w:t>
            </w:r>
            <w:r>
              <w:rPr>
                <w:rFonts w:hint="default" w:ascii="Times New Roman" w:hAnsi="Times New Roman" w:eastAsia="宋体" w:cs="Times New Roman"/>
                <w:color w:val="auto"/>
                <w:sz w:val="21"/>
                <w:szCs w:val="21"/>
                <w:highlight w:val="none"/>
                <w:u w:val="none" w:color="auto"/>
                <w:lang w:eastAsia="zh-CN"/>
              </w:rPr>
              <w:t>处理后</w:t>
            </w:r>
            <w:r>
              <w:rPr>
                <w:rFonts w:hint="default" w:ascii="Times New Roman" w:hAnsi="Times New Roman" w:eastAsia="宋体" w:cs="Times New Roman"/>
                <w:color w:val="auto"/>
                <w:sz w:val="21"/>
                <w:szCs w:val="21"/>
                <w:highlight w:val="none"/>
                <w:u w:val="none" w:color="auto"/>
                <w:lang w:val="en-US" w:eastAsia="zh-CN"/>
              </w:rPr>
              <w:t>18m排放；</w:t>
            </w:r>
            <w:r>
              <w:rPr>
                <w:rFonts w:hint="default" w:ascii="Times New Roman" w:hAnsi="Times New Roman" w:eastAsia="宋体" w:cs="Times New Roman"/>
                <w:color w:val="auto"/>
                <w:sz w:val="21"/>
                <w:szCs w:val="21"/>
                <w:highlight w:val="none"/>
                <w:u w:val="none" w:color="auto"/>
              </w:rPr>
              <w:t>喷漆废气</w:t>
            </w:r>
            <w:r>
              <w:rPr>
                <w:rFonts w:hint="default" w:ascii="Times New Roman" w:hAnsi="Times New Roman" w:eastAsia="宋体" w:cs="Times New Roman"/>
                <w:color w:val="auto"/>
                <w:sz w:val="21"/>
                <w:szCs w:val="21"/>
                <w:highlight w:val="none"/>
                <w:u w:val="none" w:color="auto"/>
                <w:lang w:eastAsia="zh-CN"/>
              </w:rPr>
              <w:t>及</w:t>
            </w:r>
            <w:r>
              <w:rPr>
                <w:rFonts w:hint="default" w:ascii="Times New Roman" w:hAnsi="Times New Roman" w:eastAsia="宋体" w:cs="Times New Roman"/>
                <w:color w:val="auto"/>
                <w:sz w:val="21"/>
                <w:szCs w:val="21"/>
                <w:highlight w:val="none"/>
                <w:u w:val="none" w:color="auto"/>
              </w:rPr>
              <w:t>烘干废气</w:t>
            </w:r>
            <w:r>
              <w:rPr>
                <w:rFonts w:hint="default" w:ascii="Times New Roman" w:hAnsi="Times New Roman" w:eastAsia="宋体" w:cs="Times New Roman"/>
                <w:color w:val="auto"/>
                <w:sz w:val="21"/>
                <w:szCs w:val="21"/>
                <w:highlight w:val="none"/>
                <w:u w:val="none" w:color="auto"/>
                <w:lang w:eastAsia="zh-CN"/>
              </w:rPr>
              <w:t>经</w:t>
            </w:r>
            <w:r>
              <w:rPr>
                <w:rFonts w:hint="default" w:ascii="Times New Roman" w:hAnsi="Times New Roman" w:eastAsia="宋体" w:cs="Times New Roman"/>
                <w:color w:val="auto"/>
                <w:sz w:val="21"/>
                <w:szCs w:val="21"/>
                <w:highlight w:val="none"/>
                <w:u w:val="none" w:color="auto"/>
              </w:rPr>
              <w:t>水旋式除漆雾+活性炭吸附浓缩+催化燃烧装置</w:t>
            </w:r>
            <w:r>
              <w:rPr>
                <w:rFonts w:hint="default" w:ascii="Times New Roman" w:hAnsi="Times New Roman" w:eastAsia="宋体" w:cs="Times New Roman"/>
                <w:color w:val="auto"/>
                <w:sz w:val="21"/>
                <w:szCs w:val="21"/>
                <w:highlight w:val="none"/>
                <w:u w:val="none" w:color="auto"/>
                <w:lang w:eastAsia="zh-CN"/>
              </w:rPr>
              <w:t>处置后</w:t>
            </w:r>
            <w:r>
              <w:rPr>
                <w:rFonts w:hint="default" w:ascii="Times New Roman" w:hAnsi="Times New Roman" w:eastAsia="宋体" w:cs="Times New Roman"/>
                <w:color w:val="auto"/>
                <w:sz w:val="21"/>
                <w:szCs w:val="21"/>
                <w:highlight w:val="none"/>
                <w:u w:val="none" w:color="auto"/>
                <w:lang w:val="en-US" w:eastAsia="zh-CN"/>
              </w:rPr>
              <w:t>18m排放</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切割和焊接烟尘</w:t>
            </w:r>
            <w:r>
              <w:rPr>
                <w:rFonts w:hint="default" w:ascii="Times New Roman" w:hAnsi="Times New Roman" w:eastAsia="宋体" w:cs="Times New Roman"/>
                <w:color w:val="auto"/>
                <w:sz w:val="21"/>
                <w:szCs w:val="21"/>
                <w:highlight w:val="none"/>
                <w:u w:val="none" w:color="auto"/>
                <w:lang w:eastAsia="zh-CN"/>
              </w:rPr>
              <w:t>经</w:t>
            </w:r>
            <w:r>
              <w:rPr>
                <w:rFonts w:hint="default" w:ascii="Times New Roman" w:hAnsi="Times New Roman" w:eastAsia="宋体" w:cs="Times New Roman"/>
                <w:color w:val="auto"/>
                <w:sz w:val="21"/>
                <w:szCs w:val="21"/>
                <w:highlight w:val="none"/>
                <w:u w:val="none" w:color="auto"/>
              </w:rPr>
              <w:t>移动滤筒式焊接烟尘净化机</w:t>
            </w:r>
            <w:r>
              <w:rPr>
                <w:rFonts w:hint="default" w:ascii="Times New Roman" w:hAnsi="Times New Roman" w:eastAsia="宋体" w:cs="Times New Roman"/>
                <w:color w:val="auto"/>
                <w:sz w:val="21"/>
                <w:szCs w:val="21"/>
                <w:highlight w:val="none"/>
                <w:u w:val="none" w:color="auto"/>
                <w:lang w:eastAsia="zh-CN"/>
              </w:rPr>
              <w:t>处理后</w:t>
            </w:r>
            <w:r>
              <w:rPr>
                <w:rFonts w:hint="default" w:ascii="Times New Roman" w:hAnsi="Times New Roman" w:eastAsia="宋体" w:cs="Times New Roman"/>
                <w:color w:val="auto"/>
                <w:sz w:val="21"/>
                <w:szCs w:val="21"/>
                <w:highlight w:val="none"/>
                <w:u w:val="none" w:color="auto"/>
                <w:lang w:val="en-US" w:eastAsia="zh-CN"/>
              </w:rPr>
              <w:t>18m排放</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注塑有机废气</w:t>
            </w:r>
            <w:r>
              <w:rPr>
                <w:rFonts w:hint="default" w:ascii="Times New Roman" w:hAnsi="Times New Roman" w:eastAsia="宋体" w:cs="Times New Roman"/>
                <w:color w:val="auto"/>
                <w:sz w:val="21"/>
                <w:szCs w:val="21"/>
                <w:highlight w:val="none"/>
                <w:u w:val="none" w:color="auto"/>
                <w:lang w:eastAsia="zh-CN"/>
              </w:rPr>
              <w:t>经</w:t>
            </w:r>
            <w:r>
              <w:rPr>
                <w:rFonts w:hint="default" w:ascii="Times New Roman" w:hAnsi="Times New Roman" w:eastAsia="宋体" w:cs="Times New Roman"/>
                <w:color w:val="auto"/>
                <w:sz w:val="21"/>
                <w:szCs w:val="21"/>
                <w:highlight w:val="none"/>
                <w:u w:val="none" w:color="auto"/>
              </w:rPr>
              <w:t>活性炭吸附</w:t>
            </w:r>
            <w:r>
              <w:rPr>
                <w:rFonts w:hint="default" w:ascii="Times New Roman" w:hAnsi="Times New Roman" w:eastAsia="宋体" w:cs="Times New Roman"/>
                <w:color w:val="auto"/>
                <w:sz w:val="21"/>
                <w:szCs w:val="21"/>
                <w:highlight w:val="none"/>
                <w:u w:val="none" w:color="auto"/>
                <w:lang w:eastAsia="zh-CN"/>
              </w:rPr>
              <w:t>后</w:t>
            </w:r>
            <w:r>
              <w:rPr>
                <w:rFonts w:hint="default" w:ascii="Times New Roman" w:hAnsi="Times New Roman" w:eastAsia="宋体" w:cs="Times New Roman"/>
                <w:color w:val="auto"/>
                <w:sz w:val="21"/>
                <w:szCs w:val="21"/>
                <w:highlight w:val="none"/>
                <w:u w:val="none" w:color="auto"/>
                <w:lang w:val="en-US" w:eastAsia="zh-CN"/>
              </w:rPr>
              <w:t>15m排放</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喷涂、烘干有机废气</w:t>
            </w:r>
            <w:r>
              <w:rPr>
                <w:rFonts w:hint="default" w:ascii="Times New Roman" w:hAnsi="Times New Roman" w:eastAsia="宋体" w:cs="Times New Roman"/>
                <w:color w:val="auto"/>
                <w:sz w:val="21"/>
                <w:szCs w:val="21"/>
                <w:highlight w:val="none"/>
                <w:u w:val="none" w:color="auto"/>
                <w:lang w:eastAsia="zh-CN"/>
              </w:rPr>
              <w:t>经</w:t>
            </w:r>
            <w:r>
              <w:rPr>
                <w:rFonts w:hint="default" w:ascii="Times New Roman" w:hAnsi="Times New Roman" w:eastAsia="宋体" w:cs="Times New Roman"/>
                <w:color w:val="auto"/>
                <w:sz w:val="21"/>
                <w:szCs w:val="21"/>
                <w:highlight w:val="none"/>
                <w:u w:val="none" w:color="auto"/>
              </w:rPr>
              <w:t>干式过滤+蓄热式氧化（RTO）</w:t>
            </w:r>
            <w:r>
              <w:rPr>
                <w:rFonts w:hint="default" w:ascii="Times New Roman" w:hAnsi="Times New Roman" w:eastAsia="宋体" w:cs="Times New Roman"/>
                <w:color w:val="auto"/>
                <w:sz w:val="21"/>
                <w:szCs w:val="21"/>
                <w:highlight w:val="none"/>
                <w:u w:val="none" w:color="auto"/>
                <w:lang w:eastAsia="zh-CN"/>
              </w:rPr>
              <w:t>处置后</w:t>
            </w:r>
            <w:r>
              <w:rPr>
                <w:rFonts w:hint="default" w:ascii="Times New Roman" w:hAnsi="Times New Roman" w:eastAsia="宋体" w:cs="Times New Roman"/>
                <w:color w:val="auto"/>
                <w:sz w:val="21"/>
                <w:szCs w:val="21"/>
                <w:highlight w:val="none"/>
                <w:u w:val="none" w:color="auto"/>
                <w:lang w:val="en-US" w:eastAsia="zh-CN"/>
              </w:rPr>
              <w:t>18m排放</w:t>
            </w:r>
            <w:r>
              <w:rPr>
                <w:rFonts w:hint="default" w:ascii="Times New Roman" w:hAnsi="Times New Roman" w:eastAsia="宋体" w:cs="Times New Roman"/>
                <w:color w:val="auto"/>
                <w:sz w:val="21"/>
                <w:szCs w:val="21"/>
                <w:highlight w:val="none"/>
                <w:u w:val="none" w:color="auto"/>
              </w:rPr>
              <w:t>。</w:t>
            </w:r>
          </w:p>
        </w:tc>
      </w:tr>
      <w:tr w14:paraId="43EA2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703E6C4">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3124C717">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restart"/>
            <w:tcBorders>
              <w:tl2br w:val="nil"/>
              <w:tr2bl w:val="nil"/>
            </w:tcBorders>
            <w:vAlign w:val="center"/>
          </w:tcPr>
          <w:p w14:paraId="0EA5084A">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固废</w:t>
            </w:r>
          </w:p>
        </w:tc>
        <w:tc>
          <w:tcPr>
            <w:tcW w:w="1560" w:type="dxa"/>
            <w:tcBorders>
              <w:tl2br w:val="nil"/>
              <w:tr2bl w:val="nil"/>
            </w:tcBorders>
            <w:vAlign w:val="center"/>
          </w:tcPr>
          <w:p w14:paraId="2B1D134F">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一般固废</w:t>
            </w:r>
          </w:p>
        </w:tc>
        <w:tc>
          <w:tcPr>
            <w:tcW w:w="1559" w:type="dxa"/>
            <w:tcBorders>
              <w:tl2br w:val="nil"/>
              <w:tr2bl w:val="nil"/>
            </w:tcBorders>
            <w:vAlign w:val="center"/>
          </w:tcPr>
          <w:p w14:paraId="1B9ED19B">
            <w:pPr>
              <w:keepNext w:val="0"/>
              <w:keepLines w:val="0"/>
              <w:pageBreakBefore w:val="0"/>
              <w:widowControl/>
              <w:kinsoku/>
              <w:wordWrap/>
              <w:overflowPunct/>
              <w:topLinePunct w:val="0"/>
              <w:autoSpaceDE/>
              <w:autoSpaceDN/>
              <w:bidi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rPr>
              <w:t>48.78</w:t>
            </w:r>
          </w:p>
        </w:tc>
        <w:tc>
          <w:tcPr>
            <w:tcW w:w="8034" w:type="dxa"/>
            <w:tcBorders>
              <w:tl2br w:val="nil"/>
              <w:tr2bl w:val="nil"/>
            </w:tcBorders>
            <w:vAlign w:val="center"/>
          </w:tcPr>
          <w:p w14:paraId="6693D913">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废包装材料收集后外售综合处理。废边角料和不合格产品返回重加工再利用。</w:t>
            </w:r>
          </w:p>
        </w:tc>
      </w:tr>
      <w:tr w14:paraId="0F2A3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64173A9">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color="auto"/>
              </w:rPr>
            </w:pPr>
          </w:p>
        </w:tc>
        <w:tc>
          <w:tcPr>
            <w:tcW w:w="1165" w:type="dxa"/>
            <w:vMerge w:val="continue"/>
            <w:tcBorders>
              <w:tl2br w:val="nil"/>
              <w:tr2bl w:val="nil"/>
            </w:tcBorders>
            <w:vAlign w:val="center"/>
          </w:tcPr>
          <w:p w14:paraId="062447F6">
            <w:pPr>
              <w:keepNext w:val="0"/>
              <w:keepLines w:val="0"/>
              <w:pageBreakBefore w:val="0"/>
              <w:widowControl/>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rPr>
            </w:pPr>
          </w:p>
        </w:tc>
        <w:tc>
          <w:tcPr>
            <w:tcW w:w="1134" w:type="dxa"/>
            <w:vMerge w:val="continue"/>
            <w:tcBorders>
              <w:tl2br w:val="nil"/>
              <w:tr2bl w:val="nil"/>
            </w:tcBorders>
            <w:vAlign w:val="center"/>
          </w:tcPr>
          <w:p w14:paraId="1F52CA61">
            <w:pPr>
              <w:keepNext w:val="0"/>
              <w:keepLines w:val="0"/>
              <w:pageBreakBefore w:val="0"/>
              <w:kinsoku/>
              <w:wordWrap/>
              <w:overflowPunct/>
              <w:topLinePunct w:val="0"/>
              <w:autoSpaceDE/>
              <w:autoSpaceDN/>
              <w:bidi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u w:val="none" w:color="auto"/>
              </w:rPr>
            </w:pPr>
          </w:p>
        </w:tc>
        <w:tc>
          <w:tcPr>
            <w:tcW w:w="1560" w:type="dxa"/>
            <w:tcBorders>
              <w:tl2br w:val="nil"/>
              <w:tr2bl w:val="nil"/>
            </w:tcBorders>
            <w:vAlign w:val="center"/>
          </w:tcPr>
          <w:p w14:paraId="279A4064">
            <w:pPr>
              <w:keepNext w:val="0"/>
              <w:keepLines w:val="0"/>
              <w:pageBreakBefore w:val="0"/>
              <w:kinsoku/>
              <w:wordWrap/>
              <w:overflowPunct/>
              <w:topLinePunct w:val="0"/>
              <w:autoSpaceDE/>
              <w:autoSpaceDN/>
              <w:bidi w:val="0"/>
              <w:snapToGrid w:val="0"/>
              <w:spacing w:line="240" w:lineRule="auto"/>
              <w:ind w:right="0" w:rightChars="0"/>
              <w:jc w:val="left"/>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危险废物</w:t>
            </w:r>
          </w:p>
        </w:tc>
        <w:tc>
          <w:tcPr>
            <w:tcW w:w="1559" w:type="dxa"/>
            <w:tcBorders>
              <w:tl2br w:val="nil"/>
              <w:tr2bl w:val="nil"/>
            </w:tcBorders>
            <w:vAlign w:val="center"/>
          </w:tcPr>
          <w:p w14:paraId="241B14D5">
            <w:pPr>
              <w:keepNext w:val="0"/>
              <w:keepLines w:val="0"/>
              <w:pageBreakBefore w:val="0"/>
              <w:widowControl/>
              <w:kinsoku/>
              <w:wordWrap/>
              <w:overflowPunct/>
              <w:topLinePunct w:val="0"/>
              <w:autoSpaceDE/>
              <w:autoSpaceDN/>
              <w:bidi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rPr>
              <w:t>81.12</w:t>
            </w:r>
          </w:p>
        </w:tc>
        <w:tc>
          <w:tcPr>
            <w:tcW w:w="8034" w:type="dxa"/>
            <w:tcBorders>
              <w:tl2br w:val="nil"/>
              <w:tr2bl w:val="nil"/>
            </w:tcBorders>
            <w:vAlign w:val="center"/>
          </w:tcPr>
          <w:p w14:paraId="35D5C0FA">
            <w:pPr>
              <w:keepNext w:val="0"/>
              <w:keepLines w:val="0"/>
              <w:pageBreakBefore w:val="0"/>
              <w:kinsoku/>
              <w:wordWrap/>
              <w:overflowPunct/>
              <w:topLinePunct w:val="0"/>
              <w:autoSpaceDE/>
              <w:autoSpaceDN/>
              <w:bidi w:val="0"/>
              <w:snapToGrid w:val="0"/>
              <w:spacing w:line="240" w:lineRule="auto"/>
              <w:ind w:right="0" w:right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废漆渣、废油漆桶、废过滤棉、废活性炭、废抹布及手套、清洗废液，均属于危险废物，委托有资质的单位安全处置</w:t>
            </w:r>
          </w:p>
        </w:tc>
      </w:tr>
    </w:tbl>
    <w:p w14:paraId="701C2033">
      <w:pPr>
        <w:pageBreakBefore w:val="0"/>
        <w:kinsoku/>
        <w:wordWrap/>
        <w:overflowPunct/>
        <w:topLinePunct w:val="0"/>
        <w:bidi w:val="0"/>
        <w:spacing w:line="360" w:lineRule="auto"/>
        <w:rPr>
          <w:rFonts w:hint="default" w:ascii="Times New Roman" w:hAnsi="Times New Roman" w:eastAsia="宋体" w:cs="Times New Roman"/>
          <w:color w:val="auto"/>
          <w:sz w:val="24"/>
          <w:szCs w:val="24"/>
          <w:highlight w:val="none"/>
          <w:u w:val="none" w:color="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1ABD25A">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val="en-US" w:eastAsia="zh-CN"/>
        </w:rPr>
      </w:pPr>
      <w:bookmarkStart w:id="62" w:name="_Toc30676"/>
      <w:bookmarkStart w:id="63" w:name="_Toc480366184"/>
      <w:r>
        <w:rPr>
          <w:rFonts w:hint="default" w:ascii="Times New Roman" w:hAnsi="Times New Roman" w:eastAsia="宋体" w:cs="Times New Roman"/>
          <w:color w:val="auto"/>
          <w:sz w:val="32"/>
          <w:szCs w:val="32"/>
          <w:highlight w:val="none"/>
          <w:u w:val="none" w:color="auto"/>
          <w:lang w:val="en-US" w:eastAsia="zh-CN"/>
        </w:rPr>
        <w:t>6 环境质量现状调查与评价</w:t>
      </w:r>
      <w:bookmarkEnd w:id="62"/>
      <w:bookmarkEnd w:id="63"/>
    </w:p>
    <w:p w14:paraId="3D688985">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64" w:name="_Toc351361736"/>
      <w:bookmarkStart w:id="65" w:name="_Toc294337213"/>
      <w:bookmarkStart w:id="66" w:name="_Toc25804"/>
      <w:r>
        <w:rPr>
          <w:rFonts w:hint="default" w:ascii="Times New Roman" w:hAnsi="Times New Roman" w:eastAsia="宋体" w:cs="Times New Roman"/>
          <w:color w:val="auto"/>
          <w:sz w:val="28"/>
          <w:szCs w:val="28"/>
          <w:highlight w:val="none"/>
          <w:u w:val="none" w:color="auto"/>
          <w:lang w:val="en-US" w:eastAsia="zh-CN"/>
        </w:rPr>
        <w:t>6.1环境空气质量现状调查</w:t>
      </w:r>
      <w:bookmarkEnd w:id="64"/>
      <w:bookmarkEnd w:id="65"/>
      <w:r>
        <w:rPr>
          <w:rFonts w:hint="default" w:ascii="Times New Roman" w:hAnsi="Times New Roman" w:eastAsia="宋体" w:cs="Times New Roman"/>
          <w:color w:val="auto"/>
          <w:sz w:val="28"/>
          <w:szCs w:val="28"/>
          <w:highlight w:val="none"/>
          <w:u w:val="none" w:color="auto"/>
          <w:lang w:val="en-US" w:eastAsia="zh-CN"/>
        </w:rPr>
        <w:t>与评价</w:t>
      </w:r>
      <w:bookmarkEnd w:id="66"/>
    </w:p>
    <w:p w14:paraId="1E1D06D0">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6</w:t>
      </w:r>
      <w:r>
        <w:rPr>
          <w:rFonts w:hint="default" w:ascii="Times New Roman" w:hAnsi="Times New Roman" w:eastAsia="宋体" w:cs="Times New Roman"/>
          <w:color w:val="auto"/>
          <w:sz w:val="24"/>
          <w:szCs w:val="24"/>
          <w:highlight w:val="none"/>
          <w:u w:val="none" w:color="auto"/>
        </w:rPr>
        <w:t>.1.1项目所在区域环境空气质量达标判定</w:t>
      </w:r>
    </w:p>
    <w:p w14:paraId="213CEFE9">
      <w:pPr>
        <w:ind w:firstLine="560"/>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本报告收集了衡阳市生态环境局网站公开发布的</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lang w:val="en-US" w:eastAsia="zh-CN"/>
        </w:rPr>
        <w:t>关于2021年12月及1-12月全市环境质量状况的通报</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中衡阳市城区202</w:t>
      </w:r>
      <w:r>
        <w:rPr>
          <w:rFonts w:hint="default" w:ascii="Times New Roman" w:hAnsi="Times New Roman" w:eastAsia="宋体" w:cs="Times New Roman"/>
          <w:color w:val="auto"/>
          <w:sz w:val="24"/>
          <w:szCs w:val="24"/>
          <w:highlight w:val="none"/>
          <w:u w:val="single" w:color="auto"/>
          <w:lang w:val="en-US" w:eastAsia="zh-CN"/>
        </w:rPr>
        <w:t>1</w:t>
      </w:r>
      <w:r>
        <w:rPr>
          <w:rFonts w:hint="default" w:ascii="Times New Roman" w:hAnsi="Times New Roman" w:eastAsia="宋体" w:cs="Times New Roman"/>
          <w:color w:val="auto"/>
          <w:sz w:val="24"/>
          <w:szCs w:val="24"/>
          <w:highlight w:val="none"/>
          <w:u w:val="single" w:color="auto"/>
        </w:rPr>
        <w:t>年环境空气质量常规监测点衡阳化工总厂的监测统计资料</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监测点考核区域为松木经开区，即本项目所在地区域。该监测点具体数据如下：</w:t>
      </w:r>
    </w:p>
    <w:p w14:paraId="2DA8F3CD">
      <w:pPr>
        <w:jc w:val="center"/>
        <w:rPr>
          <w:rFonts w:hint="default" w:ascii="Times New Roman" w:hAnsi="Times New Roman" w:eastAsia="宋体" w:cs="Times New Roman"/>
          <w:b/>
          <w:color w:val="auto"/>
          <w:sz w:val="21"/>
          <w:szCs w:val="21"/>
          <w:highlight w:val="none"/>
          <w:u w:val="single" w:color="auto"/>
        </w:rPr>
      </w:pPr>
      <w:r>
        <w:rPr>
          <w:rFonts w:hint="default" w:ascii="Times New Roman" w:hAnsi="Times New Roman" w:eastAsia="宋体" w:cs="Times New Roman"/>
          <w:b/>
          <w:color w:val="auto"/>
          <w:sz w:val="21"/>
          <w:szCs w:val="21"/>
          <w:highlight w:val="none"/>
          <w:u w:val="single" w:color="auto"/>
        </w:rPr>
        <w:t>表</w:t>
      </w:r>
      <w:r>
        <w:rPr>
          <w:rFonts w:hint="default" w:ascii="Times New Roman" w:hAnsi="Times New Roman" w:eastAsia="宋体" w:cs="Times New Roman"/>
          <w:b/>
          <w:color w:val="auto"/>
          <w:sz w:val="21"/>
          <w:szCs w:val="21"/>
          <w:highlight w:val="none"/>
          <w:u w:val="single" w:color="auto"/>
          <w:lang w:val="en-US" w:eastAsia="zh-CN"/>
        </w:rPr>
        <w:t>6</w:t>
      </w:r>
      <w:r>
        <w:rPr>
          <w:rFonts w:hint="default" w:ascii="Times New Roman" w:hAnsi="Times New Roman" w:eastAsia="宋体" w:cs="Times New Roman"/>
          <w:b/>
          <w:color w:val="auto"/>
          <w:sz w:val="21"/>
          <w:szCs w:val="21"/>
          <w:highlight w:val="none"/>
          <w:u w:val="single" w:color="auto"/>
        </w:rPr>
        <w:t>.1-1 项目所在区域空气质量现状评价表</w:t>
      </w:r>
    </w:p>
    <w:tbl>
      <w:tblPr>
        <w:tblStyle w:val="22"/>
        <w:tblW w:w="87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7"/>
        <w:gridCol w:w="2304"/>
        <w:gridCol w:w="1275"/>
        <w:gridCol w:w="1151"/>
        <w:gridCol w:w="1023"/>
        <w:gridCol w:w="1068"/>
        <w:gridCol w:w="1068"/>
      </w:tblGrid>
      <w:tr w14:paraId="1D483D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7" w:type="dxa"/>
            <w:shd w:val="clear" w:color="auto" w:fill="auto"/>
            <w:noWrap/>
            <w:vAlign w:val="center"/>
          </w:tcPr>
          <w:p w14:paraId="717D9CFF">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污染物</w:t>
            </w:r>
          </w:p>
        </w:tc>
        <w:tc>
          <w:tcPr>
            <w:tcW w:w="2304" w:type="dxa"/>
            <w:shd w:val="clear" w:color="auto" w:fill="auto"/>
            <w:noWrap/>
            <w:vAlign w:val="center"/>
          </w:tcPr>
          <w:p w14:paraId="763A0828">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年评价指标</w:t>
            </w:r>
          </w:p>
        </w:tc>
        <w:tc>
          <w:tcPr>
            <w:tcW w:w="1275" w:type="dxa"/>
            <w:shd w:val="clear" w:color="auto" w:fill="auto"/>
            <w:noWrap/>
            <w:vAlign w:val="center"/>
          </w:tcPr>
          <w:p w14:paraId="655E0A21">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现状浓度/（μg/m</w:t>
            </w:r>
            <w:r>
              <w:rPr>
                <w:rFonts w:hint="default" w:ascii="Times New Roman" w:hAnsi="Times New Roman" w:eastAsia="宋体" w:cs="Times New Roman"/>
                <w:snapToGrid/>
                <w:color w:val="auto"/>
                <w:sz w:val="21"/>
                <w:szCs w:val="21"/>
                <w:highlight w:val="none"/>
                <w:u w:val="single" w:color="auto"/>
                <w:vertAlign w:val="superscript"/>
              </w:rPr>
              <w:t>3</w:t>
            </w:r>
            <w:r>
              <w:rPr>
                <w:rFonts w:hint="default" w:ascii="Times New Roman" w:hAnsi="Times New Roman" w:eastAsia="宋体" w:cs="Times New Roman"/>
                <w:snapToGrid/>
                <w:color w:val="auto"/>
                <w:sz w:val="21"/>
                <w:szCs w:val="21"/>
                <w:highlight w:val="none"/>
                <w:u w:val="single" w:color="auto"/>
              </w:rPr>
              <w:t>）</w:t>
            </w:r>
          </w:p>
        </w:tc>
        <w:tc>
          <w:tcPr>
            <w:tcW w:w="1151" w:type="dxa"/>
            <w:shd w:val="clear" w:color="auto" w:fill="auto"/>
            <w:noWrap/>
            <w:vAlign w:val="center"/>
          </w:tcPr>
          <w:p w14:paraId="0C0897A9">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标准值/（</w:t>
            </w:r>
            <w:r>
              <w:rPr>
                <w:rFonts w:hint="default" w:ascii="Times New Roman" w:hAnsi="Times New Roman" w:eastAsia="宋体" w:cs="Times New Roman"/>
                <w:color w:val="auto"/>
                <w:sz w:val="21"/>
                <w:szCs w:val="21"/>
                <w:highlight w:val="none"/>
                <w:u w:val="single" w:color="auto"/>
              </w:rPr>
              <w:t>μ</w:t>
            </w:r>
            <w:r>
              <w:rPr>
                <w:rFonts w:hint="default" w:ascii="Times New Roman" w:hAnsi="Times New Roman" w:eastAsia="宋体" w:cs="Times New Roman"/>
                <w:snapToGrid/>
                <w:color w:val="auto"/>
                <w:sz w:val="21"/>
                <w:szCs w:val="21"/>
                <w:highlight w:val="none"/>
                <w:u w:val="single" w:color="auto"/>
              </w:rPr>
              <w:t>g/m</w:t>
            </w:r>
            <w:r>
              <w:rPr>
                <w:rFonts w:hint="default" w:ascii="Times New Roman" w:hAnsi="Times New Roman" w:eastAsia="宋体" w:cs="Times New Roman"/>
                <w:snapToGrid/>
                <w:color w:val="auto"/>
                <w:sz w:val="21"/>
                <w:szCs w:val="21"/>
                <w:highlight w:val="none"/>
                <w:u w:val="single" w:color="auto"/>
                <w:vertAlign w:val="superscript"/>
              </w:rPr>
              <w:t>3</w:t>
            </w:r>
            <w:r>
              <w:rPr>
                <w:rFonts w:hint="default" w:ascii="Times New Roman" w:hAnsi="Times New Roman" w:eastAsia="宋体" w:cs="Times New Roman"/>
                <w:snapToGrid/>
                <w:color w:val="auto"/>
                <w:sz w:val="21"/>
                <w:szCs w:val="21"/>
                <w:highlight w:val="none"/>
                <w:u w:val="single" w:color="auto"/>
              </w:rPr>
              <w:t>）</w:t>
            </w:r>
          </w:p>
        </w:tc>
        <w:tc>
          <w:tcPr>
            <w:tcW w:w="1023" w:type="dxa"/>
            <w:shd w:val="clear" w:color="auto" w:fill="auto"/>
            <w:noWrap/>
            <w:vAlign w:val="center"/>
          </w:tcPr>
          <w:p w14:paraId="7C3C43CC">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占标率/%</w:t>
            </w:r>
          </w:p>
        </w:tc>
        <w:tc>
          <w:tcPr>
            <w:tcW w:w="1068" w:type="dxa"/>
            <w:shd w:val="clear" w:color="auto" w:fill="auto"/>
            <w:noWrap/>
            <w:vAlign w:val="center"/>
          </w:tcPr>
          <w:p w14:paraId="338836FB">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达标情况</w:t>
            </w:r>
          </w:p>
        </w:tc>
        <w:tc>
          <w:tcPr>
            <w:tcW w:w="1068" w:type="dxa"/>
            <w:shd w:val="clear" w:color="auto" w:fill="auto"/>
            <w:noWrap/>
            <w:vAlign w:val="center"/>
          </w:tcPr>
          <w:p w14:paraId="603CC0F8">
            <w:pPr>
              <w:pStyle w:val="43"/>
              <w:rPr>
                <w:rFonts w:hint="default" w:ascii="Times New Roman" w:hAnsi="Times New Roman" w:eastAsia="宋体" w:cs="Times New Roman"/>
                <w:snapToGrid/>
                <w:color w:val="auto"/>
                <w:sz w:val="21"/>
                <w:szCs w:val="21"/>
                <w:highlight w:val="none"/>
                <w:u w:val="single" w:color="auto"/>
                <w:lang w:eastAsia="zh-CN"/>
              </w:rPr>
            </w:pPr>
            <w:r>
              <w:rPr>
                <w:rFonts w:hint="default" w:ascii="Times New Roman" w:hAnsi="Times New Roman" w:cs="Times New Roman"/>
                <w:snapToGrid/>
                <w:color w:val="auto"/>
                <w:sz w:val="21"/>
                <w:szCs w:val="21"/>
                <w:highlight w:val="none"/>
                <w:u w:val="single" w:color="auto"/>
                <w:lang w:val="en-US" w:eastAsia="zh-CN"/>
              </w:rPr>
              <w:t>2021年</w:t>
            </w:r>
            <w:r>
              <w:rPr>
                <w:rFonts w:hint="default" w:ascii="Times New Roman" w:hAnsi="Times New Roman" w:eastAsia="宋体" w:cs="Times New Roman"/>
                <w:snapToGrid/>
                <w:color w:val="auto"/>
                <w:sz w:val="21"/>
                <w:szCs w:val="21"/>
                <w:highlight w:val="none"/>
                <w:u w:val="single" w:color="auto"/>
                <w:lang w:eastAsia="zh-CN"/>
              </w:rPr>
              <w:t>目标值</w:t>
            </w:r>
          </w:p>
        </w:tc>
      </w:tr>
      <w:tr w14:paraId="6A762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7" w:type="dxa"/>
            <w:shd w:val="clear" w:color="auto" w:fill="auto"/>
            <w:noWrap/>
            <w:vAlign w:val="center"/>
          </w:tcPr>
          <w:p w14:paraId="79F1BAAE">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SO</w:t>
            </w:r>
            <w:r>
              <w:rPr>
                <w:rFonts w:hint="default" w:ascii="Times New Roman" w:hAnsi="Times New Roman" w:eastAsia="宋体" w:cs="Times New Roman"/>
                <w:snapToGrid/>
                <w:color w:val="auto"/>
                <w:sz w:val="21"/>
                <w:szCs w:val="21"/>
                <w:highlight w:val="none"/>
                <w:u w:val="single" w:color="auto"/>
                <w:vertAlign w:val="subscript"/>
              </w:rPr>
              <w:t>2</w:t>
            </w:r>
          </w:p>
        </w:tc>
        <w:tc>
          <w:tcPr>
            <w:tcW w:w="2304" w:type="dxa"/>
            <w:shd w:val="clear" w:color="auto" w:fill="auto"/>
            <w:noWrap/>
            <w:vAlign w:val="center"/>
          </w:tcPr>
          <w:p w14:paraId="2C972F99">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年平均质量浓度</w:t>
            </w:r>
          </w:p>
        </w:tc>
        <w:tc>
          <w:tcPr>
            <w:tcW w:w="1275" w:type="dxa"/>
            <w:shd w:val="clear" w:color="auto" w:fill="auto"/>
            <w:noWrap/>
            <w:vAlign w:val="center"/>
          </w:tcPr>
          <w:p w14:paraId="4F2A71DA">
            <w:pPr>
              <w:pStyle w:val="43"/>
              <w:rPr>
                <w:rFonts w:hint="default" w:ascii="Times New Roman" w:hAnsi="Times New Roman" w:eastAsia="宋体" w:cs="Times New Roman"/>
                <w:snapToGrid/>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12</w:t>
            </w:r>
          </w:p>
        </w:tc>
        <w:tc>
          <w:tcPr>
            <w:tcW w:w="1151" w:type="dxa"/>
            <w:shd w:val="clear" w:color="auto" w:fill="auto"/>
            <w:noWrap/>
            <w:vAlign w:val="center"/>
          </w:tcPr>
          <w:p w14:paraId="25CF434E">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60</w:t>
            </w:r>
          </w:p>
        </w:tc>
        <w:tc>
          <w:tcPr>
            <w:tcW w:w="1023" w:type="dxa"/>
            <w:shd w:val="clear" w:color="auto" w:fill="auto"/>
            <w:noWrap/>
            <w:vAlign w:val="center"/>
          </w:tcPr>
          <w:p w14:paraId="7FF08300">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lang w:val="en-US" w:eastAsia="zh-CN"/>
              </w:rPr>
              <w:t>20</w:t>
            </w:r>
          </w:p>
        </w:tc>
        <w:tc>
          <w:tcPr>
            <w:tcW w:w="1068" w:type="dxa"/>
            <w:shd w:val="clear" w:color="auto" w:fill="auto"/>
            <w:noWrap/>
            <w:vAlign w:val="center"/>
          </w:tcPr>
          <w:p w14:paraId="5FEDC3B9">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达标</w:t>
            </w:r>
          </w:p>
        </w:tc>
        <w:tc>
          <w:tcPr>
            <w:tcW w:w="1068" w:type="dxa"/>
            <w:shd w:val="clear" w:color="auto" w:fill="auto"/>
            <w:noWrap/>
            <w:vAlign w:val="center"/>
          </w:tcPr>
          <w:p w14:paraId="351B3EBC">
            <w:pPr>
              <w:pStyle w:val="43"/>
              <w:rPr>
                <w:rFonts w:hint="default" w:ascii="Times New Roman" w:hAnsi="Times New Roman" w:eastAsia="宋体" w:cs="Times New Roman"/>
                <w:snapToGrid/>
                <w:color w:val="auto"/>
                <w:sz w:val="21"/>
                <w:szCs w:val="21"/>
                <w:highlight w:val="none"/>
                <w:u w:val="single" w:color="auto"/>
                <w:lang w:val="en-US" w:eastAsia="zh-CN"/>
              </w:rPr>
            </w:pPr>
            <w:r>
              <w:rPr>
                <w:rFonts w:hint="default" w:ascii="Times New Roman" w:hAnsi="Times New Roman" w:eastAsia="宋体" w:cs="Times New Roman"/>
                <w:snapToGrid/>
                <w:color w:val="auto"/>
                <w:sz w:val="21"/>
                <w:szCs w:val="21"/>
                <w:highlight w:val="none"/>
                <w:u w:val="single" w:color="auto"/>
                <w:lang w:val="en-US" w:eastAsia="zh-CN"/>
              </w:rPr>
              <w:t>/</w:t>
            </w:r>
          </w:p>
        </w:tc>
      </w:tr>
      <w:tr w14:paraId="6E1FF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7" w:type="dxa"/>
            <w:shd w:val="clear" w:color="auto" w:fill="auto"/>
            <w:noWrap/>
            <w:vAlign w:val="center"/>
          </w:tcPr>
          <w:p w14:paraId="2C72E771">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NO</w:t>
            </w:r>
            <w:r>
              <w:rPr>
                <w:rFonts w:hint="default" w:ascii="Times New Roman" w:hAnsi="Times New Roman" w:eastAsia="宋体" w:cs="Times New Roman"/>
                <w:snapToGrid/>
                <w:color w:val="auto"/>
                <w:sz w:val="21"/>
                <w:szCs w:val="21"/>
                <w:highlight w:val="none"/>
                <w:u w:val="single" w:color="auto"/>
                <w:vertAlign w:val="subscript"/>
              </w:rPr>
              <w:t>2</w:t>
            </w:r>
          </w:p>
        </w:tc>
        <w:tc>
          <w:tcPr>
            <w:tcW w:w="2304" w:type="dxa"/>
            <w:shd w:val="clear" w:color="auto" w:fill="auto"/>
            <w:noWrap/>
            <w:vAlign w:val="center"/>
          </w:tcPr>
          <w:p w14:paraId="44F74BA7">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年平均质量浓度</w:t>
            </w:r>
          </w:p>
        </w:tc>
        <w:tc>
          <w:tcPr>
            <w:tcW w:w="1275" w:type="dxa"/>
            <w:shd w:val="clear" w:color="auto" w:fill="auto"/>
            <w:noWrap/>
            <w:vAlign w:val="center"/>
          </w:tcPr>
          <w:p w14:paraId="7063960D">
            <w:pPr>
              <w:pStyle w:val="43"/>
              <w:rPr>
                <w:rFonts w:hint="default" w:ascii="Times New Roman" w:hAnsi="Times New Roman" w:eastAsia="宋体" w:cs="Times New Roman"/>
                <w:snapToGrid/>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20</w:t>
            </w:r>
          </w:p>
        </w:tc>
        <w:tc>
          <w:tcPr>
            <w:tcW w:w="1151" w:type="dxa"/>
            <w:shd w:val="clear" w:color="auto" w:fill="auto"/>
            <w:noWrap/>
            <w:vAlign w:val="center"/>
          </w:tcPr>
          <w:p w14:paraId="6E947CB4">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40</w:t>
            </w:r>
          </w:p>
        </w:tc>
        <w:tc>
          <w:tcPr>
            <w:tcW w:w="1023" w:type="dxa"/>
            <w:shd w:val="clear" w:color="auto" w:fill="auto"/>
            <w:noWrap/>
            <w:vAlign w:val="center"/>
          </w:tcPr>
          <w:p w14:paraId="21FDD9BC">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lang w:val="en-US" w:eastAsia="zh-CN"/>
              </w:rPr>
              <w:t>50</w:t>
            </w:r>
          </w:p>
        </w:tc>
        <w:tc>
          <w:tcPr>
            <w:tcW w:w="1068" w:type="dxa"/>
            <w:shd w:val="clear" w:color="auto" w:fill="auto"/>
            <w:noWrap/>
            <w:vAlign w:val="center"/>
          </w:tcPr>
          <w:p w14:paraId="083ECF01">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达标</w:t>
            </w:r>
          </w:p>
        </w:tc>
        <w:tc>
          <w:tcPr>
            <w:tcW w:w="1068" w:type="dxa"/>
            <w:shd w:val="clear" w:color="auto" w:fill="auto"/>
            <w:noWrap/>
            <w:vAlign w:val="center"/>
          </w:tcPr>
          <w:p w14:paraId="3A6F3D42">
            <w:pPr>
              <w:jc w:val="center"/>
              <w:rPr>
                <w:rFonts w:hint="default" w:ascii="Times New Roman" w:hAnsi="Times New Roman" w:eastAsia="宋体" w:cs="Times New Roman"/>
                <w:snapToGrid/>
                <w:color w:val="auto"/>
                <w:kern w:val="0"/>
                <w:sz w:val="21"/>
                <w:szCs w:val="21"/>
                <w:highlight w:val="none"/>
                <w:u w:val="single" w:color="auto"/>
                <w:lang w:val="en-US" w:eastAsia="zh-CN" w:bidi="ar-SA"/>
              </w:rPr>
            </w:pPr>
            <w:r>
              <w:rPr>
                <w:rFonts w:hint="default" w:ascii="Times New Roman" w:hAnsi="Times New Roman" w:eastAsia="宋体" w:cs="Times New Roman"/>
                <w:snapToGrid/>
                <w:color w:val="auto"/>
                <w:kern w:val="0"/>
                <w:sz w:val="21"/>
                <w:szCs w:val="21"/>
                <w:highlight w:val="none"/>
                <w:u w:val="single" w:color="auto"/>
                <w:lang w:val="en-US" w:eastAsia="zh-CN" w:bidi="ar-SA"/>
              </w:rPr>
              <w:t>/</w:t>
            </w:r>
          </w:p>
        </w:tc>
      </w:tr>
      <w:tr w14:paraId="3BA360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7" w:type="dxa"/>
            <w:shd w:val="clear" w:color="auto" w:fill="auto"/>
            <w:noWrap/>
            <w:vAlign w:val="center"/>
          </w:tcPr>
          <w:p w14:paraId="2198EF2E">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PM</w:t>
            </w:r>
            <w:r>
              <w:rPr>
                <w:rFonts w:hint="default" w:ascii="Times New Roman" w:hAnsi="Times New Roman" w:eastAsia="宋体" w:cs="Times New Roman"/>
                <w:snapToGrid/>
                <w:color w:val="auto"/>
                <w:sz w:val="21"/>
                <w:szCs w:val="21"/>
                <w:highlight w:val="none"/>
                <w:u w:val="single" w:color="auto"/>
                <w:vertAlign w:val="subscript"/>
              </w:rPr>
              <w:t>10</w:t>
            </w:r>
          </w:p>
        </w:tc>
        <w:tc>
          <w:tcPr>
            <w:tcW w:w="2304" w:type="dxa"/>
            <w:shd w:val="clear" w:color="auto" w:fill="auto"/>
            <w:noWrap/>
            <w:vAlign w:val="center"/>
          </w:tcPr>
          <w:p w14:paraId="505BE3A9">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年平均质量浓度</w:t>
            </w:r>
          </w:p>
        </w:tc>
        <w:tc>
          <w:tcPr>
            <w:tcW w:w="1275" w:type="dxa"/>
            <w:shd w:val="clear" w:color="auto" w:fill="auto"/>
            <w:noWrap/>
            <w:vAlign w:val="center"/>
          </w:tcPr>
          <w:p w14:paraId="6FFC6669">
            <w:pPr>
              <w:pStyle w:val="43"/>
              <w:rPr>
                <w:rFonts w:hint="default" w:ascii="Times New Roman" w:hAnsi="Times New Roman" w:eastAsia="宋体" w:cs="Times New Roman"/>
                <w:snapToGrid/>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58</w:t>
            </w:r>
          </w:p>
        </w:tc>
        <w:tc>
          <w:tcPr>
            <w:tcW w:w="1151" w:type="dxa"/>
            <w:shd w:val="clear" w:color="auto" w:fill="auto"/>
            <w:noWrap/>
            <w:vAlign w:val="center"/>
          </w:tcPr>
          <w:p w14:paraId="048E2321">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70</w:t>
            </w:r>
          </w:p>
        </w:tc>
        <w:tc>
          <w:tcPr>
            <w:tcW w:w="1023" w:type="dxa"/>
            <w:shd w:val="clear" w:color="auto" w:fill="auto"/>
            <w:noWrap/>
            <w:vAlign w:val="center"/>
          </w:tcPr>
          <w:p w14:paraId="0C6EECBB">
            <w:pPr>
              <w:pStyle w:val="43"/>
              <w:rPr>
                <w:rFonts w:hint="default" w:ascii="Times New Roman" w:hAnsi="Times New Roman" w:eastAsia="宋体" w:cs="Times New Roman"/>
                <w:snapToGrid/>
                <w:color w:val="auto"/>
                <w:sz w:val="21"/>
                <w:szCs w:val="21"/>
                <w:highlight w:val="none"/>
                <w:u w:val="single" w:color="auto"/>
                <w:lang w:val="en-US"/>
              </w:rPr>
            </w:pPr>
            <w:r>
              <w:rPr>
                <w:rFonts w:hint="default" w:ascii="Times New Roman" w:hAnsi="Times New Roman" w:eastAsia="宋体" w:cs="Times New Roman"/>
                <w:snapToGrid/>
                <w:color w:val="auto"/>
                <w:sz w:val="21"/>
                <w:szCs w:val="21"/>
                <w:highlight w:val="none"/>
                <w:u w:val="single" w:color="auto"/>
                <w:lang w:val="en-US" w:eastAsia="zh-CN"/>
              </w:rPr>
              <w:t>82.86</w:t>
            </w:r>
          </w:p>
        </w:tc>
        <w:tc>
          <w:tcPr>
            <w:tcW w:w="1068" w:type="dxa"/>
            <w:shd w:val="clear" w:color="auto" w:fill="auto"/>
            <w:noWrap/>
            <w:vAlign w:val="center"/>
          </w:tcPr>
          <w:p w14:paraId="777D71AE">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达标</w:t>
            </w:r>
          </w:p>
        </w:tc>
        <w:tc>
          <w:tcPr>
            <w:tcW w:w="1068" w:type="dxa"/>
            <w:shd w:val="clear" w:color="auto" w:fill="auto"/>
            <w:noWrap/>
            <w:vAlign w:val="center"/>
          </w:tcPr>
          <w:p w14:paraId="0AA3596A">
            <w:pPr>
              <w:jc w:val="center"/>
              <w:rPr>
                <w:rFonts w:hint="default" w:ascii="Times New Roman" w:hAnsi="Times New Roman" w:eastAsia="宋体" w:cs="Times New Roman"/>
                <w:snapToGrid/>
                <w:color w:val="auto"/>
                <w:kern w:val="0"/>
                <w:sz w:val="21"/>
                <w:szCs w:val="21"/>
                <w:highlight w:val="none"/>
                <w:u w:val="single" w:color="auto"/>
                <w:lang w:val="en-US" w:eastAsia="zh-CN" w:bidi="ar-SA"/>
              </w:rPr>
            </w:pPr>
            <w:r>
              <w:rPr>
                <w:rFonts w:hint="default" w:ascii="Times New Roman" w:hAnsi="Times New Roman" w:eastAsia="宋体" w:cs="Times New Roman"/>
                <w:snapToGrid/>
                <w:color w:val="auto"/>
                <w:kern w:val="0"/>
                <w:sz w:val="21"/>
                <w:szCs w:val="21"/>
                <w:highlight w:val="none"/>
                <w:u w:val="single" w:color="auto"/>
                <w:lang w:val="en-US" w:eastAsia="zh-CN" w:bidi="ar-SA"/>
              </w:rPr>
              <w:t>/</w:t>
            </w:r>
          </w:p>
        </w:tc>
      </w:tr>
      <w:tr w14:paraId="6FC95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7" w:type="dxa"/>
            <w:shd w:val="clear" w:color="auto" w:fill="auto"/>
            <w:noWrap/>
            <w:vAlign w:val="center"/>
          </w:tcPr>
          <w:p w14:paraId="2EA1D755">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PM</w:t>
            </w:r>
            <w:r>
              <w:rPr>
                <w:rFonts w:hint="default" w:ascii="Times New Roman" w:hAnsi="Times New Roman" w:eastAsia="宋体" w:cs="Times New Roman"/>
                <w:snapToGrid/>
                <w:color w:val="auto"/>
                <w:sz w:val="21"/>
                <w:szCs w:val="21"/>
                <w:highlight w:val="none"/>
                <w:u w:val="single" w:color="auto"/>
                <w:vertAlign w:val="subscript"/>
              </w:rPr>
              <w:t>2.5</w:t>
            </w:r>
          </w:p>
        </w:tc>
        <w:tc>
          <w:tcPr>
            <w:tcW w:w="2304" w:type="dxa"/>
            <w:shd w:val="clear" w:color="auto" w:fill="auto"/>
            <w:noWrap/>
            <w:vAlign w:val="center"/>
          </w:tcPr>
          <w:p w14:paraId="0385003F">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年平均质量浓度</w:t>
            </w:r>
          </w:p>
        </w:tc>
        <w:tc>
          <w:tcPr>
            <w:tcW w:w="1275" w:type="dxa"/>
            <w:shd w:val="clear" w:color="auto" w:fill="auto"/>
            <w:noWrap/>
            <w:vAlign w:val="center"/>
          </w:tcPr>
          <w:p w14:paraId="7A8270BE">
            <w:pPr>
              <w:pStyle w:val="43"/>
              <w:rPr>
                <w:rFonts w:hint="default" w:ascii="Times New Roman" w:hAnsi="Times New Roman" w:eastAsia="宋体" w:cs="Times New Roman"/>
                <w:snapToGrid/>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36</w:t>
            </w:r>
          </w:p>
        </w:tc>
        <w:tc>
          <w:tcPr>
            <w:tcW w:w="1151" w:type="dxa"/>
            <w:shd w:val="clear" w:color="auto" w:fill="auto"/>
            <w:noWrap/>
            <w:vAlign w:val="center"/>
          </w:tcPr>
          <w:p w14:paraId="31D730C6">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35</w:t>
            </w:r>
          </w:p>
        </w:tc>
        <w:tc>
          <w:tcPr>
            <w:tcW w:w="1023" w:type="dxa"/>
            <w:shd w:val="clear" w:color="auto" w:fill="auto"/>
            <w:noWrap/>
            <w:vAlign w:val="center"/>
          </w:tcPr>
          <w:p w14:paraId="4CF52657">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lang w:val="en-US" w:eastAsia="zh-CN"/>
              </w:rPr>
              <w:t>102.86</w:t>
            </w:r>
          </w:p>
        </w:tc>
        <w:tc>
          <w:tcPr>
            <w:tcW w:w="1068" w:type="dxa"/>
            <w:shd w:val="clear" w:color="auto" w:fill="auto"/>
            <w:noWrap/>
            <w:vAlign w:val="center"/>
          </w:tcPr>
          <w:p w14:paraId="77F5735A">
            <w:pPr>
              <w:pStyle w:val="43"/>
              <w:rPr>
                <w:rFonts w:hint="default" w:ascii="Times New Roman" w:hAnsi="Times New Roman" w:eastAsia="宋体" w:cs="Times New Roman"/>
                <w:snapToGrid/>
                <w:color w:val="auto"/>
                <w:sz w:val="21"/>
                <w:szCs w:val="21"/>
                <w:highlight w:val="none"/>
                <w:u w:val="single" w:color="auto"/>
                <w:lang w:eastAsia="zh-CN"/>
              </w:rPr>
            </w:pPr>
            <w:r>
              <w:rPr>
                <w:rFonts w:hint="default" w:ascii="Times New Roman" w:hAnsi="Times New Roman" w:cs="Times New Roman"/>
                <w:snapToGrid/>
                <w:color w:val="auto"/>
                <w:sz w:val="21"/>
                <w:szCs w:val="21"/>
                <w:highlight w:val="none"/>
                <w:u w:val="single" w:color="auto"/>
                <w:lang w:eastAsia="zh-CN"/>
              </w:rPr>
              <w:t>超标</w:t>
            </w:r>
          </w:p>
        </w:tc>
        <w:tc>
          <w:tcPr>
            <w:tcW w:w="1068" w:type="dxa"/>
            <w:shd w:val="clear" w:color="auto" w:fill="auto"/>
            <w:noWrap/>
            <w:vAlign w:val="center"/>
          </w:tcPr>
          <w:p w14:paraId="1D973596">
            <w:pPr>
              <w:pStyle w:val="43"/>
              <w:rPr>
                <w:rFonts w:hint="default" w:ascii="Times New Roman" w:hAnsi="Times New Roman" w:eastAsia="宋体" w:cs="Times New Roman"/>
                <w:snapToGrid/>
                <w:color w:val="auto"/>
                <w:sz w:val="21"/>
                <w:szCs w:val="21"/>
                <w:highlight w:val="none"/>
                <w:u w:val="single" w:color="auto"/>
                <w:lang w:val="en-US" w:eastAsia="zh-CN"/>
              </w:rPr>
            </w:pPr>
            <w:r>
              <w:rPr>
                <w:rFonts w:hint="default" w:ascii="Times New Roman" w:hAnsi="Times New Roman" w:eastAsia="宋体" w:cs="Times New Roman"/>
                <w:snapToGrid/>
                <w:color w:val="auto"/>
                <w:sz w:val="21"/>
                <w:szCs w:val="21"/>
                <w:highlight w:val="none"/>
                <w:u w:val="single" w:color="auto"/>
                <w:lang w:val="en-US" w:eastAsia="zh-CN"/>
              </w:rPr>
              <w:t>38.5</w:t>
            </w:r>
          </w:p>
        </w:tc>
      </w:tr>
      <w:tr w14:paraId="45607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7" w:type="dxa"/>
            <w:shd w:val="clear" w:color="auto" w:fill="auto"/>
            <w:noWrap/>
            <w:vAlign w:val="center"/>
          </w:tcPr>
          <w:p w14:paraId="12077D2A">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CO</w:t>
            </w:r>
          </w:p>
        </w:tc>
        <w:tc>
          <w:tcPr>
            <w:tcW w:w="2304" w:type="dxa"/>
            <w:shd w:val="clear" w:color="auto" w:fill="auto"/>
            <w:noWrap/>
            <w:vAlign w:val="center"/>
          </w:tcPr>
          <w:p w14:paraId="2E2C886F">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第95 百分位数日平均质量浓度</w:t>
            </w:r>
          </w:p>
        </w:tc>
        <w:tc>
          <w:tcPr>
            <w:tcW w:w="1275" w:type="dxa"/>
            <w:shd w:val="clear" w:color="auto" w:fill="auto"/>
            <w:noWrap/>
            <w:vAlign w:val="center"/>
          </w:tcPr>
          <w:p w14:paraId="718A60B5">
            <w:pPr>
              <w:pStyle w:val="43"/>
              <w:rPr>
                <w:rFonts w:hint="default" w:ascii="Times New Roman" w:hAnsi="Times New Roman" w:eastAsia="宋体" w:cs="Times New Roman"/>
                <w:snapToGrid/>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1100</w:t>
            </w:r>
          </w:p>
        </w:tc>
        <w:tc>
          <w:tcPr>
            <w:tcW w:w="1151" w:type="dxa"/>
            <w:shd w:val="clear" w:color="auto" w:fill="auto"/>
            <w:noWrap/>
            <w:vAlign w:val="center"/>
          </w:tcPr>
          <w:p w14:paraId="7B6FF859">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4000</w:t>
            </w:r>
          </w:p>
        </w:tc>
        <w:tc>
          <w:tcPr>
            <w:tcW w:w="1023" w:type="dxa"/>
            <w:shd w:val="clear" w:color="auto" w:fill="auto"/>
            <w:noWrap/>
            <w:vAlign w:val="center"/>
          </w:tcPr>
          <w:p w14:paraId="48594352">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lang w:val="en-US" w:eastAsia="zh-CN"/>
              </w:rPr>
              <w:t>27.5</w:t>
            </w:r>
          </w:p>
        </w:tc>
        <w:tc>
          <w:tcPr>
            <w:tcW w:w="1068" w:type="dxa"/>
            <w:shd w:val="clear" w:color="auto" w:fill="auto"/>
            <w:noWrap/>
            <w:vAlign w:val="center"/>
          </w:tcPr>
          <w:p w14:paraId="2B115889">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达标</w:t>
            </w:r>
          </w:p>
        </w:tc>
        <w:tc>
          <w:tcPr>
            <w:tcW w:w="1068" w:type="dxa"/>
            <w:shd w:val="clear" w:color="auto" w:fill="auto"/>
            <w:noWrap/>
            <w:vAlign w:val="center"/>
          </w:tcPr>
          <w:p w14:paraId="0320B6D7">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kern w:val="0"/>
                <w:sz w:val="21"/>
                <w:szCs w:val="21"/>
                <w:highlight w:val="none"/>
                <w:u w:val="single" w:color="auto"/>
                <w:lang w:val="en-US" w:eastAsia="zh-CN" w:bidi="ar-SA"/>
              </w:rPr>
              <w:t>/</w:t>
            </w:r>
          </w:p>
        </w:tc>
      </w:tr>
      <w:tr w14:paraId="66E98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7" w:type="dxa"/>
            <w:shd w:val="clear" w:color="auto" w:fill="auto"/>
            <w:noWrap/>
            <w:vAlign w:val="center"/>
          </w:tcPr>
          <w:p w14:paraId="7B34A774">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O</w:t>
            </w:r>
            <w:r>
              <w:rPr>
                <w:rFonts w:hint="default" w:ascii="Times New Roman" w:hAnsi="Times New Roman" w:eastAsia="宋体" w:cs="Times New Roman"/>
                <w:snapToGrid/>
                <w:color w:val="auto"/>
                <w:sz w:val="21"/>
                <w:szCs w:val="21"/>
                <w:highlight w:val="none"/>
                <w:u w:val="single" w:color="auto"/>
                <w:vertAlign w:val="subscript"/>
              </w:rPr>
              <w:t>3</w:t>
            </w:r>
          </w:p>
        </w:tc>
        <w:tc>
          <w:tcPr>
            <w:tcW w:w="2304" w:type="dxa"/>
            <w:shd w:val="clear" w:color="auto" w:fill="auto"/>
            <w:noWrap/>
            <w:vAlign w:val="center"/>
          </w:tcPr>
          <w:p w14:paraId="66D868CC">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日最大8h 平均值第90百分位浓度</w:t>
            </w:r>
          </w:p>
        </w:tc>
        <w:tc>
          <w:tcPr>
            <w:tcW w:w="1275" w:type="dxa"/>
            <w:shd w:val="clear" w:color="auto" w:fill="auto"/>
            <w:noWrap/>
            <w:vAlign w:val="center"/>
          </w:tcPr>
          <w:p w14:paraId="6E8A7A32">
            <w:pPr>
              <w:pStyle w:val="43"/>
              <w:rPr>
                <w:rFonts w:hint="default" w:ascii="Times New Roman" w:hAnsi="Times New Roman" w:eastAsia="宋体" w:cs="Times New Roman"/>
                <w:snapToGrid/>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136</w:t>
            </w:r>
          </w:p>
        </w:tc>
        <w:tc>
          <w:tcPr>
            <w:tcW w:w="1151" w:type="dxa"/>
            <w:shd w:val="clear" w:color="auto" w:fill="auto"/>
            <w:noWrap/>
            <w:vAlign w:val="center"/>
          </w:tcPr>
          <w:p w14:paraId="6D597AE3">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160</w:t>
            </w:r>
          </w:p>
        </w:tc>
        <w:tc>
          <w:tcPr>
            <w:tcW w:w="1023" w:type="dxa"/>
            <w:shd w:val="clear" w:color="auto" w:fill="auto"/>
            <w:noWrap/>
            <w:vAlign w:val="center"/>
          </w:tcPr>
          <w:p w14:paraId="6886AF81">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lang w:val="en-US" w:eastAsia="zh-CN"/>
              </w:rPr>
              <w:t>85</w:t>
            </w:r>
          </w:p>
        </w:tc>
        <w:tc>
          <w:tcPr>
            <w:tcW w:w="1068" w:type="dxa"/>
            <w:shd w:val="clear" w:color="auto" w:fill="auto"/>
            <w:noWrap/>
            <w:vAlign w:val="center"/>
          </w:tcPr>
          <w:p w14:paraId="22FC39BD">
            <w:pPr>
              <w:pStyle w:val="43"/>
              <w:rPr>
                <w:rFonts w:hint="default" w:ascii="Times New Roman" w:hAnsi="Times New Roman" w:eastAsia="宋体" w:cs="Times New Roman"/>
                <w:snapToGrid/>
                <w:color w:val="auto"/>
                <w:sz w:val="21"/>
                <w:szCs w:val="21"/>
                <w:highlight w:val="none"/>
                <w:u w:val="single" w:color="auto"/>
              </w:rPr>
            </w:pPr>
            <w:r>
              <w:rPr>
                <w:rFonts w:hint="default" w:ascii="Times New Roman" w:hAnsi="Times New Roman" w:eastAsia="宋体" w:cs="Times New Roman"/>
                <w:snapToGrid/>
                <w:color w:val="auto"/>
                <w:sz w:val="21"/>
                <w:szCs w:val="21"/>
                <w:highlight w:val="none"/>
                <w:u w:val="single" w:color="auto"/>
              </w:rPr>
              <w:t>达标</w:t>
            </w:r>
          </w:p>
        </w:tc>
        <w:tc>
          <w:tcPr>
            <w:tcW w:w="1068" w:type="dxa"/>
            <w:shd w:val="clear" w:color="auto" w:fill="auto"/>
            <w:noWrap/>
            <w:vAlign w:val="center"/>
          </w:tcPr>
          <w:p w14:paraId="3ACAF775">
            <w:pPr>
              <w:pStyle w:val="43"/>
              <w:rPr>
                <w:rFonts w:hint="default" w:ascii="Times New Roman" w:hAnsi="Times New Roman" w:eastAsia="宋体" w:cs="Times New Roman"/>
                <w:snapToGrid/>
                <w:color w:val="auto"/>
                <w:sz w:val="21"/>
                <w:szCs w:val="21"/>
                <w:highlight w:val="none"/>
                <w:u w:val="single" w:color="auto"/>
                <w:lang w:val="en-US" w:eastAsia="zh-CN"/>
              </w:rPr>
            </w:pPr>
            <w:r>
              <w:rPr>
                <w:rFonts w:hint="default" w:ascii="Times New Roman" w:hAnsi="Times New Roman" w:eastAsia="宋体" w:cs="Times New Roman"/>
                <w:snapToGrid/>
                <w:color w:val="auto"/>
                <w:sz w:val="21"/>
                <w:szCs w:val="21"/>
                <w:highlight w:val="none"/>
                <w:u w:val="single" w:color="auto"/>
                <w:lang w:val="en-US" w:eastAsia="zh-CN"/>
              </w:rPr>
              <w:t>139</w:t>
            </w:r>
          </w:p>
        </w:tc>
      </w:tr>
    </w:tbl>
    <w:p w14:paraId="62EE023F">
      <w:pPr>
        <w:spacing w:line="500" w:lineRule="exact"/>
        <w:ind w:firstLine="480" w:firstLineChars="200"/>
        <w:rPr>
          <w:rFonts w:hint="default" w:ascii="Times New Roman" w:hAnsi="Times New Roman" w:eastAsia="宋体" w:cs="Times New Roman"/>
          <w:snapToGrid/>
          <w:color w:val="auto"/>
          <w:sz w:val="24"/>
          <w:szCs w:val="24"/>
          <w:highlight w:val="none"/>
          <w:u w:val="single" w:color="auto"/>
          <w:vertAlign w:val="baseline"/>
          <w:lang w:eastAsia="zh-CN"/>
        </w:rPr>
      </w:pPr>
      <w:r>
        <w:rPr>
          <w:rFonts w:hint="default" w:ascii="Times New Roman" w:hAnsi="Times New Roman" w:eastAsia="宋体" w:cs="Times New Roman"/>
          <w:color w:val="auto"/>
          <w:sz w:val="24"/>
          <w:szCs w:val="24"/>
          <w:highlight w:val="none"/>
          <w:u w:val="single" w:color="auto"/>
        </w:rPr>
        <w:t>从上表可知，根据上表的区域空气质量现状评价表，项目所在</w:t>
      </w:r>
      <w:r>
        <w:rPr>
          <w:rFonts w:hint="default" w:ascii="Times New Roman" w:hAnsi="Times New Roman" w:eastAsia="宋体" w:cs="Times New Roman"/>
          <w:color w:val="auto"/>
          <w:sz w:val="24"/>
          <w:szCs w:val="24"/>
          <w:highlight w:val="none"/>
          <w:u w:val="single" w:color="auto"/>
          <w:lang w:eastAsia="zh-CN"/>
        </w:rPr>
        <w:t>区域</w:t>
      </w:r>
      <w:r>
        <w:rPr>
          <w:rFonts w:hint="default" w:ascii="Times New Roman" w:hAnsi="Times New Roman" w:eastAsia="宋体" w:cs="Times New Roman"/>
          <w:color w:val="auto"/>
          <w:sz w:val="24"/>
          <w:szCs w:val="24"/>
          <w:highlight w:val="none"/>
          <w:u w:val="single" w:color="auto"/>
        </w:rPr>
        <w:t>空气质量指标中</w:t>
      </w:r>
      <w:r>
        <w:rPr>
          <w:rFonts w:hint="default" w:ascii="Times New Roman" w:hAnsi="Times New Roman" w:eastAsia="宋体" w:cs="Times New Roman"/>
          <w:color w:val="auto"/>
          <w:sz w:val="24"/>
          <w:szCs w:val="24"/>
          <w:highlight w:val="none"/>
          <w:u w:val="single" w:color="auto"/>
          <w:lang w:eastAsia="zh-CN"/>
        </w:rPr>
        <w:t>除</w:t>
      </w:r>
      <w:r>
        <w:rPr>
          <w:rFonts w:hint="default" w:ascii="Times New Roman" w:hAnsi="Times New Roman" w:eastAsia="宋体" w:cs="Times New Roman"/>
          <w:color w:val="auto"/>
          <w:sz w:val="24"/>
          <w:szCs w:val="24"/>
          <w:highlight w:val="none"/>
          <w:u w:val="single" w:color="auto"/>
        </w:rPr>
        <w:t>PM</w:t>
      </w:r>
      <w:r>
        <w:rPr>
          <w:rFonts w:hint="default" w:ascii="Times New Roman" w:hAnsi="Times New Roman" w:eastAsia="宋体" w:cs="Times New Roman"/>
          <w:color w:val="auto"/>
          <w:sz w:val="24"/>
          <w:szCs w:val="24"/>
          <w:highlight w:val="none"/>
          <w:u w:val="single" w:color="auto"/>
          <w:vertAlign w:val="subscript"/>
        </w:rPr>
        <w:t>2.5</w:t>
      </w:r>
      <w:r>
        <w:rPr>
          <w:rFonts w:hint="default" w:ascii="Times New Roman" w:hAnsi="Times New Roman" w:eastAsia="宋体" w:cs="Times New Roman"/>
          <w:color w:val="auto"/>
          <w:sz w:val="24"/>
          <w:szCs w:val="24"/>
          <w:highlight w:val="none"/>
          <w:u w:val="single" w:color="auto"/>
          <w:vertAlign w:val="baseline"/>
          <w:lang w:eastAsia="zh-CN"/>
        </w:rPr>
        <w:t>外其他</w:t>
      </w:r>
      <w:r>
        <w:rPr>
          <w:rFonts w:hint="default" w:ascii="Times New Roman" w:hAnsi="Times New Roman" w:eastAsia="宋体" w:cs="Times New Roman"/>
          <w:color w:val="auto"/>
          <w:sz w:val="24"/>
          <w:szCs w:val="24"/>
          <w:highlight w:val="none"/>
          <w:u w:val="single" w:color="auto"/>
        </w:rPr>
        <w:t>污染物能够达到《环境空气质量标准》（GB3095-2012）表1二级标准要求，说明20</w:t>
      </w:r>
      <w:r>
        <w:rPr>
          <w:rFonts w:hint="default" w:ascii="Times New Roman" w:hAnsi="Times New Roman" w:eastAsia="宋体" w:cs="Times New Roman"/>
          <w:color w:val="auto"/>
          <w:sz w:val="24"/>
          <w:szCs w:val="24"/>
          <w:highlight w:val="none"/>
          <w:u w:val="single" w:color="auto"/>
          <w:lang w:val="en-US" w:eastAsia="zh-CN"/>
        </w:rPr>
        <w:t>21</w:t>
      </w:r>
      <w:r>
        <w:rPr>
          <w:rFonts w:hint="default" w:ascii="Times New Roman" w:hAnsi="Times New Roman" w:eastAsia="宋体" w:cs="Times New Roman"/>
          <w:color w:val="auto"/>
          <w:sz w:val="24"/>
          <w:szCs w:val="24"/>
          <w:highlight w:val="none"/>
          <w:u w:val="single" w:color="auto"/>
        </w:rPr>
        <w:t>年项目所在区域为不达标区，超标因子为PM2.5，主要原因为新建施活动产生的扬尘和城市交通汽车尾气影响。</w:t>
      </w:r>
      <w:r>
        <w:rPr>
          <w:rFonts w:hint="default" w:ascii="Times New Roman" w:hAnsi="Times New Roman" w:eastAsia="宋体" w:cs="Times New Roman"/>
          <w:color w:val="auto"/>
          <w:sz w:val="24"/>
          <w:szCs w:val="24"/>
          <w:highlight w:val="none"/>
          <w:u w:val="single" w:color="auto"/>
          <w:lang w:eastAsia="zh-CN"/>
        </w:rPr>
        <w:t>根据</w:t>
      </w:r>
      <w:r>
        <w:rPr>
          <w:rFonts w:hint="default" w:ascii="Times New Roman" w:hAnsi="Times New Roman" w:eastAsia="宋体" w:cs="Times New Roman"/>
          <w:color w:val="auto"/>
          <w:sz w:val="24"/>
          <w:szCs w:val="24"/>
          <w:highlight w:val="none"/>
          <w:u w:val="single" w:color="auto"/>
        </w:rPr>
        <w:t>202</w:t>
      </w:r>
      <w:r>
        <w:rPr>
          <w:rFonts w:hint="default" w:ascii="Times New Roman" w:hAnsi="Times New Roman" w:eastAsia="宋体" w:cs="Times New Roman"/>
          <w:color w:val="auto"/>
          <w:sz w:val="24"/>
          <w:szCs w:val="24"/>
          <w:highlight w:val="none"/>
          <w:u w:val="single" w:color="auto"/>
          <w:lang w:val="en-US" w:eastAsia="zh-CN"/>
        </w:rPr>
        <w:t>1</w:t>
      </w:r>
      <w:r>
        <w:rPr>
          <w:rFonts w:hint="default" w:ascii="Times New Roman" w:hAnsi="Times New Roman" w:eastAsia="宋体" w:cs="Times New Roman"/>
          <w:color w:val="auto"/>
          <w:sz w:val="24"/>
          <w:szCs w:val="24"/>
          <w:highlight w:val="none"/>
          <w:u w:val="single" w:color="auto"/>
        </w:rPr>
        <w:t>年《1-12月全市环境质量状况的通报》</w:t>
      </w:r>
      <w:r>
        <w:rPr>
          <w:rFonts w:hint="default" w:ascii="Times New Roman" w:hAnsi="Times New Roman" w:eastAsia="宋体" w:cs="Times New Roman"/>
          <w:color w:val="auto"/>
          <w:sz w:val="24"/>
          <w:szCs w:val="24"/>
          <w:highlight w:val="none"/>
          <w:u w:val="single" w:color="auto"/>
          <w:lang w:eastAsia="zh-CN"/>
        </w:rPr>
        <w:t>可知</w:t>
      </w:r>
      <w:r>
        <w:rPr>
          <w:rFonts w:hint="default" w:ascii="Times New Roman" w:hAnsi="Times New Roman" w:eastAsia="宋体" w:cs="Times New Roman"/>
          <w:color w:val="auto"/>
          <w:sz w:val="24"/>
          <w:szCs w:val="24"/>
          <w:highlight w:val="none"/>
          <w:u w:val="single" w:color="auto"/>
          <w:lang w:val="en-US" w:eastAsia="zh-CN"/>
        </w:rPr>
        <w:t>2021年项目所在区域</w:t>
      </w:r>
      <w:r>
        <w:rPr>
          <w:rFonts w:hint="default" w:ascii="Times New Roman" w:hAnsi="Times New Roman" w:eastAsia="宋体" w:cs="Times New Roman"/>
          <w:color w:val="auto"/>
          <w:sz w:val="24"/>
          <w:szCs w:val="24"/>
          <w:highlight w:val="none"/>
          <w:u w:val="single" w:color="auto"/>
        </w:rPr>
        <w:t>PM</w:t>
      </w:r>
      <w:r>
        <w:rPr>
          <w:rFonts w:hint="default" w:ascii="Times New Roman" w:hAnsi="Times New Roman" w:eastAsia="宋体" w:cs="Times New Roman"/>
          <w:color w:val="auto"/>
          <w:sz w:val="24"/>
          <w:szCs w:val="24"/>
          <w:highlight w:val="none"/>
          <w:u w:val="single" w:color="auto"/>
          <w:vertAlign w:val="subscript"/>
        </w:rPr>
        <w:t>2.5</w:t>
      </w:r>
      <w:r>
        <w:rPr>
          <w:rFonts w:hint="default" w:ascii="Times New Roman" w:hAnsi="Times New Roman" w:eastAsia="宋体" w:cs="Times New Roman"/>
          <w:color w:val="auto"/>
          <w:sz w:val="24"/>
          <w:szCs w:val="24"/>
          <w:highlight w:val="none"/>
          <w:u w:val="single" w:color="auto"/>
          <w:lang w:val="en-US" w:eastAsia="zh-CN"/>
        </w:rPr>
        <w:t>目标值为38.5</w:t>
      </w:r>
      <w:r>
        <w:rPr>
          <w:rFonts w:hint="default" w:ascii="Times New Roman" w:hAnsi="Times New Roman" w:eastAsia="宋体" w:cs="Times New Roman"/>
          <w:snapToGrid/>
          <w:color w:val="auto"/>
          <w:sz w:val="24"/>
          <w:szCs w:val="24"/>
          <w:highlight w:val="none"/>
          <w:u w:val="single" w:color="auto"/>
        </w:rPr>
        <w:t>μg/m</w:t>
      </w:r>
      <w:r>
        <w:rPr>
          <w:rFonts w:hint="default" w:ascii="Times New Roman" w:hAnsi="Times New Roman" w:eastAsia="宋体" w:cs="Times New Roman"/>
          <w:snapToGrid/>
          <w:color w:val="auto"/>
          <w:sz w:val="24"/>
          <w:szCs w:val="24"/>
          <w:highlight w:val="none"/>
          <w:u w:val="single" w:color="auto"/>
          <w:vertAlign w:val="superscript"/>
        </w:rPr>
        <w:t>3</w:t>
      </w:r>
      <w:r>
        <w:rPr>
          <w:rFonts w:hint="default" w:ascii="Times New Roman" w:hAnsi="Times New Roman" w:eastAsia="宋体" w:cs="Times New Roman"/>
          <w:snapToGrid/>
          <w:color w:val="auto"/>
          <w:sz w:val="24"/>
          <w:szCs w:val="24"/>
          <w:highlight w:val="none"/>
          <w:u w:val="single" w:color="auto"/>
          <w:vertAlign w:val="baseline"/>
          <w:lang w:eastAsia="zh-CN"/>
        </w:rPr>
        <w:t>，项目所在区域已满足目标值要求。</w:t>
      </w:r>
    </w:p>
    <w:p w14:paraId="5E61FE46">
      <w:pPr>
        <w:spacing w:line="500" w:lineRule="exact"/>
        <w:ind w:firstLine="480" w:firstLineChars="200"/>
        <w:rPr>
          <w:rFonts w:hint="default" w:ascii="Times New Roman" w:hAnsi="Times New Roman" w:eastAsia="宋体" w:cs="Times New Roman"/>
          <w:b w:val="0"/>
          <w:bCs w:val="0"/>
          <w:i w:val="0"/>
          <w:iCs w:val="0"/>
          <w:color w:val="auto"/>
          <w:sz w:val="24"/>
          <w:szCs w:val="24"/>
          <w:highlight w:val="none"/>
          <w:u w:val="single" w:color="auto"/>
        </w:rPr>
      </w:pPr>
      <w:r>
        <w:rPr>
          <w:rFonts w:hint="default" w:ascii="Times New Roman" w:hAnsi="Times New Roman" w:eastAsia="宋体" w:cs="Times New Roman"/>
          <w:snapToGrid/>
          <w:color w:val="auto"/>
          <w:sz w:val="24"/>
          <w:szCs w:val="24"/>
          <w:highlight w:val="none"/>
          <w:u w:val="single" w:color="auto"/>
          <w:vertAlign w:val="baseline"/>
          <w:lang w:eastAsia="zh-CN"/>
        </w:rPr>
        <w:t>根据《衡阳市大气环境质量限期达标规划》（</w:t>
      </w:r>
      <w:r>
        <w:rPr>
          <w:rFonts w:hint="default" w:ascii="Times New Roman" w:hAnsi="Times New Roman" w:eastAsia="宋体" w:cs="Times New Roman"/>
          <w:snapToGrid/>
          <w:color w:val="auto"/>
          <w:sz w:val="24"/>
          <w:szCs w:val="24"/>
          <w:highlight w:val="none"/>
          <w:u w:val="single" w:color="auto"/>
          <w:vertAlign w:val="baseline"/>
          <w:lang w:val="en-US" w:eastAsia="zh-CN"/>
        </w:rPr>
        <w:t>2020-2025</w:t>
      </w:r>
      <w:r>
        <w:rPr>
          <w:rFonts w:hint="default" w:ascii="Times New Roman" w:hAnsi="Times New Roman" w:eastAsia="宋体" w:cs="Times New Roman"/>
          <w:snapToGrid/>
          <w:color w:val="auto"/>
          <w:sz w:val="24"/>
          <w:szCs w:val="24"/>
          <w:highlight w:val="none"/>
          <w:u w:val="single" w:color="auto"/>
          <w:vertAlign w:val="baseline"/>
          <w:lang w:eastAsia="zh-CN"/>
        </w:rPr>
        <w:t>）可知：</w:t>
      </w:r>
      <w:r>
        <w:rPr>
          <w:rFonts w:hint="default" w:ascii="Times New Roman" w:hAnsi="Times New Roman" w:eastAsia="宋体" w:cs="Times New Roman"/>
          <w:b w:val="0"/>
          <w:bCs w:val="0"/>
          <w:i w:val="0"/>
          <w:iCs w:val="0"/>
          <w:color w:val="auto"/>
          <w:sz w:val="24"/>
          <w:szCs w:val="24"/>
          <w:highlight w:val="none"/>
          <w:u w:val="single" w:color="auto"/>
        </w:rPr>
        <w:t>总体来看，衡阳市空气质量近年来处全省</w:t>
      </w:r>
      <w:r>
        <w:rPr>
          <w:rStyle w:val="44"/>
          <w:rFonts w:hint="default" w:ascii="Times New Roman" w:hAnsi="Times New Roman" w:eastAsia="宋体" w:cs="Times New Roman"/>
          <w:color w:val="auto"/>
          <w:sz w:val="24"/>
          <w:szCs w:val="24"/>
          <w:highlight w:val="none"/>
          <w:u w:val="single" w:color="auto"/>
        </w:rPr>
        <w:t>14</w:t>
      </w:r>
      <w:r>
        <w:rPr>
          <w:rFonts w:hint="default" w:ascii="Times New Roman" w:hAnsi="Times New Roman" w:eastAsia="宋体" w:cs="Times New Roman"/>
          <w:b w:val="0"/>
          <w:bCs w:val="0"/>
          <w:i w:val="0"/>
          <w:iCs w:val="0"/>
          <w:color w:val="auto"/>
          <w:sz w:val="24"/>
          <w:szCs w:val="24"/>
          <w:highlight w:val="none"/>
          <w:u w:val="single" w:color="auto"/>
        </w:rPr>
        <w:t>个市州中等水平，当前</w:t>
      </w:r>
      <w:r>
        <w:rPr>
          <w:rStyle w:val="44"/>
          <w:rFonts w:hint="default" w:ascii="Times New Roman" w:hAnsi="Times New Roman" w:eastAsia="宋体" w:cs="Times New Roman"/>
          <w:color w:val="auto"/>
          <w:sz w:val="24"/>
          <w:szCs w:val="24"/>
          <w:highlight w:val="none"/>
          <w:u w:val="single" w:color="auto"/>
        </w:rPr>
        <w:t>PM</w:t>
      </w:r>
      <w:r>
        <w:rPr>
          <w:rStyle w:val="44"/>
          <w:rFonts w:hint="default" w:ascii="Times New Roman" w:hAnsi="Times New Roman" w:eastAsia="宋体" w:cs="Times New Roman"/>
          <w:color w:val="auto"/>
          <w:sz w:val="24"/>
          <w:szCs w:val="24"/>
          <w:highlight w:val="none"/>
          <w:u w:val="single" w:color="auto"/>
          <w:vertAlign w:val="subscript"/>
        </w:rPr>
        <w:t>2.5</w:t>
      </w:r>
      <w:r>
        <w:rPr>
          <w:rFonts w:hint="default" w:ascii="Times New Roman" w:hAnsi="Times New Roman" w:eastAsia="宋体" w:cs="Times New Roman"/>
          <w:b w:val="0"/>
          <w:bCs w:val="0"/>
          <w:i w:val="0"/>
          <w:iCs w:val="0"/>
          <w:color w:val="auto"/>
          <w:sz w:val="24"/>
          <w:szCs w:val="24"/>
          <w:highlight w:val="none"/>
          <w:u w:val="single" w:color="auto"/>
        </w:rPr>
        <w:t>为主要超标因子，其他污染物浓度均明显低于国家环境空气质量标准二级标准限值，</w:t>
      </w:r>
      <w:r>
        <w:rPr>
          <w:rStyle w:val="44"/>
          <w:rFonts w:hint="default" w:ascii="Times New Roman" w:hAnsi="Times New Roman" w:eastAsia="宋体" w:cs="Times New Roman"/>
          <w:color w:val="auto"/>
          <w:sz w:val="24"/>
          <w:szCs w:val="24"/>
          <w:highlight w:val="none"/>
          <w:u w:val="single" w:color="auto"/>
        </w:rPr>
        <w:t>PM</w:t>
      </w:r>
      <w:r>
        <w:rPr>
          <w:rStyle w:val="44"/>
          <w:rFonts w:hint="default" w:ascii="Times New Roman" w:hAnsi="Times New Roman" w:eastAsia="宋体" w:cs="Times New Roman"/>
          <w:color w:val="auto"/>
          <w:sz w:val="24"/>
          <w:szCs w:val="24"/>
          <w:highlight w:val="none"/>
          <w:u w:val="single" w:color="auto"/>
          <w:vertAlign w:val="subscript"/>
        </w:rPr>
        <w:t>2.5</w:t>
      </w:r>
      <w:r>
        <w:rPr>
          <w:rFonts w:hint="default" w:ascii="Times New Roman" w:hAnsi="Times New Roman" w:eastAsia="宋体" w:cs="Times New Roman"/>
          <w:b w:val="0"/>
          <w:bCs w:val="0"/>
          <w:i w:val="0"/>
          <w:iCs w:val="0"/>
          <w:color w:val="auto"/>
          <w:sz w:val="24"/>
          <w:szCs w:val="24"/>
          <w:highlight w:val="none"/>
          <w:u w:val="single" w:color="auto"/>
        </w:rPr>
        <w:t>污染控制仍是大气污染防治工作的重点，同时</w:t>
      </w:r>
      <w:r>
        <w:rPr>
          <w:rStyle w:val="44"/>
          <w:rFonts w:hint="default" w:ascii="Times New Roman" w:hAnsi="Times New Roman" w:eastAsia="宋体" w:cs="Times New Roman"/>
          <w:color w:val="auto"/>
          <w:sz w:val="24"/>
          <w:szCs w:val="24"/>
          <w:highlight w:val="none"/>
          <w:u w:val="single" w:color="auto"/>
        </w:rPr>
        <w:t>O</w:t>
      </w:r>
      <w:r>
        <w:rPr>
          <w:rStyle w:val="44"/>
          <w:rFonts w:hint="default" w:ascii="Times New Roman" w:hAnsi="Times New Roman" w:eastAsia="宋体" w:cs="Times New Roman"/>
          <w:color w:val="auto"/>
          <w:sz w:val="24"/>
          <w:szCs w:val="24"/>
          <w:highlight w:val="none"/>
          <w:u w:val="single" w:color="auto"/>
          <w:vertAlign w:val="subscript"/>
        </w:rPr>
        <w:t>3</w:t>
      </w:r>
      <w:r>
        <w:rPr>
          <w:rFonts w:hint="default" w:ascii="Times New Roman" w:hAnsi="Times New Roman" w:eastAsia="宋体" w:cs="Times New Roman"/>
          <w:b w:val="0"/>
          <w:bCs w:val="0"/>
          <w:i w:val="0"/>
          <w:iCs w:val="0"/>
          <w:color w:val="auto"/>
          <w:sz w:val="24"/>
          <w:szCs w:val="24"/>
          <w:highlight w:val="none"/>
          <w:u w:val="single" w:color="auto"/>
        </w:rPr>
        <w:t>污染形势也不容乐观，需要有效预防其超标风险和导致的大气污染天。规划期间，衡阳市环境空气PM</w:t>
      </w:r>
      <w:r>
        <w:rPr>
          <w:rFonts w:hint="default" w:ascii="Times New Roman" w:hAnsi="Times New Roman" w:eastAsia="宋体" w:cs="Times New Roman"/>
          <w:b w:val="0"/>
          <w:bCs w:val="0"/>
          <w:i w:val="0"/>
          <w:iCs w:val="0"/>
          <w:color w:val="auto"/>
          <w:sz w:val="24"/>
          <w:szCs w:val="24"/>
          <w:highlight w:val="none"/>
          <w:u w:val="single" w:color="auto"/>
          <w:vertAlign w:val="subscript"/>
        </w:rPr>
        <w:t>2.5</w:t>
      </w:r>
      <w:r>
        <w:rPr>
          <w:rFonts w:hint="default" w:ascii="Times New Roman" w:hAnsi="Times New Roman" w:eastAsia="宋体" w:cs="Times New Roman"/>
          <w:b w:val="0"/>
          <w:bCs w:val="0"/>
          <w:i w:val="0"/>
          <w:iCs w:val="0"/>
          <w:color w:val="auto"/>
          <w:sz w:val="24"/>
          <w:szCs w:val="24"/>
          <w:highlight w:val="none"/>
          <w:u w:val="single" w:color="auto"/>
        </w:rPr>
        <w:t>年均浓度及特护期浓度逐步下降，有力遏制O</w:t>
      </w:r>
      <w:r>
        <w:rPr>
          <w:rFonts w:hint="default" w:ascii="Times New Roman" w:hAnsi="Times New Roman" w:eastAsia="宋体" w:cs="Times New Roman"/>
          <w:b w:val="0"/>
          <w:bCs w:val="0"/>
          <w:i w:val="0"/>
          <w:iCs w:val="0"/>
          <w:color w:val="auto"/>
          <w:sz w:val="24"/>
          <w:szCs w:val="24"/>
          <w:highlight w:val="none"/>
          <w:u w:val="single" w:color="auto"/>
          <w:vertAlign w:val="subscript"/>
        </w:rPr>
        <w:t>3</w:t>
      </w:r>
      <w:r>
        <w:rPr>
          <w:rFonts w:hint="default" w:ascii="Times New Roman" w:hAnsi="Times New Roman" w:eastAsia="宋体" w:cs="Times New Roman"/>
          <w:b w:val="0"/>
          <w:bCs w:val="0"/>
          <w:i w:val="0"/>
          <w:iCs w:val="0"/>
          <w:color w:val="auto"/>
          <w:sz w:val="24"/>
          <w:szCs w:val="24"/>
          <w:highlight w:val="none"/>
          <w:u w:val="single" w:color="auto"/>
        </w:rPr>
        <w:t>浓度上升趋势，显著降低其超标风险，空气质量优良天数比例稳步提升。到2025年，环境空气PM2.5年均浓度小于35μg/m</w:t>
      </w:r>
      <w:r>
        <w:rPr>
          <w:rFonts w:hint="default" w:ascii="Times New Roman" w:hAnsi="Times New Roman" w:eastAsia="宋体" w:cs="Times New Roman"/>
          <w:b w:val="0"/>
          <w:bCs w:val="0"/>
          <w:i w:val="0"/>
          <w:iCs w:val="0"/>
          <w:color w:val="auto"/>
          <w:sz w:val="24"/>
          <w:szCs w:val="24"/>
          <w:highlight w:val="none"/>
          <w:u w:val="single" w:color="auto"/>
          <w:vertAlign w:val="superscript"/>
          <w:lang w:val="en-US" w:eastAsia="zh-CN"/>
        </w:rPr>
        <w:t>3</w:t>
      </w:r>
      <w:r>
        <w:rPr>
          <w:rFonts w:hint="default" w:ascii="Times New Roman" w:hAnsi="Times New Roman" w:eastAsia="宋体" w:cs="Times New Roman"/>
          <w:b w:val="0"/>
          <w:bCs w:val="0"/>
          <w:i w:val="0"/>
          <w:iCs w:val="0"/>
          <w:color w:val="auto"/>
          <w:sz w:val="24"/>
          <w:szCs w:val="24"/>
          <w:highlight w:val="none"/>
          <w:u w:val="single" w:color="auto"/>
        </w:rPr>
        <w:t>，实现环境空气质量全面达标。具体分阶段指标如下：</w:t>
      </w:r>
    </w:p>
    <w:p w14:paraId="0C67ED91">
      <w:pPr>
        <w:pStyle w:val="13"/>
        <w:jc w:val="center"/>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i w:val="0"/>
          <w:iCs w:val="0"/>
          <w:color w:val="auto"/>
          <w:sz w:val="21"/>
          <w:szCs w:val="21"/>
          <w:highlight w:val="none"/>
          <w:u w:val="single" w:color="auto"/>
          <w:lang w:eastAsia="zh-CN"/>
        </w:rPr>
        <w:t>表</w:t>
      </w:r>
      <w:r>
        <w:rPr>
          <w:rFonts w:hint="default" w:ascii="Times New Roman" w:hAnsi="Times New Roman" w:eastAsia="宋体" w:cs="Times New Roman"/>
          <w:b/>
          <w:bCs/>
          <w:i w:val="0"/>
          <w:iCs w:val="0"/>
          <w:color w:val="auto"/>
          <w:sz w:val="21"/>
          <w:szCs w:val="21"/>
          <w:highlight w:val="none"/>
          <w:u w:val="single" w:color="auto"/>
          <w:lang w:val="en-US" w:eastAsia="zh-CN"/>
        </w:rPr>
        <w:t xml:space="preserve">6.1-2 </w:t>
      </w:r>
      <w:r>
        <w:rPr>
          <w:rFonts w:hint="default" w:ascii="Times New Roman" w:hAnsi="Times New Roman" w:eastAsia="宋体" w:cs="Times New Roman"/>
          <w:b/>
          <w:bCs/>
          <w:color w:val="auto"/>
          <w:sz w:val="21"/>
          <w:szCs w:val="21"/>
          <w:highlight w:val="none"/>
          <w:u w:val="single" w:color="auto"/>
          <w:lang w:eastAsia="zh-CN"/>
        </w:rPr>
        <w:t>衡阳市</w:t>
      </w:r>
      <w:r>
        <w:rPr>
          <w:rFonts w:hint="default" w:ascii="Times New Roman" w:hAnsi="Times New Roman" w:eastAsia="宋体" w:cs="Times New Roman"/>
          <w:b/>
          <w:bCs/>
          <w:color w:val="auto"/>
          <w:sz w:val="21"/>
          <w:szCs w:val="21"/>
          <w:highlight w:val="none"/>
          <w:u w:val="single" w:color="auto"/>
        </w:rPr>
        <w:t>环境空气质量具体规划指标</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901"/>
        <w:gridCol w:w="1452"/>
        <w:gridCol w:w="1452"/>
        <w:gridCol w:w="1456"/>
        <w:gridCol w:w="1454"/>
      </w:tblGrid>
      <w:tr w14:paraId="3602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004" w:type="dxa"/>
            <w:vMerge w:val="restart"/>
            <w:tcBorders>
              <w:top w:val="single" w:color="auto" w:sz="12" w:space="0"/>
              <w:left w:val="single" w:color="auto" w:sz="12" w:space="0"/>
            </w:tcBorders>
            <w:vAlign w:val="center"/>
          </w:tcPr>
          <w:p w14:paraId="49E13C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环境质量指标</w:t>
            </w:r>
          </w:p>
        </w:tc>
        <w:tc>
          <w:tcPr>
            <w:tcW w:w="901" w:type="dxa"/>
            <w:vMerge w:val="restart"/>
            <w:tcBorders>
              <w:top w:val="single" w:color="auto" w:sz="12" w:space="0"/>
            </w:tcBorders>
            <w:vAlign w:val="center"/>
          </w:tcPr>
          <w:p w14:paraId="0B534E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单位</w:t>
            </w:r>
          </w:p>
        </w:tc>
        <w:tc>
          <w:tcPr>
            <w:tcW w:w="4360" w:type="dxa"/>
            <w:gridSpan w:val="3"/>
            <w:tcBorders>
              <w:top w:val="single" w:color="auto" w:sz="12" w:space="0"/>
            </w:tcBorders>
            <w:vAlign w:val="center"/>
          </w:tcPr>
          <w:p w14:paraId="41497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目标年</w:t>
            </w:r>
          </w:p>
        </w:tc>
        <w:tc>
          <w:tcPr>
            <w:tcW w:w="1454" w:type="dxa"/>
            <w:vMerge w:val="restart"/>
            <w:tcBorders>
              <w:top w:val="single" w:color="auto" w:sz="12" w:space="0"/>
              <w:right w:val="single" w:color="auto" w:sz="12" w:space="0"/>
            </w:tcBorders>
            <w:vAlign w:val="center"/>
          </w:tcPr>
          <w:p w14:paraId="0C8DF1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指标属性</w:t>
            </w:r>
          </w:p>
        </w:tc>
      </w:tr>
      <w:tr w14:paraId="2D3B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004" w:type="dxa"/>
            <w:vMerge w:val="continue"/>
            <w:tcBorders>
              <w:left w:val="single" w:color="auto" w:sz="12" w:space="0"/>
            </w:tcBorders>
            <w:vAlign w:val="center"/>
          </w:tcPr>
          <w:p w14:paraId="686FC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p>
        </w:tc>
        <w:tc>
          <w:tcPr>
            <w:tcW w:w="901" w:type="dxa"/>
            <w:vMerge w:val="continue"/>
            <w:vAlign w:val="center"/>
          </w:tcPr>
          <w:p w14:paraId="7B7B4F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p>
        </w:tc>
        <w:tc>
          <w:tcPr>
            <w:tcW w:w="1452" w:type="dxa"/>
            <w:vAlign w:val="center"/>
          </w:tcPr>
          <w:p w14:paraId="1C8F76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2021年</w:t>
            </w:r>
          </w:p>
        </w:tc>
        <w:tc>
          <w:tcPr>
            <w:tcW w:w="1452" w:type="dxa"/>
            <w:vAlign w:val="center"/>
          </w:tcPr>
          <w:p w14:paraId="637EF4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2023年</w:t>
            </w:r>
          </w:p>
        </w:tc>
        <w:tc>
          <w:tcPr>
            <w:tcW w:w="1456" w:type="dxa"/>
            <w:vAlign w:val="center"/>
          </w:tcPr>
          <w:p w14:paraId="036DB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2025年</w:t>
            </w:r>
          </w:p>
        </w:tc>
        <w:tc>
          <w:tcPr>
            <w:tcW w:w="1454" w:type="dxa"/>
            <w:vMerge w:val="continue"/>
            <w:tcBorders>
              <w:right w:val="single" w:color="auto" w:sz="12" w:space="0"/>
            </w:tcBorders>
            <w:vAlign w:val="center"/>
          </w:tcPr>
          <w:p w14:paraId="15855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p>
        </w:tc>
      </w:tr>
      <w:tr w14:paraId="1486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004" w:type="dxa"/>
            <w:tcBorders>
              <w:left w:val="single" w:color="auto" w:sz="12" w:space="0"/>
            </w:tcBorders>
            <w:vAlign w:val="center"/>
          </w:tcPr>
          <w:p w14:paraId="27B20D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vertAlign w:val="baseline"/>
                <w:lang w:val="en-US" w:eastAsia="zh-CN" w:bidi="ar-SA"/>
              </w:rPr>
            </w:pPr>
            <w:r>
              <w:rPr>
                <w:rFonts w:hint="default" w:ascii="Times New Roman" w:hAnsi="Times New Roman" w:eastAsia="宋体" w:cs="Times New Roman"/>
                <w:color w:val="auto"/>
                <w:sz w:val="21"/>
                <w:szCs w:val="21"/>
                <w:highlight w:val="none"/>
                <w:u w:val="single" w:color="auto"/>
                <w:vertAlign w:val="baseline"/>
                <w:lang w:val="en-US" w:eastAsia="zh-CN"/>
              </w:rPr>
              <w:t>PM2.5年均浓度</w:t>
            </w:r>
          </w:p>
        </w:tc>
        <w:tc>
          <w:tcPr>
            <w:tcW w:w="901" w:type="dxa"/>
            <w:vAlign w:val="center"/>
          </w:tcPr>
          <w:p w14:paraId="6329D7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rPr>
              <w:t>μ</w:t>
            </w:r>
            <w:r>
              <w:rPr>
                <w:rFonts w:hint="default" w:ascii="Times New Roman" w:hAnsi="Times New Roman" w:eastAsia="宋体" w:cs="Times New Roman"/>
                <w:snapToGrid/>
                <w:color w:val="auto"/>
                <w:sz w:val="21"/>
                <w:szCs w:val="21"/>
                <w:highlight w:val="none"/>
                <w:u w:val="single" w:color="auto"/>
              </w:rPr>
              <w:t>g/m</w:t>
            </w:r>
            <w:r>
              <w:rPr>
                <w:rFonts w:hint="default" w:ascii="Times New Roman" w:hAnsi="Times New Roman" w:eastAsia="宋体" w:cs="Times New Roman"/>
                <w:snapToGrid/>
                <w:color w:val="auto"/>
                <w:sz w:val="21"/>
                <w:szCs w:val="21"/>
                <w:highlight w:val="none"/>
                <w:u w:val="single" w:color="auto"/>
                <w:vertAlign w:val="superscript"/>
              </w:rPr>
              <w:t>3</w:t>
            </w:r>
          </w:p>
        </w:tc>
        <w:tc>
          <w:tcPr>
            <w:tcW w:w="1452" w:type="dxa"/>
            <w:vAlign w:val="center"/>
          </w:tcPr>
          <w:p w14:paraId="5FF996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38</w:t>
            </w:r>
          </w:p>
        </w:tc>
        <w:tc>
          <w:tcPr>
            <w:tcW w:w="1452" w:type="dxa"/>
            <w:vAlign w:val="center"/>
          </w:tcPr>
          <w:p w14:paraId="02244C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36</w:t>
            </w:r>
          </w:p>
        </w:tc>
        <w:tc>
          <w:tcPr>
            <w:tcW w:w="1456" w:type="dxa"/>
            <w:vAlign w:val="center"/>
          </w:tcPr>
          <w:p w14:paraId="05A8F9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35</w:t>
            </w:r>
          </w:p>
        </w:tc>
        <w:tc>
          <w:tcPr>
            <w:tcW w:w="1454" w:type="dxa"/>
            <w:tcBorders>
              <w:right w:val="single" w:color="auto" w:sz="12" w:space="0"/>
            </w:tcBorders>
            <w:vAlign w:val="center"/>
          </w:tcPr>
          <w:p w14:paraId="5D975F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约束性</w:t>
            </w:r>
          </w:p>
        </w:tc>
      </w:tr>
      <w:tr w14:paraId="1CF7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004" w:type="dxa"/>
            <w:tcBorders>
              <w:left w:val="single" w:color="auto" w:sz="12" w:space="0"/>
            </w:tcBorders>
            <w:vAlign w:val="center"/>
          </w:tcPr>
          <w:p w14:paraId="3790E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vertAlign w:val="baseline"/>
                <w:lang w:val="en-US" w:eastAsia="zh-CN" w:bidi="ar-SA"/>
              </w:rPr>
            </w:pPr>
            <w:r>
              <w:rPr>
                <w:rFonts w:hint="default" w:ascii="Times New Roman" w:hAnsi="Times New Roman" w:eastAsia="宋体" w:cs="Times New Roman"/>
                <w:color w:val="auto"/>
                <w:sz w:val="21"/>
                <w:szCs w:val="21"/>
                <w:highlight w:val="none"/>
                <w:u w:val="single" w:color="auto"/>
                <w:vertAlign w:val="baseline"/>
                <w:lang w:val="en-US" w:eastAsia="zh-CN"/>
              </w:rPr>
              <w:t>PM2.5特护期浓度</w:t>
            </w:r>
          </w:p>
        </w:tc>
        <w:tc>
          <w:tcPr>
            <w:tcW w:w="901" w:type="dxa"/>
            <w:vAlign w:val="center"/>
          </w:tcPr>
          <w:p w14:paraId="0D36AA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rPr>
              <w:t>μ</w:t>
            </w:r>
            <w:r>
              <w:rPr>
                <w:rFonts w:hint="default" w:ascii="Times New Roman" w:hAnsi="Times New Roman" w:eastAsia="宋体" w:cs="Times New Roman"/>
                <w:snapToGrid/>
                <w:color w:val="auto"/>
                <w:sz w:val="21"/>
                <w:szCs w:val="21"/>
                <w:highlight w:val="none"/>
                <w:u w:val="single" w:color="auto"/>
              </w:rPr>
              <w:t>g/m</w:t>
            </w:r>
            <w:r>
              <w:rPr>
                <w:rFonts w:hint="default" w:ascii="Times New Roman" w:hAnsi="Times New Roman" w:eastAsia="宋体" w:cs="Times New Roman"/>
                <w:snapToGrid/>
                <w:color w:val="auto"/>
                <w:sz w:val="21"/>
                <w:szCs w:val="21"/>
                <w:highlight w:val="none"/>
                <w:u w:val="single" w:color="auto"/>
                <w:vertAlign w:val="superscript"/>
              </w:rPr>
              <w:t>3</w:t>
            </w:r>
          </w:p>
        </w:tc>
        <w:tc>
          <w:tcPr>
            <w:tcW w:w="1452" w:type="dxa"/>
            <w:vAlign w:val="center"/>
          </w:tcPr>
          <w:p w14:paraId="7E84D1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54</w:t>
            </w:r>
          </w:p>
        </w:tc>
        <w:tc>
          <w:tcPr>
            <w:tcW w:w="1452" w:type="dxa"/>
            <w:vAlign w:val="center"/>
          </w:tcPr>
          <w:p w14:paraId="0D4AFC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52</w:t>
            </w:r>
          </w:p>
        </w:tc>
        <w:tc>
          <w:tcPr>
            <w:tcW w:w="1456" w:type="dxa"/>
            <w:vAlign w:val="center"/>
          </w:tcPr>
          <w:p w14:paraId="3090A4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50</w:t>
            </w:r>
          </w:p>
        </w:tc>
        <w:tc>
          <w:tcPr>
            <w:tcW w:w="1454" w:type="dxa"/>
            <w:tcBorders>
              <w:right w:val="single" w:color="auto" w:sz="12" w:space="0"/>
            </w:tcBorders>
            <w:vAlign w:val="center"/>
          </w:tcPr>
          <w:p w14:paraId="25C08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约束性</w:t>
            </w:r>
          </w:p>
        </w:tc>
      </w:tr>
      <w:tr w14:paraId="31DB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004" w:type="dxa"/>
            <w:tcBorders>
              <w:left w:val="single" w:color="auto" w:sz="12" w:space="0"/>
              <w:bottom w:val="single" w:color="auto" w:sz="12" w:space="0"/>
            </w:tcBorders>
            <w:vAlign w:val="center"/>
          </w:tcPr>
          <w:p w14:paraId="725EB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color="auto"/>
                <w:vertAlign w:val="baseline"/>
                <w:lang w:val="en-US" w:eastAsia="zh-CN" w:bidi="ar-SA"/>
              </w:rPr>
            </w:pPr>
            <w:r>
              <w:rPr>
                <w:rFonts w:hint="default" w:ascii="Times New Roman" w:hAnsi="Times New Roman" w:eastAsia="宋体" w:cs="Times New Roman"/>
                <w:color w:val="auto"/>
                <w:sz w:val="21"/>
                <w:szCs w:val="21"/>
                <w:highlight w:val="none"/>
                <w:u w:val="single" w:color="auto"/>
                <w:vertAlign w:val="baseline"/>
                <w:lang w:val="en-US" w:eastAsia="zh-CN"/>
              </w:rPr>
              <w:t>优良天数比例</w:t>
            </w:r>
          </w:p>
        </w:tc>
        <w:tc>
          <w:tcPr>
            <w:tcW w:w="901" w:type="dxa"/>
            <w:tcBorders>
              <w:bottom w:val="single" w:color="auto" w:sz="12" w:space="0"/>
            </w:tcBorders>
            <w:vAlign w:val="center"/>
          </w:tcPr>
          <w:p w14:paraId="5E4459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w:t>
            </w:r>
          </w:p>
        </w:tc>
        <w:tc>
          <w:tcPr>
            <w:tcW w:w="1452" w:type="dxa"/>
            <w:tcBorders>
              <w:bottom w:val="single" w:color="auto" w:sz="12" w:space="0"/>
            </w:tcBorders>
            <w:vAlign w:val="center"/>
          </w:tcPr>
          <w:p w14:paraId="7863CF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87</w:t>
            </w:r>
          </w:p>
        </w:tc>
        <w:tc>
          <w:tcPr>
            <w:tcW w:w="1452" w:type="dxa"/>
            <w:tcBorders>
              <w:bottom w:val="single" w:color="auto" w:sz="12" w:space="0"/>
            </w:tcBorders>
            <w:vAlign w:val="center"/>
          </w:tcPr>
          <w:p w14:paraId="0F9AF6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88</w:t>
            </w:r>
          </w:p>
        </w:tc>
        <w:tc>
          <w:tcPr>
            <w:tcW w:w="1456" w:type="dxa"/>
            <w:tcBorders>
              <w:bottom w:val="single" w:color="auto" w:sz="12" w:space="0"/>
            </w:tcBorders>
            <w:vAlign w:val="center"/>
          </w:tcPr>
          <w:p w14:paraId="17AA6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89</w:t>
            </w:r>
          </w:p>
        </w:tc>
        <w:tc>
          <w:tcPr>
            <w:tcW w:w="1454" w:type="dxa"/>
            <w:tcBorders>
              <w:bottom w:val="single" w:color="auto" w:sz="12" w:space="0"/>
              <w:right w:val="single" w:color="auto" w:sz="12" w:space="0"/>
            </w:tcBorders>
            <w:vAlign w:val="center"/>
          </w:tcPr>
          <w:p w14:paraId="770037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约束性</w:t>
            </w:r>
          </w:p>
        </w:tc>
      </w:tr>
    </w:tbl>
    <w:p w14:paraId="0A829AEC">
      <w:pPr>
        <w:spacing w:line="500" w:lineRule="exact"/>
        <w:ind w:firstLine="480" w:firstLineChars="20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val="en-US" w:eastAsia="zh-CN"/>
        </w:rPr>
        <w:t>根据上表可知，本项目所在区域已满足</w:t>
      </w:r>
      <w:r>
        <w:rPr>
          <w:rFonts w:hint="default" w:ascii="Times New Roman" w:hAnsi="Times New Roman" w:eastAsia="宋体" w:cs="Times New Roman"/>
          <w:color w:val="auto"/>
          <w:sz w:val="24"/>
          <w:szCs w:val="24"/>
          <w:highlight w:val="none"/>
          <w:u w:val="single" w:color="auto"/>
          <w:lang w:eastAsia="zh-CN"/>
        </w:rPr>
        <w:t>《衡阳市大气环境质量限期达标规划》（</w:t>
      </w:r>
      <w:r>
        <w:rPr>
          <w:rFonts w:hint="default" w:ascii="Times New Roman" w:hAnsi="Times New Roman" w:eastAsia="宋体" w:cs="Times New Roman"/>
          <w:color w:val="auto"/>
          <w:sz w:val="24"/>
          <w:szCs w:val="24"/>
          <w:highlight w:val="none"/>
          <w:u w:val="single" w:color="auto"/>
          <w:lang w:val="en-US" w:eastAsia="zh-CN"/>
        </w:rPr>
        <w:t>2020-2025</w:t>
      </w:r>
      <w:r>
        <w:rPr>
          <w:rFonts w:hint="default" w:ascii="Times New Roman" w:hAnsi="Times New Roman" w:eastAsia="宋体" w:cs="Times New Roman"/>
          <w:color w:val="auto"/>
          <w:sz w:val="24"/>
          <w:szCs w:val="24"/>
          <w:highlight w:val="none"/>
          <w:u w:val="single" w:color="auto"/>
          <w:lang w:eastAsia="zh-CN"/>
        </w:rPr>
        <w:t>）要求。</w:t>
      </w:r>
    </w:p>
    <w:p w14:paraId="685A0880">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6.1.2其他污染物环境质量现状评价</w:t>
      </w:r>
    </w:p>
    <w:p w14:paraId="40312CCA">
      <w:pPr>
        <w:spacing w:line="500" w:lineRule="exact"/>
        <w:ind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为了进一步了解项目所在地的环境质量现状，湖南桓泓检测技术有限公司已于</w:t>
      </w:r>
      <w:r>
        <w:rPr>
          <w:rFonts w:hint="default" w:ascii="Times New Roman" w:hAnsi="Times New Roman" w:eastAsia="宋体" w:cs="Times New Roman"/>
          <w:color w:val="auto"/>
          <w:kern w:val="2"/>
          <w:sz w:val="24"/>
          <w:szCs w:val="24"/>
          <w:highlight w:val="none"/>
          <w:u w:val="none" w:color="auto"/>
          <w:lang w:val="en-US" w:eastAsia="zh-CN" w:bidi="ar-SA"/>
        </w:rPr>
        <w:t>2022年3月23日~2022年3月29日</w:t>
      </w:r>
      <w:r>
        <w:rPr>
          <w:rFonts w:hint="default" w:ascii="Times New Roman" w:hAnsi="Times New Roman" w:eastAsia="宋体" w:cs="Times New Roman"/>
          <w:color w:val="auto"/>
          <w:sz w:val="24"/>
          <w:szCs w:val="24"/>
          <w:highlight w:val="none"/>
          <w:u w:val="none" w:color="auto"/>
          <w:lang w:val="en-US" w:eastAsia="zh-CN"/>
        </w:rPr>
        <w:t>对项目所在地环境空气质量现状进行了HCl、氮氧化物、硫酸雾特征因子现状监测，TVOC、非甲烷总烃引用湖南品标华测检测技术有限公司于2020年1月10日~16日对新竹社区环境空气质量的监测资料监测情况如下。</w:t>
      </w:r>
    </w:p>
    <w:p w14:paraId="696E32C6">
      <w:pPr>
        <w:pStyle w:val="13"/>
        <w:jc w:val="center"/>
        <w:rPr>
          <w:rFonts w:hint="default" w:ascii="Times New Roman" w:hAnsi="Times New Roman" w:eastAsia="宋体" w:cs="Times New Roman"/>
          <w:b/>
          <w:bCs/>
          <w:i w:val="0"/>
          <w:iCs w:val="0"/>
          <w:color w:val="auto"/>
          <w:sz w:val="21"/>
          <w:szCs w:val="21"/>
          <w:highlight w:val="none"/>
          <w:u w:val="none" w:color="auto"/>
          <w:lang w:eastAsia="zh-CN"/>
        </w:rPr>
      </w:pPr>
      <w:r>
        <w:rPr>
          <w:rFonts w:hint="default" w:ascii="Times New Roman" w:hAnsi="Times New Roman" w:eastAsia="宋体" w:cs="Times New Roman"/>
          <w:b/>
          <w:bCs/>
          <w:i w:val="0"/>
          <w:iCs w:val="0"/>
          <w:color w:val="auto"/>
          <w:sz w:val="21"/>
          <w:szCs w:val="21"/>
          <w:highlight w:val="none"/>
          <w:u w:val="none" w:color="auto"/>
          <w:lang w:eastAsia="zh-CN"/>
        </w:rPr>
        <w:t>表</w:t>
      </w:r>
      <w:r>
        <w:rPr>
          <w:rFonts w:hint="default" w:ascii="Times New Roman" w:hAnsi="Times New Roman" w:eastAsia="宋体" w:cs="Times New Roman"/>
          <w:b/>
          <w:bCs/>
          <w:i w:val="0"/>
          <w:iCs w:val="0"/>
          <w:color w:val="auto"/>
          <w:sz w:val="21"/>
          <w:szCs w:val="21"/>
          <w:highlight w:val="none"/>
          <w:u w:val="none" w:color="auto"/>
          <w:lang w:val="en-US" w:eastAsia="zh-CN"/>
        </w:rPr>
        <w:t>6</w:t>
      </w:r>
      <w:r>
        <w:rPr>
          <w:rFonts w:hint="default" w:ascii="Times New Roman" w:hAnsi="Times New Roman" w:eastAsia="宋体" w:cs="Times New Roman"/>
          <w:b/>
          <w:bCs/>
          <w:i w:val="0"/>
          <w:iCs w:val="0"/>
          <w:color w:val="auto"/>
          <w:sz w:val="21"/>
          <w:szCs w:val="21"/>
          <w:highlight w:val="none"/>
          <w:u w:val="none" w:color="auto"/>
          <w:lang w:eastAsia="zh-CN"/>
        </w:rPr>
        <w:t>.1-</w:t>
      </w:r>
      <w:r>
        <w:rPr>
          <w:rFonts w:hint="default" w:ascii="Times New Roman" w:hAnsi="Times New Roman" w:eastAsia="宋体" w:cs="Times New Roman"/>
          <w:b/>
          <w:bCs/>
          <w:i w:val="0"/>
          <w:iCs w:val="0"/>
          <w:color w:val="auto"/>
          <w:sz w:val="21"/>
          <w:szCs w:val="21"/>
          <w:highlight w:val="none"/>
          <w:u w:val="none" w:color="auto"/>
          <w:lang w:val="en-US" w:eastAsia="zh-CN"/>
        </w:rPr>
        <w:t>3</w:t>
      </w:r>
      <w:r>
        <w:rPr>
          <w:rFonts w:hint="default" w:ascii="Times New Roman" w:hAnsi="Times New Roman" w:eastAsia="宋体" w:cs="Times New Roman"/>
          <w:b/>
          <w:bCs/>
          <w:i w:val="0"/>
          <w:iCs w:val="0"/>
          <w:color w:val="auto"/>
          <w:sz w:val="21"/>
          <w:szCs w:val="21"/>
          <w:highlight w:val="none"/>
          <w:u w:val="none" w:color="auto"/>
          <w:lang w:eastAsia="zh-CN"/>
        </w:rPr>
        <w:t>其他污染物现状监测点位基本信息表</w:t>
      </w:r>
    </w:p>
    <w:tbl>
      <w:tblPr>
        <w:tblStyle w:val="22"/>
        <w:tblW w:w="513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30"/>
        <w:gridCol w:w="2878"/>
        <w:gridCol w:w="3151"/>
      </w:tblGrid>
      <w:tr w14:paraId="145482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vAlign w:val="center"/>
          </w:tcPr>
          <w:p w14:paraId="7C5041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监测点名称</w:t>
            </w:r>
          </w:p>
        </w:tc>
        <w:tc>
          <w:tcPr>
            <w:tcW w:w="1537" w:type="pct"/>
            <w:vAlign w:val="center"/>
          </w:tcPr>
          <w:p w14:paraId="12A80F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监测因子</w:t>
            </w:r>
          </w:p>
        </w:tc>
        <w:tc>
          <w:tcPr>
            <w:tcW w:w="1683" w:type="pct"/>
            <w:vAlign w:val="center"/>
          </w:tcPr>
          <w:p w14:paraId="3A265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监测时段</w:t>
            </w:r>
          </w:p>
        </w:tc>
      </w:tr>
      <w:tr w14:paraId="4894C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vAlign w:val="center"/>
          </w:tcPr>
          <w:p w14:paraId="18B1A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厂址（G1）</w:t>
            </w:r>
          </w:p>
        </w:tc>
        <w:tc>
          <w:tcPr>
            <w:tcW w:w="1537" w:type="pct"/>
            <w:vMerge w:val="restart"/>
            <w:vAlign w:val="center"/>
          </w:tcPr>
          <w:p w14:paraId="11F4F9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氯化氢、氮氧化物、硫酸雾</w:t>
            </w:r>
          </w:p>
        </w:tc>
        <w:tc>
          <w:tcPr>
            <w:tcW w:w="1683" w:type="pct"/>
            <w:vMerge w:val="restart"/>
            <w:vAlign w:val="center"/>
          </w:tcPr>
          <w:p w14:paraId="2D3EDF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2022年3月23日~2022年3月29日</w:t>
            </w:r>
          </w:p>
        </w:tc>
      </w:tr>
      <w:tr w14:paraId="37EE5D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vAlign w:val="center"/>
          </w:tcPr>
          <w:p w14:paraId="229610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厂址南下风向500m位置（G2）</w:t>
            </w:r>
          </w:p>
        </w:tc>
        <w:tc>
          <w:tcPr>
            <w:tcW w:w="1537" w:type="pct"/>
            <w:vMerge w:val="continue"/>
            <w:vAlign w:val="center"/>
          </w:tcPr>
          <w:p w14:paraId="0ACFF6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683" w:type="pct"/>
            <w:vMerge w:val="continue"/>
            <w:vAlign w:val="center"/>
          </w:tcPr>
          <w:p w14:paraId="54C537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605B3C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79" w:type="pct"/>
            <w:vAlign w:val="center"/>
          </w:tcPr>
          <w:p w14:paraId="636BAE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新竹社区（G3）</w:t>
            </w:r>
          </w:p>
        </w:tc>
        <w:tc>
          <w:tcPr>
            <w:tcW w:w="1537" w:type="pct"/>
            <w:vAlign w:val="center"/>
          </w:tcPr>
          <w:p w14:paraId="747BAE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TVOC、非甲烷总烃</w:t>
            </w:r>
          </w:p>
        </w:tc>
        <w:tc>
          <w:tcPr>
            <w:tcW w:w="1683" w:type="pct"/>
            <w:vAlign w:val="center"/>
          </w:tcPr>
          <w:p w14:paraId="0CB4DF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2020.01.10~01.1</w:t>
            </w:r>
          </w:p>
        </w:tc>
      </w:tr>
    </w:tbl>
    <w:p w14:paraId="261611EC">
      <w:pPr>
        <w:spacing w:line="500" w:lineRule="exact"/>
        <w:ind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监测结果见下表。</w:t>
      </w:r>
    </w:p>
    <w:p w14:paraId="5818E144">
      <w:pPr>
        <w:pStyle w:val="13"/>
        <w:jc w:val="center"/>
        <w:rPr>
          <w:rFonts w:hint="default" w:ascii="Times New Roman" w:hAnsi="Times New Roman" w:eastAsia="宋体" w:cs="Times New Roman"/>
          <w:b/>
          <w:bCs/>
          <w:i w:val="0"/>
          <w:iCs w:val="0"/>
          <w:color w:val="auto"/>
          <w:sz w:val="21"/>
          <w:szCs w:val="21"/>
          <w:highlight w:val="none"/>
          <w:u w:val="none" w:color="auto"/>
          <w:lang w:eastAsia="zh-CN"/>
        </w:rPr>
      </w:pPr>
      <w:r>
        <w:rPr>
          <w:rFonts w:hint="default" w:ascii="Times New Roman" w:hAnsi="Times New Roman" w:eastAsia="宋体" w:cs="Times New Roman"/>
          <w:b/>
          <w:bCs/>
          <w:i w:val="0"/>
          <w:iCs w:val="0"/>
          <w:color w:val="auto"/>
          <w:sz w:val="21"/>
          <w:szCs w:val="21"/>
          <w:highlight w:val="none"/>
          <w:u w:val="none" w:color="auto"/>
          <w:lang w:eastAsia="zh-CN"/>
        </w:rPr>
        <w:t>表</w:t>
      </w:r>
      <w:r>
        <w:rPr>
          <w:rFonts w:hint="default" w:ascii="Times New Roman" w:hAnsi="Times New Roman" w:eastAsia="宋体" w:cs="Times New Roman"/>
          <w:b/>
          <w:bCs/>
          <w:i w:val="0"/>
          <w:iCs w:val="0"/>
          <w:color w:val="auto"/>
          <w:sz w:val="21"/>
          <w:szCs w:val="21"/>
          <w:highlight w:val="none"/>
          <w:u w:val="none" w:color="auto"/>
          <w:lang w:val="en-US" w:eastAsia="zh-CN"/>
        </w:rPr>
        <w:t xml:space="preserve">6.1-4 </w:t>
      </w:r>
      <w:r>
        <w:rPr>
          <w:rFonts w:hint="default" w:ascii="Times New Roman" w:hAnsi="Times New Roman" w:eastAsia="宋体" w:cs="Times New Roman"/>
          <w:b/>
          <w:bCs/>
          <w:i w:val="0"/>
          <w:iCs w:val="0"/>
          <w:color w:val="auto"/>
          <w:sz w:val="21"/>
          <w:szCs w:val="21"/>
          <w:highlight w:val="none"/>
          <w:u w:val="none" w:color="auto"/>
          <w:lang w:eastAsia="zh-CN"/>
        </w:rPr>
        <w:t>环境空气检测结果</w:t>
      </w:r>
    </w:p>
    <w:tbl>
      <w:tblPr>
        <w:tblStyle w:val="22"/>
        <w:tblW w:w="51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2"/>
        <w:gridCol w:w="1122"/>
        <w:gridCol w:w="1498"/>
        <w:gridCol w:w="2063"/>
        <w:gridCol w:w="1691"/>
        <w:gridCol w:w="1138"/>
        <w:gridCol w:w="985"/>
      </w:tblGrid>
      <w:tr w14:paraId="21351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48" w:hRule="atLeast"/>
          <w:jc w:val="center"/>
        </w:trPr>
        <w:tc>
          <w:tcPr>
            <w:tcW w:w="475" w:type="pct"/>
            <w:vAlign w:val="center"/>
          </w:tcPr>
          <w:p w14:paraId="567154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监测</w:t>
            </w:r>
          </w:p>
          <w:p w14:paraId="6CDD85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点位</w:t>
            </w:r>
          </w:p>
        </w:tc>
        <w:tc>
          <w:tcPr>
            <w:tcW w:w="597" w:type="pct"/>
            <w:vAlign w:val="center"/>
          </w:tcPr>
          <w:p w14:paraId="37888F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污染物</w:t>
            </w:r>
          </w:p>
        </w:tc>
        <w:tc>
          <w:tcPr>
            <w:tcW w:w="797" w:type="pct"/>
            <w:vAlign w:val="center"/>
          </w:tcPr>
          <w:p w14:paraId="0A4208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标准值</w:t>
            </w:r>
          </w:p>
          <w:p w14:paraId="58E49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（mg/m</w:t>
            </w:r>
            <w:r>
              <w:rPr>
                <w:rFonts w:hint="default" w:ascii="Times New Roman" w:hAnsi="Times New Roman" w:eastAsia="宋体" w:cs="Times New Roman"/>
                <w:color w:val="auto"/>
                <w:sz w:val="21"/>
                <w:szCs w:val="21"/>
                <w:highlight w:val="none"/>
                <w:u w:val="none" w:color="auto"/>
                <w:vertAlign w:val="superscript"/>
                <w:lang w:val="en-US" w:eastAsia="zh-CN"/>
              </w:rPr>
              <w:t>3</w:t>
            </w:r>
            <w:r>
              <w:rPr>
                <w:rFonts w:hint="default" w:ascii="Times New Roman" w:hAnsi="Times New Roman" w:eastAsia="宋体" w:cs="Times New Roman"/>
                <w:color w:val="auto"/>
                <w:sz w:val="21"/>
                <w:szCs w:val="21"/>
                <w:highlight w:val="none"/>
                <w:u w:val="none" w:color="auto"/>
                <w:vertAlign w:val="baseline"/>
                <w:lang w:val="en-US" w:eastAsia="zh-CN"/>
              </w:rPr>
              <w:t>）</w:t>
            </w:r>
          </w:p>
        </w:tc>
        <w:tc>
          <w:tcPr>
            <w:tcW w:w="1098" w:type="pct"/>
            <w:vAlign w:val="center"/>
          </w:tcPr>
          <w:p w14:paraId="2FCD4B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监测浓度范围</w:t>
            </w:r>
          </w:p>
          <w:p w14:paraId="3EF0A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（mg/m</w:t>
            </w:r>
            <w:r>
              <w:rPr>
                <w:rFonts w:hint="default" w:ascii="Times New Roman" w:hAnsi="Times New Roman" w:eastAsia="宋体" w:cs="Times New Roman"/>
                <w:color w:val="auto"/>
                <w:sz w:val="21"/>
                <w:szCs w:val="21"/>
                <w:highlight w:val="none"/>
                <w:u w:val="none" w:color="auto"/>
                <w:vertAlign w:val="superscript"/>
                <w:lang w:val="en-US" w:eastAsia="zh-CN"/>
              </w:rPr>
              <w:t>3</w:t>
            </w:r>
            <w:r>
              <w:rPr>
                <w:rFonts w:hint="default" w:ascii="Times New Roman" w:hAnsi="Times New Roman" w:eastAsia="宋体" w:cs="Times New Roman"/>
                <w:color w:val="auto"/>
                <w:sz w:val="21"/>
                <w:szCs w:val="21"/>
                <w:highlight w:val="none"/>
                <w:u w:val="none" w:color="auto"/>
                <w:vertAlign w:val="baseline"/>
                <w:lang w:val="en-US" w:eastAsia="zh-CN"/>
              </w:rPr>
              <w:t>）</w:t>
            </w:r>
          </w:p>
        </w:tc>
        <w:tc>
          <w:tcPr>
            <w:tcW w:w="900" w:type="pct"/>
            <w:vAlign w:val="center"/>
          </w:tcPr>
          <w:p w14:paraId="563946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最大浓度占标率（%）</w:t>
            </w:r>
          </w:p>
        </w:tc>
        <w:tc>
          <w:tcPr>
            <w:tcW w:w="606" w:type="pct"/>
            <w:vAlign w:val="center"/>
          </w:tcPr>
          <w:p w14:paraId="5F20C4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超标频率（%）</w:t>
            </w:r>
          </w:p>
        </w:tc>
        <w:tc>
          <w:tcPr>
            <w:tcW w:w="524" w:type="pct"/>
            <w:vAlign w:val="center"/>
          </w:tcPr>
          <w:p w14:paraId="4FEA0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达标</w:t>
            </w:r>
          </w:p>
          <w:p w14:paraId="1FC04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情况</w:t>
            </w:r>
          </w:p>
        </w:tc>
      </w:tr>
      <w:tr w14:paraId="79230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475" w:type="pct"/>
            <w:vAlign w:val="center"/>
          </w:tcPr>
          <w:p w14:paraId="15B9E5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G1</w:t>
            </w:r>
          </w:p>
        </w:tc>
        <w:tc>
          <w:tcPr>
            <w:tcW w:w="597" w:type="pct"/>
            <w:vMerge w:val="restart"/>
            <w:vAlign w:val="center"/>
          </w:tcPr>
          <w:p w14:paraId="0648C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氯化氢</w:t>
            </w:r>
          </w:p>
        </w:tc>
        <w:tc>
          <w:tcPr>
            <w:tcW w:w="797" w:type="pct"/>
            <w:vMerge w:val="restart"/>
            <w:vAlign w:val="center"/>
          </w:tcPr>
          <w:p w14:paraId="74E34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0.05</w:t>
            </w:r>
          </w:p>
        </w:tc>
        <w:tc>
          <w:tcPr>
            <w:tcW w:w="1098" w:type="pct"/>
            <w:vAlign w:val="center"/>
          </w:tcPr>
          <w:p w14:paraId="57D190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ND</w:t>
            </w:r>
          </w:p>
        </w:tc>
        <w:tc>
          <w:tcPr>
            <w:tcW w:w="900" w:type="pct"/>
            <w:vAlign w:val="center"/>
          </w:tcPr>
          <w:p w14:paraId="3B19D5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w:t>
            </w:r>
          </w:p>
        </w:tc>
        <w:tc>
          <w:tcPr>
            <w:tcW w:w="606" w:type="pct"/>
            <w:vAlign w:val="center"/>
          </w:tcPr>
          <w:p w14:paraId="21C14F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w:t>
            </w:r>
          </w:p>
        </w:tc>
        <w:tc>
          <w:tcPr>
            <w:tcW w:w="524" w:type="pct"/>
            <w:vAlign w:val="center"/>
          </w:tcPr>
          <w:p w14:paraId="36BA1B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达标</w:t>
            </w:r>
          </w:p>
        </w:tc>
      </w:tr>
      <w:tr w14:paraId="5F7CC2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475" w:type="pct"/>
            <w:vAlign w:val="center"/>
          </w:tcPr>
          <w:p w14:paraId="7F6D7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G2</w:t>
            </w:r>
          </w:p>
        </w:tc>
        <w:tc>
          <w:tcPr>
            <w:tcW w:w="597" w:type="pct"/>
            <w:vMerge w:val="continue"/>
            <w:vAlign w:val="center"/>
          </w:tcPr>
          <w:p w14:paraId="2172E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97" w:type="pct"/>
            <w:vMerge w:val="continue"/>
            <w:vAlign w:val="center"/>
          </w:tcPr>
          <w:p w14:paraId="40AD33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098" w:type="pct"/>
            <w:vAlign w:val="center"/>
          </w:tcPr>
          <w:p w14:paraId="7D6B5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ND</w:t>
            </w:r>
          </w:p>
        </w:tc>
        <w:tc>
          <w:tcPr>
            <w:tcW w:w="900" w:type="pct"/>
            <w:vAlign w:val="center"/>
          </w:tcPr>
          <w:p w14:paraId="5DB36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w:t>
            </w:r>
          </w:p>
        </w:tc>
        <w:tc>
          <w:tcPr>
            <w:tcW w:w="606" w:type="pct"/>
            <w:vAlign w:val="center"/>
          </w:tcPr>
          <w:p w14:paraId="2FB6BA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w:t>
            </w:r>
          </w:p>
        </w:tc>
        <w:tc>
          <w:tcPr>
            <w:tcW w:w="524" w:type="pct"/>
            <w:vAlign w:val="center"/>
          </w:tcPr>
          <w:p w14:paraId="72BA5F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达标</w:t>
            </w:r>
          </w:p>
        </w:tc>
      </w:tr>
      <w:tr w14:paraId="60B44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475" w:type="pct"/>
            <w:vAlign w:val="center"/>
          </w:tcPr>
          <w:p w14:paraId="1CB2B5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G1</w:t>
            </w:r>
          </w:p>
        </w:tc>
        <w:tc>
          <w:tcPr>
            <w:tcW w:w="597" w:type="pct"/>
            <w:vMerge w:val="restart"/>
            <w:vAlign w:val="center"/>
          </w:tcPr>
          <w:p w14:paraId="1A04F8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氮氧化物</w:t>
            </w:r>
          </w:p>
        </w:tc>
        <w:tc>
          <w:tcPr>
            <w:tcW w:w="797" w:type="pct"/>
            <w:vMerge w:val="restart"/>
            <w:vAlign w:val="center"/>
          </w:tcPr>
          <w:p w14:paraId="38165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0.25</w:t>
            </w:r>
          </w:p>
        </w:tc>
        <w:tc>
          <w:tcPr>
            <w:tcW w:w="1098" w:type="pct"/>
            <w:vAlign w:val="center"/>
          </w:tcPr>
          <w:p w14:paraId="1E5D88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0.015-0.019</w:t>
            </w:r>
          </w:p>
        </w:tc>
        <w:tc>
          <w:tcPr>
            <w:tcW w:w="900" w:type="pct"/>
            <w:vAlign w:val="center"/>
          </w:tcPr>
          <w:p w14:paraId="7079F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7.6</w:t>
            </w:r>
          </w:p>
        </w:tc>
        <w:tc>
          <w:tcPr>
            <w:tcW w:w="606" w:type="pct"/>
            <w:vAlign w:val="center"/>
          </w:tcPr>
          <w:p w14:paraId="0F74CD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w:t>
            </w:r>
          </w:p>
        </w:tc>
        <w:tc>
          <w:tcPr>
            <w:tcW w:w="524" w:type="pct"/>
            <w:vAlign w:val="center"/>
          </w:tcPr>
          <w:p w14:paraId="4A6B4C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达标</w:t>
            </w:r>
          </w:p>
        </w:tc>
      </w:tr>
      <w:tr w14:paraId="735F6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475" w:type="pct"/>
            <w:vAlign w:val="center"/>
          </w:tcPr>
          <w:p w14:paraId="4B7835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G2</w:t>
            </w:r>
          </w:p>
        </w:tc>
        <w:tc>
          <w:tcPr>
            <w:tcW w:w="597" w:type="pct"/>
            <w:vMerge w:val="continue"/>
            <w:vAlign w:val="center"/>
          </w:tcPr>
          <w:p w14:paraId="1F151F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97" w:type="pct"/>
            <w:vMerge w:val="continue"/>
            <w:vAlign w:val="center"/>
          </w:tcPr>
          <w:p w14:paraId="33385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098" w:type="pct"/>
            <w:vAlign w:val="center"/>
          </w:tcPr>
          <w:p w14:paraId="6462B8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0.015-0.019</w:t>
            </w:r>
          </w:p>
        </w:tc>
        <w:tc>
          <w:tcPr>
            <w:tcW w:w="900" w:type="pct"/>
            <w:vAlign w:val="center"/>
          </w:tcPr>
          <w:p w14:paraId="41912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7.6</w:t>
            </w:r>
          </w:p>
        </w:tc>
        <w:tc>
          <w:tcPr>
            <w:tcW w:w="606" w:type="pct"/>
            <w:vAlign w:val="center"/>
          </w:tcPr>
          <w:p w14:paraId="61561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w:t>
            </w:r>
          </w:p>
        </w:tc>
        <w:tc>
          <w:tcPr>
            <w:tcW w:w="524" w:type="pct"/>
            <w:vAlign w:val="center"/>
          </w:tcPr>
          <w:p w14:paraId="4AA5D1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达标</w:t>
            </w:r>
          </w:p>
        </w:tc>
      </w:tr>
      <w:tr w14:paraId="54B9CE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475" w:type="pct"/>
            <w:vAlign w:val="center"/>
          </w:tcPr>
          <w:p w14:paraId="778B57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G1</w:t>
            </w:r>
          </w:p>
        </w:tc>
        <w:tc>
          <w:tcPr>
            <w:tcW w:w="597" w:type="pct"/>
            <w:vMerge w:val="restart"/>
            <w:vAlign w:val="center"/>
          </w:tcPr>
          <w:p w14:paraId="6F110D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硫酸雾</w:t>
            </w:r>
          </w:p>
        </w:tc>
        <w:tc>
          <w:tcPr>
            <w:tcW w:w="797" w:type="pct"/>
            <w:vMerge w:val="restart"/>
            <w:vAlign w:val="center"/>
          </w:tcPr>
          <w:p w14:paraId="3944F2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0.3</w:t>
            </w:r>
          </w:p>
        </w:tc>
        <w:tc>
          <w:tcPr>
            <w:tcW w:w="1098" w:type="pct"/>
            <w:vAlign w:val="center"/>
          </w:tcPr>
          <w:p w14:paraId="55FC75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ND</w:t>
            </w:r>
          </w:p>
        </w:tc>
        <w:tc>
          <w:tcPr>
            <w:tcW w:w="900" w:type="pct"/>
            <w:vAlign w:val="center"/>
          </w:tcPr>
          <w:p w14:paraId="552D75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w:t>
            </w:r>
          </w:p>
        </w:tc>
        <w:tc>
          <w:tcPr>
            <w:tcW w:w="606" w:type="pct"/>
            <w:vAlign w:val="center"/>
          </w:tcPr>
          <w:p w14:paraId="4DC50C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w:t>
            </w:r>
          </w:p>
        </w:tc>
        <w:tc>
          <w:tcPr>
            <w:tcW w:w="524" w:type="pct"/>
            <w:vAlign w:val="center"/>
          </w:tcPr>
          <w:p w14:paraId="3A6DE1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达标</w:t>
            </w:r>
          </w:p>
        </w:tc>
      </w:tr>
      <w:tr w14:paraId="0AE3E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475" w:type="pct"/>
            <w:vAlign w:val="center"/>
          </w:tcPr>
          <w:p w14:paraId="1DDD1B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G2</w:t>
            </w:r>
          </w:p>
        </w:tc>
        <w:tc>
          <w:tcPr>
            <w:tcW w:w="597" w:type="pct"/>
            <w:vMerge w:val="continue"/>
            <w:vAlign w:val="center"/>
          </w:tcPr>
          <w:p w14:paraId="3FD161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797" w:type="pct"/>
            <w:vMerge w:val="continue"/>
            <w:vAlign w:val="center"/>
          </w:tcPr>
          <w:p w14:paraId="4F9AB7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1098" w:type="pct"/>
            <w:vAlign w:val="center"/>
          </w:tcPr>
          <w:p w14:paraId="7752CA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ND</w:t>
            </w:r>
          </w:p>
        </w:tc>
        <w:tc>
          <w:tcPr>
            <w:tcW w:w="900" w:type="pct"/>
            <w:vAlign w:val="center"/>
          </w:tcPr>
          <w:p w14:paraId="7050D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w:t>
            </w:r>
          </w:p>
        </w:tc>
        <w:tc>
          <w:tcPr>
            <w:tcW w:w="606" w:type="pct"/>
            <w:vAlign w:val="center"/>
          </w:tcPr>
          <w:p w14:paraId="141ED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w:t>
            </w:r>
          </w:p>
        </w:tc>
        <w:tc>
          <w:tcPr>
            <w:tcW w:w="524" w:type="pct"/>
            <w:vAlign w:val="center"/>
          </w:tcPr>
          <w:p w14:paraId="0A68E9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达标</w:t>
            </w:r>
          </w:p>
        </w:tc>
      </w:tr>
      <w:tr w14:paraId="61863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475" w:type="pct"/>
            <w:vMerge w:val="restart"/>
            <w:vAlign w:val="center"/>
          </w:tcPr>
          <w:p w14:paraId="723032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G3</w:t>
            </w:r>
          </w:p>
        </w:tc>
        <w:tc>
          <w:tcPr>
            <w:tcW w:w="597" w:type="pct"/>
            <w:vAlign w:val="center"/>
          </w:tcPr>
          <w:p w14:paraId="79BAD2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TVOC</w:t>
            </w:r>
          </w:p>
        </w:tc>
        <w:tc>
          <w:tcPr>
            <w:tcW w:w="797" w:type="pct"/>
            <w:vAlign w:val="center"/>
          </w:tcPr>
          <w:p w14:paraId="1A1617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0.6</w:t>
            </w:r>
          </w:p>
        </w:tc>
        <w:tc>
          <w:tcPr>
            <w:tcW w:w="1098" w:type="pct"/>
            <w:vAlign w:val="center"/>
          </w:tcPr>
          <w:p w14:paraId="3080F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0.0017~0.0183</w:t>
            </w:r>
          </w:p>
        </w:tc>
        <w:tc>
          <w:tcPr>
            <w:tcW w:w="900" w:type="pct"/>
            <w:vAlign w:val="center"/>
          </w:tcPr>
          <w:p w14:paraId="432BA5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1.13</w:t>
            </w:r>
          </w:p>
        </w:tc>
        <w:tc>
          <w:tcPr>
            <w:tcW w:w="606" w:type="pct"/>
            <w:vAlign w:val="center"/>
          </w:tcPr>
          <w:p w14:paraId="35AD16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w:t>
            </w:r>
          </w:p>
        </w:tc>
        <w:tc>
          <w:tcPr>
            <w:tcW w:w="524" w:type="pct"/>
            <w:vAlign w:val="center"/>
          </w:tcPr>
          <w:p w14:paraId="3A860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达标</w:t>
            </w:r>
          </w:p>
        </w:tc>
      </w:tr>
      <w:tr w14:paraId="56CDC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475" w:type="pct"/>
            <w:vMerge w:val="continue"/>
            <w:vAlign w:val="center"/>
          </w:tcPr>
          <w:p w14:paraId="6FF2B9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597" w:type="pct"/>
            <w:vAlign w:val="center"/>
          </w:tcPr>
          <w:p w14:paraId="3E883A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非甲烷总烃</w:t>
            </w:r>
          </w:p>
        </w:tc>
        <w:tc>
          <w:tcPr>
            <w:tcW w:w="797" w:type="pct"/>
            <w:vAlign w:val="center"/>
          </w:tcPr>
          <w:p w14:paraId="5A6BD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2</w:t>
            </w:r>
          </w:p>
        </w:tc>
        <w:tc>
          <w:tcPr>
            <w:tcW w:w="1098" w:type="pct"/>
            <w:vAlign w:val="center"/>
          </w:tcPr>
          <w:p w14:paraId="6BA728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0.1~0.32</w:t>
            </w:r>
          </w:p>
        </w:tc>
        <w:tc>
          <w:tcPr>
            <w:tcW w:w="900" w:type="pct"/>
            <w:vAlign w:val="center"/>
          </w:tcPr>
          <w:p w14:paraId="44BBE5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16</w:t>
            </w:r>
          </w:p>
        </w:tc>
        <w:tc>
          <w:tcPr>
            <w:tcW w:w="606" w:type="pct"/>
            <w:vAlign w:val="center"/>
          </w:tcPr>
          <w:p w14:paraId="09ABAC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w:t>
            </w:r>
          </w:p>
        </w:tc>
        <w:tc>
          <w:tcPr>
            <w:tcW w:w="524" w:type="pct"/>
            <w:vAlign w:val="center"/>
          </w:tcPr>
          <w:p w14:paraId="4821DB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达标</w:t>
            </w:r>
          </w:p>
        </w:tc>
      </w:tr>
      <w:tr w14:paraId="2440D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5000" w:type="pct"/>
            <w:gridSpan w:val="7"/>
            <w:vAlign w:val="center"/>
          </w:tcPr>
          <w:p w14:paraId="2E42DAA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备注：</w:t>
            </w:r>
            <w:r>
              <w:rPr>
                <w:rFonts w:hint="default" w:ascii="Times New Roman" w:hAnsi="Times New Roman" w:eastAsia="宋体" w:cs="Times New Roman"/>
                <w:color w:val="auto"/>
                <w:sz w:val="21"/>
                <w:szCs w:val="21"/>
                <w:highlight w:val="none"/>
                <w:u w:val="none" w:color="auto"/>
                <w:lang w:val="en-US" w:eastAsia="zh-CN"/>
              </w:rPr>
              <w:t>非甲烷总烃参照执行河北省地表《环境质量标准 非甲烷总烃》（DB13/1577-2012）中二级标准限值</w:t>
            </w:r>
          </w:p>
        </w:tc>
      </w:tr>
    </w:tbl>
    <w:p w14:paraId="3BE036B1">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补充监测，项目所在区域氮氧化物可满足《环境空气质量标准》（GB3095-2012）二级标准，氯化氢、硫酸雾、TVOC可满足《环境影响评价技术导则大气环境》（HJ2.2-2018）附录D相关规定标准值，非甲烷总烃可达到《环境质量标准 非甲烷总烃》（DB13/1577-2012）中二级标准限值。</w:t>
      </w:r>
    </w:p>
    <w:p w14:paraId="2AAEB57C">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67" w:name="_Toc25161"/>
      <w:r>
        <w:rPr>
          <w:rFonts w:hint="default" w:ascii="Times New Roman" w:hAnsi="Times New Roman" w:eastAsia="宋体" w:cs="Times New Roman"/>
          <w:color w:val="auto"/>
          <w:sz w:val="28"/>
          <w:szCs w:val="28"/>
          <w:highlight w:val="none"/>
          <w:u w:val="none" w:color="auto"/>
          <w:lang w:val="en-US" w:eastAsia="zh-CN"/>
        </w:rPr>
        <w:t>6.2地表水环境质量现状调查与评价</w:t>
      </w:r>
      <w:bookmarkEnd w:id="67"/>
    </w:p>
    <w:p w14:paraId="479F92C3">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项目周边湘江环境质量现状调查与评价引用《湖南衡阳松木经济开发区扩区规划（2020-2030）环境影响报告书》中的地表水监测数据，同时本次评价还收集了衡阳市市生态环境局发布的湘江（项目所在区域断面）水环境质量现状。</w:t>
      </w:r>
    </w:p>
    <w:p w14:paraId="02AC93E3">
      <w:pPr>
        <w:spacing w:line="500" w:lineRule="exact"/>
        <w:ind w:firstLine="482" w:firstLineChars="200"/>
        <w:jc w:val="both"/>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（1）《湖南衡阳松木经济开发区扩区规划（2020-2030）环境影响报告书》中的地表水监测数据</w:t>
      </w:r>
    </w:p>
    <w:p w14:paraId="557ACBD2">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①断面布设</w:t>
      </w:r>
    </w:p>
    <w:p w14:paraId="6244A338">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地表水环境质量现状监测断面布设情况及监测因子详见下表。</w:t>
      </w:r>
    </w:p>
    <w:p w14:paraId="7DFF7775">
      <w:pPr>
        <w:pStyle w:val="13"/>
        <w:jc w:val="center"/>
        <w:rPr>
          <w:rFonts w:hint="default" w:ascii="Times New Roman" w:hAnsi="Times New Roman" w:eastAsia="宋体" w:cs="Times New Roman"/>
          <w:b/>
          <w:bCs/>
          <w:i w:val="0"/>
          <w:iCs w:val="0"/>
          <w:color w:val="auto"/>
          <w:sz w:val="21"/>
          <w:szCs w:val="21"/>
          <w:highlight w:val="none"/>
          <w:u w:val="none" w:color="auto"/>
          <w:lang w:eastAsia="zh-CN"/>
        </w:rPr>
      </w:pPr>
      <w:r>
        <w:rPr>
          <w:rFonts w:hint="default" w:ascii="Times New Roman" w:hAnsi="Times New Roman" w:eastAsia="宋体" w:cs="Times New Roman"/>
          <w:b/>
          <w:bCs/>
          <w:i w:val="0"/>
          <w:iCs w:val="0"/>
          <w:color w:val="auto"/>
          <w:sz w:val="21"/>
          <w:szCs w:val="21"/>
          <w:highlight w:val="none"/>
          <w:u w:val="none" w:color="auto"/>
          <w:lang w:eastAsia="zh-CN"/>
        </w:rPr>
        <w:t>表</w:t>
      </w:r>
      <w:r>
        <w:rPr>
          <w:rFonts w:hint="default" w:ascii="Times New Roman" w:hAnsi="Times New Roman" w:eastAsia="宋体" w:cs="Times New Roman"/>
          <w:b/>
          <w:bCs/>
          <w:i w:val="0"/>
          <w:iCs w:val="0"/>
          <w:color w:val="auto"/>
          <w:sz w:val="21"/>
          <w:szCs w:val="21"/>
          <w:highlight w:val="none"/>
          <w:u w:val="none" w:color="auto"/>
          <w:lang w:val="en-US" w:eastAsia="zh-CN"/>
        </w:rPr>
        <w:t xml:space="preserve">6.2-1 </w:t>
      </w:r>
      <w:r>
        <w:rPr>
          <w:rFonts w:hint="default" w:ascii="Times New Roman" w:hAnsi="Times New Roman" w:eastAsia="宋体" w:cs="Times New Roman"/>
          <w:b/>
          <w:bCs/>
          <w:i w:val="0"/>
          <w:iCs w:val="0"/>
          <w:color w:val="auto"/>
          <w:sz w:val="21"/>
          <w:szCs w:val="21"/>
          <w:highlight w:val="none"/>
          <w:u w:val="none" w:color="auto"/>
          <w:lang w:eastAsia="zh-CN"/>
        </w:rPr>
        <w:t>地表水监测断面布设情况一览表</w:t>
      </w:r>
    </w:p>
    <w:tbl>
      <w:tblPr>
        <w:tblStyle w:val="2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3610"/>
        <w:gridCol w:w="2686"/>
        <w:gridCol w:w="1698"/>
      </w:tblGrid>
      <w:tr w14:paraId="05E09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l2br w:val="nil"/>
              <w:tr2bl w:val="nil"/>
            </w:tcBorders>
            <w:vAlign w:val="center"/>
          </w:tcPr>
          <w:p w14:paraId="383231A6">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断面编号</w:t>
            </w:r>
          </w:p>
        </w:tc>
        <w:tc>
          <w:tcPr>
            <w:tcW w:w="1980" w:type="pct"/>
            <w:tcBorders>
              <w:tl2br w:val="nil"/>
              <w:tr2bl w:val="nil"/>
            </w:tcBorders>
            <w:vAlign w:val="center"/>
          </w:tcPr>
          <w:p w14:paraId="6F56F14A">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地表水体</w:t>
            </w:r>
          </w:p>
        </w:tc>
        <w:tc>
          <w:tcPr>
            <w:tcW w:w="1473" w:type="pct"/>
            <w:tcBorders>
              <w:tl2br w:val="nil"/>
              <w:tr2bl w:val="nil"/>
            </w:tcBorders>
            <w:vAlign w:val="center"/>
          </w:tcPr>
          <w:p w14:paraId="597DADDD">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监测因子</w:t>
            </w:r>
          </w:p>
        </w:tc>
        <w:tc>
          <w:tcPr>
            <w:tcW w:w="931" w:type="pct"/>
            <w:tcBorders>
              <w:tl2br w:val="nil"/>
              <w:tr2bl w:val="nil"/>
            </w:tcBorders>
            <w:vAlign w:val="center"/>
          </w:tcPr>
          <w:p w14:paraId="52365D9A">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eastAsia="zh-CN"/>
              </w:rPr>
              <w:t>监测时间</w:t>
            </w:r>
          </w:p>
        </w:tc>
      </w:tr>
      <w:tr w14:paraId="7B9B3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l2br w:val="nil"/>
              <w:tr2bl w:val="nil"/>
            </w:tcBorders>
            <w:vAlign w:val="center"/>
          </w:tcPr>
          <w:p w14:paraId="5BF19B4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W1</w:t>
            </w:r>
          </w:p>
        </w:tc>
        <w:tc>
          <w:tcPr>
            <w:tcW w:w="1980" w:type="pct"/>
            <w:tcBorders>
              <w:tl2br w:val="nil"/>
              <w:tr2bl w:val="nil"/>
            </w:tcBorders>
            <w:vAlign w:val="center"/>
          </w:tcPr>
          <w:p w14:paraId="742550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湘江和栗山港交汇处上游500m</w:t>
            </w:r>
          </w:p>
        </w:tc>
        <w:tc>
          <w:tcPr>
            <w:tcW w:w="1473" w:type="pct"/>
            <w:vMerge w:val="restart"/>
            <w:tcBorders>
              <w:tl2br w:val="nil"/>
              <w:tr2bl w:val="nil"/>
            </w:tcBorders>
            <w:vAlign w:val="center"/>
          </w:tcPr>
          <w:p w14:paraId="170F0396">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eastAsia="zh-CN"/>
              </w:rPr>
              <w:t>pH</w:t>
            </w:r>
            <w:r>
              <w:rPr>
                <w:rFonts w:hint="default" w:ascii="Times New Roman" w:hAnsi="Times New Roman" w:eastAsia="宋体" w:cs="Times New Roman"/>
                <w:color w:val="auto"/>
                <w:kern w:val="0"/>
                <w:sz w:val="21"/>
                <w:szCs w:val="21"/>
                <w:highlight w:val="none"/>
                <w:u w:val="none" w:color="auto"/>
              </w:rPr>
              <w:t>、溶解氧、化学需氧量、BOD</w:t>
            </w:r>
            <w:r>
              <w:rPr>
                <w:rFonts w:hint="default" w:ascii="Times New Roman" w:hAnsi="Times New Roman" w:eastAsia="宋体" w:cs="Times New Roman"/>
                <w:color w:val="auto"/>
                <w:kern w:val="0"/>
                <w:sz w:val="21"/>
                <w:szCs w:val="21"/>
                <w:highlight w:val="none"/>
                <w:u w:val="none" w:color="auto"/>
                <w:vertAlign w:val="subscript"/>
              </w:rPr>
              <w:t>5</w:t>
            </w:r>
            <w:r>
              <w:rPr>
                <w:rFonts w:hint="default" w:ascii="Times New Roman" w:hAnsi="Times New Roman" w:eastAsia="宋体" w:cs="Times New Roman"/>
                <w:color w:val="auto"/>
                <w:kern w:val="0"/>
                <w:sz w:val="21"/>
                <w:szCs w:val="21"/>
                <w:highlight w:val="none"/>
                <w:u w:val="none" w:color="auto"/>
              </w:rPr>
              <w:t>、总磷、NH</w:t>
            </w:r>
            <w:r>
              <w:rPr>
                <w:rFonts w:hint="default" w:ascii="Times New Roman" w:hAnsi="Times New Roman" w:eastAsia="宋体" w:cs="Times New Roman"/>
                <w:color w:val="auto"/>
                <w:kern w:val="0"/>
                <w:sz w:val="21"/>
                <w:szCs w:val="21"/>
                <w:highlight w:val="none"/>
                <w:u w:val="none" w:color="auto"/>
                <w:vertAlign w:val="subscript"/>
              </w:rPr>
              <w:t>3</w:t>
            </w:r>
            <w:r>
              <w:rPr>
                <w:rFonts w:hint="default" w:ascii="Times New Roman" w:hAnsi="Times New Roman" w:eastAsia="宋体" w:cs="Times New Roman"/>
                <w:color w:val="auto"/>
                <w:kern w:val="0"/>
                <w:sz w:val="21"/>
                <w:szCs w:val="21"/>
                <w:highlight w:val="none"/>
                <w:u w:val="none" w:color="auto"/>
              </w:rPr>
              <w:t xml:space="preserve"> -N、石油类、氟化物、硫化物、硫酸盐、挥发酚、铅、砷、镉、铬（六价）、汞、铜、锌、粪大肠菌群、氯化物、镍、铊、氯乙烯</w:t>
            </w:r>
          </w:p>
        </w:tc>
        <w:tc>
          <w:tcPr>
            <w:tcW w:w="931" w:type="pct"/>
            <w:vMerge w:val="restart"/>
            <w:tcBorders>
              <w:tl2br w:val="nil"/>
              <w:tr2bl w:val="nil"/>
            </w:tcBorders>
            <w:vAlign w:val="center"/>
          </w:tcPr>
          <w:p w14:paraId="1D57074B">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2020年1月10日</w:t>
            </w:r>
            <w:r>
              <w:rPr>
                <w:rFonts w:hint="default" w:ascii="Times New Roman" w:hAnsi="Times New Roman" w:eastAsia="宋体"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rPr>
              <w:t>12日</w:t>
            </w:r>
          </w:p>
        </w:tc>
      </w:tr>
      <w:tr w14:paraId="03409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l2br w:val="nil"/>
              <w:tr2bl w:val="nil"/>
            </w:tcBorders>
            <w:vAlign w:val="center"/>
          </w:tcPr>
          <w:p w14:paraId="2383426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W2</w:t>
            </w:r>
          </w:p>
        </w:tc>
        <w:tc>
          <w:tcPr>
            <w:tcW w:w="1980" w:type="pct"/>
            <w:tcBorders>
              <w:tl2br w:val="nil"/>
              <w:tr2bl w:val="nil"/>
            </w:tcBorders>
            <w:vAlign w:val="center"/>
          </w:tcPr>
          <w:p w14:paraId="78BFBDA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建滔取水口上游500m</w:t>
            </w:r>
          </w:p>
        </w:tc>
        <w:tc>
          <w:tcPr>
            <w:tcW w:w="1473" w:type="pct"/>
            <w:vMerge w:val="continue"/>
            <w:tcBorders>
              <w:tl2br w:val="nil"/>
              <w:tr2bl w:val="nil"/>
            </w:tcBorders>
            <w:vAlign w:val="center"/>
          </w:tcPr>
          <w:p w14:paraId="33FA3907">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931" w:type="pct"/>
            <w:vMerge w:val="continue"/>
            <w:tcBorders>
              <w:tl2br w:val="nil"/>
              <w:tr2bl w:val="nil"/>
            </w:tcBorders>
            <w:vAlign w:val="center"/>
          </w:tcPr>
          <w:p w14:paraId="56C97016">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r>
      <w:tr w14:paraId="5395B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l2br w:val="nil"/>
              <w:tr2bl w:val="nil"/>
            </w:tcBorders>
            <w:vAlign w:val="center"/>
          </w:tcPr>
          <w:p w14:paraId="6C90805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W3</w:t>
            </w:r>
          </w:p>
        </w:tc>
        <w:tc>
          <w:tcPr>
            <w:tcW w:w="1980" w:type="pct"/>
            <w:tcBorders>
              <w:tl2br w:val="nil"/>
              <w:tr2bl w:val="nil"/>
            </w:tcBorders>
            <w:vAlign w:val="center"/>
          </w:tcPr>
          <w:p w14:paraId="3238FF5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松木污水处理排放口上游500m</w:t>
            </w:r>
          </w:p>
        </w:tc>
        <w:tc>
          <w:tcPr>
            <w:tcW w:w="1473" w:type="pct"/>
            <w:vMerge w:val="continue"/>
            <w:tcBorders>
              <w:tl2br w:val="nil"/>
              <w:tr2bl w:val="nil"/>
            </w:tcBorders>
            <w:vAlign w:val="center"/>
          </w:tcPr>
          <w:p w14:paraId="315C23B9">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931" w:type="pct"/>
            <w:vMerge w:val="continue"/>
            <w:tcBorders>
              <w:tl2br w:val="nil"/>
              <w:tr2bl w:val="nil"/>
            </w:tcBorders>
            <w:vAlign w:val="center"/>
          </w:tcPr>
          <w:p w14:paraId="697EFC62">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r>
      <w:tr w14:paraId="5D2EC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l2br w:val="nil"/>
              <w:tr2bl w:val="nil"/>
            </w:tcBorders>
            <w:vAlign w:val="center"/>
          </w:tcPr>
          <w:p w14:paraId="5D583DD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W4</w:t>
            </w:r>
          </w:p>
        </w:tc>
        <w:tc>
          <w:tcPr>
            <w:tcW w:w="1980" w:type="pct"/>
            <w:tcBorders>
              <w:tl2br w:val="nil"/>
              <w:tr2bl w:val="nil"/>
            </w:tcBorders>
            <w:vAlign w:val="center"/>
          </w:tcPr>
          <w:p w14:paraId="3CCDE61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松木污水处理排放口下游500m</w:t>
            </w:r>
          </w:p>
        </w:tc>
        <w:tc>
          <w:tcPr>
            <w:tcW w:w="1473" w:type="pct"/>
            <w:vMerge w:val="continue"/>
            <w:tcBorders>
              <w:tl2br w:val="nil"/>
              <w:tr2bl w:val="nil"/>
            </w:tcBorders>
            <w:vAlign w:val="center"/>
          </w:tcPr>
          <w:p w14:paraId="787DC534">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931" w:type="pct"/>
            <w:vMerge w:val="continue"/>
            <w:tcBorders>
              <w:tl2br w:val="nil"/>
              <w:tr2bl w:val="nil"/>
            </w:tcBorders>
            <w:vAlign w:val="center"/>
          </w:tcPr>
          <w:p w14:paraId="65166D49">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r>
      <w:tr w14:paraId="120FC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l2br w:val="nil"/>
              <w:tr2bl w:val="nil"/>
            </w:tcBorders>
            <w:vAlign w:val="center"/>
          </w:tcPr>
          <w:p w14:paraId="3D36AAB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W5</w:t>
            </w:r>
          </w:p>
        </w:tc>
        <w:tc>
          <w:tcPr>
            <w:tcW w:w="1980" w:type="pct"/>
            <w:tcBorders>
              <w:tl2br w:val="nil"/>
              <w:tr2bl w:val="nil"/>
            </w:tcBorders>
            <w:vAlign w:val="center"/>
          </w:tcPr>
          <w:p w14:paraId="54B0F82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松木污水处理厂排放口下游3000m</w:t>
            </w:r>
          </w:p>
        </w:tc>
        <w:tc>
          <w:tcPr>
            <w:tcW w:w="1473" w:type="pct"/>
            <w:vMerge w:val="continue"/>
            <w:tcBorders>
              <w:tl2br w:val="nil"/>
              <w:tr2bl w:val="nil"/>
            </w:tcBorders>
            <w:vAlign w:val="center"/>
          </w:tcPr>
          <w:p w14:paraId="4EC9B4A4">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931" w:type="pct"/>
            <w:vMerge w:val="continue"/>
            <w:tcBorders>
              <w:tl2br w:val="nil"/>
              <w:tr2bl w:val="nil"/>
            </w:tcBorders>
            <w:vAlign w:val="center"/>
          </w:tcPr>
          <w:p w14:paraId="59673D7F">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r>
      <w:tr w14:paraId="24D02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14" w:type="pct"/>
            <w:tcBorders>
              <w:tl2br w:val="nil"/>
              <w:tr2bl w:val="nil"/>
            </w:tcBorders>
            <w:vAlign w:val="center"/>
          </w:tcPr>
          <w:p w14:paraId="42BAEA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W6</w:t>
            </w:r>
          </w:p>
        </w:tc>
        <w:tc>
          <w:tcPr>
            <w:tcW w:w="1980" w:type="pct"/>
            <w:tcBorders>
              <w:tl2br w:val="nil"/>
              <w:tr2bl w:val="nil"/>
            </w:tcBorders>
            <w:vAlign w:val="center"/>
          </w:tcPr>
          <w:p w14:paraId="6A09BB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栗山港入湘江口上游200m</w:t>
            </w:r>
          </w:p>
        </w:tc>
        <w:tc>
          <w:tcPr>
            <w:tcW w:w="1473" w:type="pct"/>
            <w:vMerge w:val="continue"/>
            <w:tcBorders>
              <w:tl2br w:val="nil"/>
              <w:tr2bl w:val="nil"/>
            </w:tcBorders>
            <w:vAlign w:val="center"/>
          </w:tcPr>
          <w:p w14:paraId="6D376141">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931" w:type="pct"/>
            <w:vMerge w:val="restart"/>
            <w:tcBorders>
              <w:tl2br w:val="nil"/>
              <w:tr2bl w:val="nil"/>
            </w:tcBorders>
            <w:vAlign w:val="center"/>
          </w:tcPr>
          <w:p w14:paraId="117C8AE4">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2021年7月7日~9日</w:t>
            </w:r>
          </w:p>
        </w:tc>
      </w:tr>
      <w:tr w14:paraId="72B53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l2br w:val="nil"/>
              <w:tr2bl w:val="nil"/>
            </w:tcBorders>
            <w:vAlign w:val="center"/>
          </w:tcPr>
          <w:p w14:paraId="05B238A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W7</w:t>
            </w:r>
          </w:p>
        </w:tc>
        <w:tc>
          <w:tcPr>
            <w:tcW w:w="1980" w:type="pct"/>
            <w:tcBorders>
              <w:tl2br w:val="nil"/>
              <w:tr2bl w:val="nil"/>
            </w:tcBorders>
            <w:vAlign w:val="center"/>
          </w:tcPr>
          <w:p w14:paraId="3DE374F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栗山港入湘江口上游1500m</w:t>
            </w:r>
          </w:p>
        </w:tc>
        <w:tc>
          <w:tcPr>
            <w:tcW w:w="1473" w:type="pct"/>
            <w:vMerge w:val="continue"/>
            <w:tcBorders>
              <w:tl2br w:val="nil"/>
              <w:tr2bl w:val="nil"/>
            </w:tcBorders>
            <w:vAlign w:val="center"/>
          </w:tcPr>
          <w:p w14:paraId="01F21DAF">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931" w:type="pct"/>
            <w:vMerge w:val="continue"/>
            <w:tcBorders>
              <w:tl2br w:val="nil"/>
              <w:tr2bl w:val="nil"/>
            </w:tcBorders>
            <w:vAlign w:val="center"/>
          </w:tcPr>
          <w:p w14:paraId="3F67FFB6">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r>
      <w:tr w14:paraId="65608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4" w:type="pct"/>
            <w:tcBorders>
              <w:tl2br w:val="nil"/>
              <w:tr2bl w:val="nil"/>
            </w:tcBorders>
            <w:vAlign w:val="center"/>
          </w:tcPr>
          <w:p w14:paraId="22766A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W8</w:t>
            </w:r>
          </w:p>
        </w:tc>
        <w:tc>
          <w:tcPr>
            <w:tcW w:w="1980" w:type="pct"/>
            <w:tcBorders>
              <w:tl2br w:val="nil"/>
              <w:tr2bl w:val="nil"/>
            </w:tcBorders>
            <w:vAlign w:val="center"/>
          </w:tcPr>
          <w:p w14:paraId="4C962D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湘江和栗山港交汇口</w:t>
            </w:r>
          </w:p>
        </w:tc>
        <w:tc>
          <w:tcPr>
            <w:tcW w:w="1473" w:type="pct"/>
            <w:vMerge w:val="continue"/>
            <w:tcBorders>
              <w:tl2br w:val="nil"/>
              <w:tr2bl w:val="nil"/>
            </w:tcBorders>
            <w:vAlign w:val="center"/>
          </w:tcPr>
          <w:p w14:paraId="5C7087AF">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931" w:type="pct"/>
            <w:tcBorders>
              <w:tl2br w:val="nil"/>
              <w:tr2bl w:val="nil"/>
            </w:tcBorders>
            <w:vAlign w:val="center"/>
          </w:tcPr>
          <w:p w14:paraId="7053C58F">
            <w:pPr>
              <w:widowControl/>
              <w:overflowPunct w:val="0"/>
              <w:adjustRightInd w:val="0"/>
              <w:snapToGri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2020年1月10日</w:t>
            </w:r>
            <w:r>
              <w:rPr>
                <w:rFonts w:hint="default" w:ascii="Times New Roman" w:hAnsi="Times New Roman" w:eastAsia="宋体"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rPr>
              <w:t>12日</w:t>
            </w:r>
          </w:p>
        </w:tc>
      </w:tr>
    </w:tbl>
    <w:p w14:paraId="05B9AD03">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②监测频率</w:t>
      </w:r>
    </w:p>
    <w:p w14:paraId="46E23D9F">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连续三天、每天采样1次。</w:t>
      </w:r>
    </w:p>
    <w:p w14:paraId="75ACD71A">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③监测结果</w:t>
      </w:r>
    </w:p>
    <w:p w14:paraId="6EE8C09D">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sectPr>
          <w:pgSz w:w="11906" w:h="16838"/>
          <w:pgMar w:top="1440" w:right="1502" w:bottom="1440" w:left="1502" w:header="851" w:footer="680" w:gutter="0"/>
          <w:pgBorders>
            <w:top w:val="none" w:sz="0" w:space="0"/>
            <w:left w:val="none" w:sz="0" w:space="0"/>
            <w:bottom w:val="none" w:sz="0" w:space="0"/>
            <w:right w:val="none" w:sz="0" w:space="0"/>
          </w:pgBorders>
          <w:cols w:space="425" w:num="1"/>
          <w:docGrid w:type="lines" w:linePitch="326" w:charSpace="0"/>
        </w:sectPr>
      </w:pPr>
      <w:r>
        <w:rPr>
          <w:rFonts w:hint="default" w:ascii="Times New Roman" w:hAnsi="Times New Roman" w:eastAsia="宋体" w:cs="Times New Roman"/>
          <w:color w:val="auto"/>
          <w:sz w:val="24"/>
          <w:szCs w:val="24"/>
          <w:highlight w:val="none"/>
          <w:u w:val="none" w:color="auto"/>
          <w:lang w:val="en-US" w:eastAsia="zh-CN"/>
        </w:rPr>
        <w:t>监测结果见表6.2-2。</w:t>
      </w:r>
    </w:p>
    <w:p w14:paraId="765680F3">
      <w:pPr>
        <w:pStyle w:val="13"/>
        <w:jc w:val="center"/>
        <w:rPr>
          <w:rFonts w:hint="default" w:ascii="Times New Roman" w:hAnsi="Times New Roman" w:eastAsia="宋体" w:cs="Times New Roman"/>
          <w:b/>
          <w:bCs/>
          <w:i w:val="0"/>
          <w:iCs w:val="0"/>
          <w:color w:val="auto"/>
          <w:sz w:val="21"/>
          <w:szCs w:val="21"/>
          <w:highlight w:val="none"/>
          <w:u w:val="none" w:color="auto"/>
          <w:lang w:eastAsia="zh-CN"/>
        </w:rPr>
      </w:pPr>
      <w:r>
        <w:rPr>
          <w:rFonts w:hint="default" w:ascii="Times New Roman" w:hAnsi="Times New Roman" w:eastAsia="宋体" w:cs="Times New Roman"/>
          <w:b/>
          <w:bCs/>
          <w:i w:val="0"/>
          <w:iCs w:val="0"/>
          <w:color w:val="auto"/>
          <w:sz w:val="21"/>
          <w:szCs w:val="21"/>
          <w:highlight w:val="none"/>
          <w:u w:val="none" w:color="auto"/>
          <w:lang w:eastAsia="zh-CN"/>
        </w:rPr>
        <w:t>表6.2-2（1）  地表水监测与评价结果一览表</w:t>
      </w: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784"/>
        <w:gridCol w:w="1034"/>
        <w:gridCol w:w="2020"/>
        <w:gridCol w:w="2020"/>
        <w:gridCol w:w="2020"/>
        <w:gridCol w:w="1158"/>
        <w:gridCol w:w="964"/>
        <w:gridCol w:w="1554"/>
      </w:tblGrid>
      <w:tr w14:paraId="323485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restart"/>
            <w:tcBorders>
              <w:top w:val="single" w:color="auto" w:sz="12" w:space="0"/>
              <w:left w:val="single" w:color="auto" w:sz="12" w:space="0"/>
            </w:tcBorders>
            <w:vAlign w:val="center"/>
          </w:tcPr>
          <w:p w14:paraId="3828ED9B">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监测点位</w:t>
            </w:r>
          </w:p>
        </w:tc>
        <w:tc>
          <w:tcPr>
            <w:tcW w:w="635" w:type="pct"/>
            <w:vMerge w:val="restart"/>
            <w:tcBorders>
              <w:top w:val="single" w:color="auto" w:sz="12" w:space="0"/>
              <w:left w:val="single" w:color="auto" w:sz="4" w:space="0"/>
            </w:tcBorders>
            <w:vAlign w:val="center"/>
          </w:tcPr>
          <w:p w14:paraId="5340E636">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监测项目</w:t>
            </w:r>
          </w:p>
        </w:tc>
        <w:tc>
          <w:tcPr>
            <w:tcW w:w="368" w:type="pct"/>
            <w:vMerge w:val="restart"/>
            <w:tcBorders>
              <w:top w:val="single" w:color="auto" w:sz="12" w:space="0"/>
              <w:left w:val="single" w:color="auto" w:sz="4" w:space="0"/>
            </w:tcBorders>
            <w:vAlign w:val="center"/>
          </w:tcPr>
          <w:p w14:paraId="4C44C976">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单位</w:t>
            </w:r>
          </w:p>
        </w:tc>
        <w:tc>
          <w:tcPr>
            <w:tcW w:w="2157" w:type="pct"/>
            <w:gridSpan w:val="3"/>
            <w:tcBorders>
              <w:top w:val="single" w:color="auto" w:sz="12" w:space="0"/>
              <w:right w:val="single" w:color="auto" w:sz="4" w:space="0"/>
            </w:tcBorders>
            <w:vAlign w:val="center"/>
          </w:tcPr>
          <w:p w14:paraId="245A1C9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监测时间及监测结果</w:t>
            </w:r>
          </w:p>
        </w:tc>
        <w:tc>
          <w:tcPr>
            <w:tcW w:w="412" w:type="pct"/>
            <w:vMerge w:val="restart"/>
            <w:tcBorders>
              <w:top w:val="single" w:color="auto" w:sz="12" w:space="0"/>
              <w:right w:val="single" w:color="auto" w:sz="4" w:space="0"/>
            </w:tcBorders>
            <w:vAlign w:val="center"/>
          </w:tcPr>
          <w:p w14:paraId="58D91BA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执行标准</w:t>
            </w:r>
          </w:p>
        </w:tc>
        <w:tc>
          <w:tcPr>
            <w:tcW w:w="343" w:type="pct"/>
            <w:vMerge w:val="restart"/>
            <w:tcBorders>
              <w:top w:val="single" w:color="auto" w:sz="12" w:space="0"/>
              <w:right w:val="single" w:color="auto" w:sz="4" w:space="0"/>
            </w:tcBorders>
            <w:vAlign w:val="center"/>
          </w:tcPr>
          <w:p w14:paraId="256EB27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超标率（%）</w:t>
            </w:r>
          </w:p>
        </w:tc>
        <w:tc>
          <w:tcPr>
            <w:tcW w:w="553" w:type="pct"/>
            <w:vMerge w:val="restart"/>
            <w:tcBorders>
              <w:top w:val="single" w:color="auto" w:sz="12" w:space="0"/>
              <w:right w:val="single" w:color="auto" w:sz="12" w:space="0"/>
            </w:tcBorders>
            <w:vAlign w:val="center"/>
          </w:tcPr>
          <w:p w14:paraId="41233E1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最大超标倍数</w:t>
            </w:r>
          </w:p>
        </w:tc>
      </w:tr>
      <w:tr w14:paraId="0A8E88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continue"/>
            <w:tcBorders>
              <w:left w:val="single" w:color="auto" w:sz="12" w:space="0"/>
            </w:tcBorders>
            <w:vAlign w:val="center"/>
          </w:tcPr>
          <w:p w14:paraId="69AAADEB">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635" w:type="pct"/>
            <w:vMerge w:val="continue"/>
            <w:tcBorders>
              <w:left w:val="single" w:color="auto" w:sz="4" w:space="0"/>
            </w:tcBorders>
            <w:vAlign w:val="center"/>
          </w:tcPr>
          <w:p w14:paraId="76B541BF">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68" w:type="pct"/>
            <w:vMerge w:val="continue"/>
            <w:tcBorders>
              <w:left w:val="single" w:color="auto" w:sz="4" w:space="0"/>
            </w:tcBorders>
            <w:vAlign w:val="center"/>
          </w:tcPr>
          <w:p w14:paraId="74E0F1D0">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719" w:type="pct"/>
            <w:tcBorders>
              <w:top w:val="single" w:color="auto" w:sz="4" w:space="0"/>
            </w:tcBorders>
            <w:vAlign w:val="center"/>
          </w:tcPr>
          <w:p w14:paraId="64444E77">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2020年1月10日</w:t>
            </w:r>
          </w:p>
        </w:tc>
        <w:tc>
          <w:tcPr>
            <w:tcW w:w="719" w:type="pct"/>
            <w:tcBorders>
              <w:top w:val="single" w:color="auto" w:sz="4" w:space="0"/>
              <w:right w:val="single" w:color="auto" w:sz="4" w:space="0"/>
            </w:tcBorders>
            <w:vAlign w:val="center"/>
          </w:tcPr>
          <w:p w14:paraId="272F9AA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2020年1月11日</w:t>
            </w:r>
          </w:p>
        </w:tc>
        <w:tc>
          <w:tcPr>
            <w:tcW w:w="719" w:type="pct"/>
            <w:tcBorders>
              <w:top w:val="single" w:color="auto" w:sz="4" w:space="0"/>
              <w:right w:val="single" w:color="auto" w:sz="4" w:space="0"/>
            </w:tcBorders>
            <w:vAlign w:val="center"/>
          </w:tcPr>
          <w:p w14:paraId="13B3B28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2020年1月12日</w:t>
            </w:r>
          </w:p>
        </w:tc>
        <w:tc>
          <w:tcPr>
            <w:tcW w:w="412" w:type="pct"/>
            <w:vMerge w:val="continue"/>
            <w:tcBorders>
              <w:right w:val="single" w:color="auto" w:sz="4" w:space="0"/>
            </w:tcBorders>
            <w:vAlign w:val="center"/>
          </w:tcPr>
          <w:p w14:paraId="15B29827">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43" w:type="pct"/>
            <w:vMerge w:val="continue"/>
            <w:tcBorders>
              <w:right w:val="single" w:color="auto" w:sz="4" w:space="0"/>
            </w:tcBorders>
            <w:vAlign w:val="center"/>
          </w:tcPr>
          <w:p w14:paraId="65E0F5AF">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553" w:type="pct"/>
            <w:vMerge w:val="continue"/>
            <w:tcBorders>
              <w:right w:val="single" w:color="auto" w:sz="12" w:space="0"/>
            </w:tcBorders>
            <w:vAlign w:val="center"/>
          </w:tcPr>
          <w:p w14:paraId="533F441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6DC7ED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restart"/>
            <w:tcBorders>
              <w:left w:val="single" w:color="auto" w:sz="12" w:space="0"/>
            </w:tcBorders>
            <w:vAlign w:val="center"/>
          </w:tcPr>
          <w:p w14:paraId="4747E63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W1</w:t>
            </w:r>
          </w:p>
          <w:p w14:paraId="5A4D169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湘江和栗山港交汇处上游500m</w:t>
            </w:r>
          </w:p>
        </w:tc>
        <w:tc>
          <w:tcPr>
            <w:tcW w:w="635" w:type="pct"/>
            <w:tcBorders>
              <w:left w:val="single" w:color="auto" w:sz="4" w:space="0"/>
            </w:tcBorders>
            <w:vAlign w:val="center"/>
          </w:tcPr>
          <w:p w14:paraId="426995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pH</w:t>
            </w:r>
          </w:p>
        </w:tc>
        <w:tc>
          <w:tcPr>
            <w:tcW w:w="368" w:type="pct"/>
            <w:tcBorders>
              <w:left w:val="single" w:color="auto" w:sz="4" w:space="0"/>
            </w:tcBorders>
            <w:vAlign w:val="center"/>
          </w:tcPr>
          <w:p w14:paraId="1F3110A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无量纲</w:t>
            </w:r>
          </w:p>
        </w:tc>
        <w:tc>
          <w:tcPr>
            <w:tcW w:w="719" w:type="pct"/>
            <w:vAlign w:val="center"/>
          </w:tcPr>
          <w:p w14:paraId="1998907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7.45</w:t>
            </w:r>
          </w:p>
        </w:tc>
        <w:tc>
          <w:tcPr>
            <w:tcW w:w="719" w:type="pct"/>
            <w:tcBorders>
              <w:right w:val="single" w:color="auto" w:sz="4" w:space="0"/>
            </w:tcBorders>
            <w:vAlign w:val="center"/>
          </w:tcPr>
          <w:p w14:paraId="5CAB4288">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7.88</w:t>
            </w:r>
          </w:p>
        </w:tc>
        <w:tc>
          <w:tcPr>
            <w:tcW w:w="719" w:type="pct"/>
            <w:tcBorders>
              <w:right w:val="single" w:color="auto" w:sz="4" w:space="0"/>
            </w:tcBorders>
            <w:vAlign w:val="center"/>
          </w:tcPr>
          <w:p w14:paraId="7E7876FB">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7.53</w:t>
            </w:r>
          </w:p>
        </w:tc>
        <w:tc>
          <w:tcPr>
            <w:tcW w:w="412" w:type="pct"/>
            <w:tcBorders>
              <w:right w:val="single" w:color="auto" w:sz="4" w:space="0"/>
            </w:tcBorders>
            <w:vAlign w:val="center"/>
          </w:tcPr>
          <w:p w14:paraId="1BB5F4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343" w:type="pct"/>
            <w:tcBorders>
              <w:right w:val="single" w:color="auto" w:sz="4" w:space="0"/>
            </w:tcBorders>
            <w:vAlign w:val="center"/>
          </w:tcPr>
          <w:p w14:paraId="0BAA307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546C84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2E1EF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858F69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013800F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溶解氧</w:t>
            </w:r>
          </w:p>
        </w:tc>
        <w:tc>
          <w:tcPr>
            <w:tcW w:w="368" w:type="pct"/>
            <w:tcBorders>
              <w:left w:val="single" w:color="auto" w:sz="4" w:space="0"/>
            </w:tcBorders>
            <w:vAlign w:val="center"/>
          </w:tcPr>
          <w:p w14:paraId="215212E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vAlign w:val="center"/>
          </w:tcPr>
          <w:p w14:paraId="3684B56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7.03</w:t>
            </w:r>
          </w:p>
        </w:tc>
        <w:tc>
          <w:tcPr>
            <w:tcW w:w="719" w:type="pct"/>
            <w:tcBorders>
              <w:right w:val="single" w:color="auto" w:sz="4" w:space="0"/>
            </w:tcBorders>
            <w:vAlign w:val="center"/>
          </w:tcPr>
          <w:p w14:paraId="08594085">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7.49</w:t>
            </w:r>
          </w:p>
        </w:tc>
        <w:tc>
          <w:tcPr>
            <w:tcW w:w="719" w:type="pct"/>
            <w:tcBorders>
              <w:right w:val="single" w:color="auto" w:sz="4" w:space="0"/>
            </w:tcBorders>
            <w:vAlign w:val="center"/>
          </w:tcPr>
          <w:p w14:paraId="7408C03F">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7.15</w:t>
            </w:r>
          </w:p>
        </w:tc>
        <w:tc>
          <w:tcPr>
            <w:tcW w:w="412" w:type="pct"/>
            <w:tcBorders>
              <w:right w:val="single" w:color="auto" w:sz="4" w:space="0"/>
            </w:tcBorders>
            <w:vAlign w:val="center"/>
          </w:tcPr>
          <w:p w14:paraId="694AAB2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343" w:type="pct"/>
            <w:tcBorders>
              <w:right w:val="single" w:color="auto" w:sz="4" w:space="0"/>
            </w:tcBorders>
            <w:vAlign w:val="center"/>
          </w:tcPr>
          <w:p w14:paraId="0E2DD9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6B3BCE5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AC55A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532" w:type="pct"/>
            <w:vMerge w:val="continue"/>
            <w:tcBorders>
              <w:left w:val="single" w:color="auto" w:sz="12" w:space="0"/>
            </w:tcBorders>
            <w:vAlign w:val="center"/>
          </w:tcPr>
          <w:p w14:paraId="38F998E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21CE430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水温</w:t>
            </w:r>
          </w:p>
        </w:tc>
        <w:tc>
          <w:tcPr>
            <w:tcW w:w="368" w:type="pct"/>
            <w:tcBorders>
              <w:left w:val="single" w:color="auto" w:sz="4" w:space="0"/>
            </w:tcBorders>
            <w:vAlign w:val="center"/>
          </w:tcPr>
          <w:p w14:paraId="6B99F60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719" w:type="pct"/>
            <w:vAlign w:val="center"/>
          </w:tcPr>
          <w:p w14:paraId="141ADF9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7.6</w:t>
            </w:r>
          </w:p>
        </w:tc>
        <w:tc>
          <w:tcPr>
            <w:tcW w:w="719" w:type="pct"/>
            <w:tcBorders>
              <w:right w:val="single" w:color="auto" w:sz="4" w:space="0"/>
            </w:tcBorders>
            <w:vAlign w:val="center"/>
          </w:tcPr>
          <w:p w14:paraId="60A3C54C">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8.2</w:t>
            </w:r>
          </w:p>
        </w:tc>
        <w:tc>
          <w:tcPr>
            <w:tcW w:w="719" w:type="pct"/>
            <w:tcBorders>
              <w:right w:val="single" w:color="auto" w:sz="4" w:space="0"/>
            </w:tcBorders>
            <w:vAlign w:val="center"/>
          </w:tcPr>
          <w:p w14:paraId="0571AA24">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w:t>
            </w:r>
          </w:p>
        </w:tc>
        <w:tc>
          <w:tcPr>
            <w:tcW w:w="412" w:type="pct"/>
            <w:tcBorders>
              <w:right w:val="single" w:color="auto" w:sz="4" w:space="0"/>
            </w:tcBorders>
            <w:vAlign w:val="center"/>
          </w:tcPr>
          <w:p w14:paraId="6A14973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343" w:type="pct"/>
            <w:tcBorders>
              <w:right w:val="single" w:color="auto" w:sz="4" w:space="0"/>
            </w:tcBorders>
            <w:vAlign w:val="center"/>
          </w:tcPr>
          <w:p w14:paraId="767E14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570383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43FCE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F32349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0F10BDC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368" w:type="pct"/>
            <w:tcBorders>
              <w:left w:val="single" w:color="auto" w:sz="4" w:space="0"/>
              <w:bottom w:val="single" w:color="000000" w:sz="4" w:space="0"/>
            </w:tcBorders>
            <w:vAlign w:val="center"/>
          </w:tcPr>
          <w:p w14:paraId="38CBF2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vAlign w:val="center"/>
          </w:tcPr>
          <w:p w14:paraId="7D27F85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w:t>
            </w:r>
          </w:p>
        </w:tc>
        <w:tc>
          <w:tcPr>
            <w:tcW w:w="719" w:type="pct"/>
            <w:tcBorders>
              <w:right w:val="single" w:color="auto" w:sz="4" w:space="0"/>
            </w:tcBorders>
            <w:vAlign w:val="center"/>
          </w:tcPr>
          <w:p w14:paraId="259999A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w:t>
            </w:r>
          </w:p>
        </w:tc>
        <w:tc>
          <w:tcPr>
            <w:tcW w:w="719" w:type="pct"/>
            <w:tcBorders>
              <w:right w:val="single" w:color="auto" w:sz="4" w:space="0"/>
            </w:tcBorders>
            <w:vAlign w:val="center"/>
          </w:tcPr>
          <w:p w14:paraId="682676C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412" w:type="pct"/>
            <w:tcBorders>
              <w:right w:val="single" w:color="auto" w:sz="4" w:space="0"/>
            </w:tcBorders>
            <w:vAlign w:val="center"/>
          </w:tcPr>
          <w:p w14:paraId="5740B9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343" w:type="pct"/>
            <w:tcBorders>
              <w:right w:val="single" w:color="auto" w:sz="4" w:space="0"/>
            </w:tcBorders>
            <w:vAlign w:val="center"/>
          </w:tcPr>
          <w:p w14:paraId="05E22E5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446034E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5009F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02D0E0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5684A1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五日生化需氧量</w:t>
            </w:r>
          </w:p>
        </w:tc>
        <w:tc>
          <w:tcPr>
            <w:tcW w:w="368" w:type="pct"/>
            <w:tcBorders>
              <w:top w:val="single" w:color="000000" w:sz="4" w:space="0"/>
              <w:left w:val="single" w:color="auto" w:sz="4" w:space="0"/>
            </w:tcBorders>
            <w:vAlign w:val="center"/>
          </w:tcPr>
          <w:p w14:paraId="76EABD1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vAlign w:val="center"/>
          </w:tcPr>
          <w:p w14:paraId="1A69DAC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1.8</w:t>
            </w:r>
          </w:p>
        </w:tc>
        <w:tc>
          <w:tcPr>
            <w:tcW w:w="719" w:type="pct"/>
            <w:tcBorders>
              <w:right w:val="single" w:color="auto" w:sz="4" w:space="0"/>
            </w:tcBorders>
            <w:vAlign w:val="center"/>
          </w:tcPr>
          <w:p w14:paraId="76715FB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1.9</w:t>
            </w:r>
          </w:p>
        </w:tc>
        <w:tc>
          <w:tcPr>
            <w:tcW w:w="719" w:type="pct"/>
            <w:tcBorders>
              <w:right w:val="single" w:color="auto" w:sz="4" w:space="0"/>
            </w:tcBorders>
            <w:vAlign w:val="center"/>
          </w:tcPr>
          <w:p w14:paraId="7A6C5A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w:t>
            </w:r>
          </w:p>
        </w:tc>
        <w:tc>
          <w:tcPr>
            <w:tcW w:w="412" w:type="pct"/>
            <w:tcBorders>
              <w:right w:val="single" w:color="auto" w:sz="4" w:space="0"/>
            </w:tcBorders>
            <w:vAlign w:val="center"/>
          </w:tcPr>
          <w:p w14:paraId="72B5248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343" w:type="pct"/>
            <w:tcBorders>
              <w:right w:val="single" w:color="auto" w:sz="4" w:space="0"/>
            </w:tcBorders>
            <w:vAlign w:val="center"/>
          </w:tcPr>
          <w:p w14:paraId="75F341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2C7FD0A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518D3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AE16FC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45F4F66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总磷</w:t>
            </w:r>
          </w:p>
        </w:tc>
        <w:tc>
          <w:tcPr>
            <w:tcW w:w="368" w:type="pct"/>
            <w:tcBorders>
              <w:left w:val="single" w:color="auto" w:sz="4" w:space="0"/>
            </w:tcBorders>
            <w:vAlign w:val="center"/>
          </w:tcPr>
          <w:p w14:paraId="6F8872F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vAlign w:val="center"/>
          </w:tcPr>
          <w:p w14:paraId="7858F0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719" w:type="pct"/>
            <w:tcBorders>
              <w:right w:val="single" w:color="auto" w:sz="4" w:space="0"/>
            </w:tcBorders>
            <w:vAlign w:val="center"/>
          </w:tcPr>
          <w:p w14:paraId="749F113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719" w:type="pct"/>
            <w:tcBorders>
              <w:right w:val="single" w:color="auto" w:sz="4" w:space="0"/>
            </w:tcBorders>
            <w:vAlign w:val="center"/>
          </w:tcPr>
          <w:p w14:paraId="06AAAC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412" w:type="pct"/>
            <w:tcBorders>
              <w:right w:val="single" w:color="auto" w:sz="4" w:space="0"/>
            </w:tcBorders>
            <w:vAlign w:val="center"/>
          </w:tcPr>
          <w:p w14:paraId="64D4C7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43" w:type="pct"/>
            <w:tcBorders>
              <w:right w:val="single" w:color="auto" w:sz="4" w:space="0"/>
            </w:tcBorders>
            <w:vAlign w:val="center"/>
          </w:tcPr>
          <w:p w14:paraId="2FB9AE6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086438B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781BE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3916D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402923C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368" w:type="pct"/>
            <w:tcBorders>
              <w:left w:val="single" w:color="auto" w:sz="4" w:space="0"/>
              <w:bottom w:val="single" w:color="auto" w:sz="4" w:space="0"/>
            </w:tcBorders>
            <w:vAlign w:val="center"/>
          </w:tcPr>
          <w:p w14:paraId="5994DDA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vAlign w:val="center"/>
          </w:tcPr>
          <w:p w14:paraId="66AC47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0.358</w:t>
            </w:r>
          </w:p>
        </w:tc>
        <w:tc>
          <w:tcPr>
            <w:tcW w:w="719" w:type="pct"/>
            <w:tcBorders>
              <w:right w:val="single" w:color="auto" w:sz="4" w:space="0"/>
            </w:tcBorders>
            <w:vAlign w:val="center"/>
          </w:tcPr>
          <w:p w14:paraId="7A7B70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0.367</w:t>
            </w:r>
          </w:p>
        </w:tc>
        <w:tc>
          <w:tcPr>
            <w:tcW w:w="719" w:type="pct"/>
            <w:tcBorders>
              <w:right w:val="single" w:color="auto" w:sz="4" w:space="0"/>
            </w:tcBorders>
            <w:vAlign w:val="center"/>
          </w:tcPr>
          <w:p w14:paraId="394EC0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0.370</w:t>
            </w:r>
          </w:p>
        </w:tc>
        <w:tc>
          <w:tcPr>
            <w:tcW w:w="412" w:type="pct"/>
            <w:tcBorders>
              <w:right w:val="single" w:color="auto" w:sz="4" w:space="0"/>
            </w:tcBorders>
            <w:vAlign w:val="center"/>
          </w:tcPr>
          <w:p w14:paraId="5D44634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43" w:type="pct"/>
            <w:tcBorders>
              <w:right w:val="single" w:color="auto" w:sz="4" w:space="0"/>
            </w:tcBorders>
            <w:vAlign w:val="center"/>
          </w:tcPr>
          <w:p w14:paraId="5452BE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5A4071A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E6575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99F43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776EB9F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w:t>
            </w:r>
          </w:p>
        </w:tc>
        <w:tc>
          <w:tcPr>
            <w:tcW w:w="368" w:type="pct"/>
            <w:tcBorders>
              <w:left w:val="single" w:color="auto" w:sz="4" w:space="0"/>
              <w:bottom w:val="single" w:color="000000" w:sz="4" w:space="0"/>
            </w:tcBorders>
            <w:vAlign w:val="center"/>
          </w:tcPr>
          <w:p w14:paraId="53895D6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Borders>
              <w:bottom w:val="single" w:color="auto" w:sz="4" w:space="0"/>
            </w:tcBorders>
            <w:vAlign w:val="center"/>
          </w:tcPr>
          <w:p w14:paraId="7CC99A7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right w:val="single" w:color="auto" w:sz="4" w:space="0"/>
            </w:tcBorders>
            <w:vAlign w:val="center"/>
          </w:tcPr>
          <w:p w14:paraId="7173475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right w:val="single" w:color="auto" w:sz="4" w:space="0"/>
            </w:tcBorders>
            <w:vAlign w:val="center"/>
          </w:tcPr>
          <w:p w14:paraId="4C6D16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12" w:type="pct"/>
            <w:tcBorders>
              <w:right w:val="single" w:color="auto" w:sz="4" w:space="0"/>
            </w:tcBorders>
            <w:vAlign w:val="center"/>
          </w:tcPr>
          <w:p w14:paraId="07493A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43" w:type="pct"/>
            <w:tcBorders>
              <w:right w:val="single" w:color="auto" w:sz="4" w:space="0"/>
            </w:tcBorders>
            <w:vAlign w:val="center"/>
          </w:tcPr>
          <w:p w14:paraId="6C88F9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3C5E39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04671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855A9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3F4440F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氟化物</w:t>
            </w:r>
          </w:p>
        </w:tc>
        <w:tc>
          <w:tcPr>
            <w:tcW w:w="368" w:type="pct"/>
            <w:tcBorders>
              <w:top w:val="single" w:color="000000" w:sz="4" w:space="0"/>
              <w:left w:val="single" w:color="auto" w:sz="4" w:space="0"/>
            </w:tcBorders>
            <w:vAlign w:val="center"/>
          </w:tcPr>
          <w:p w14:paraId="07BB99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Pr>
          <w:p w14:paraId="1CE26A9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0.312</w:t>
            </w:r>
          </w:p>
        </w:tc>
        <w:tc>
          <w:tcPr>
            <w:tcW w:w="719" w:type="pct"/>
            <w:tcBorders>
              <w:right w:val="single" w:color="auto" w:sz="4" w:space="0"/>
            </w:tcBorders>
          </w:tcPr>
          <w:p w14:paraId="6BEB29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0.265</w:t>
            </w:r>
          </w:p>
        </w:tc>
        <w:tc>
          <w:tcPr>
            <w:tcW w:w="719" w:type="pct"/>
            <w:tcBorders>
              <w:right w:val="single" w:color="auto" w:sz="4" w:space="0"/>
            </w:tcBorders>
          </w:tcPr>
          <w:p w14:paraId="2477968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0.298</w:t>
            </w:r>
          </w:p>
        </w:tc>
        <w:tc>
          <w:tcPr>
            <w:tcW w:w="412" w:type="pct"/>
            <w:tcBorders>
              <w:right w:val="single" w:color="auto" w:sz="4" w:space="0"/>
            </w:tcBorders>
            <w:vAlign w:val="center"/>
          </w:tcPr>
          <w:p w14:paraId="3063F2D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43" w:type="pct"/>
            <w:tcBorders>
              <w:right w:val="single" w:color="auto" w:sz="4" w:space="0"/>
            </w:tcBorders>
            <w:vAlign w:val="center"/>
          </w:tcPr>
          <w:p w14:paraId="2201E86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2523B7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8227A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456F10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71006E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氯化物</w:t>
            </w:r>
          </w:p>
        </w:tc>
        <w:tc>
          <w:tcPr>
            <w:tcW w:w="368" w:type="pct"/>
            <w:tcBorders>
              <w:left w:val="single" w:color="auto" w:sz="4" w:space="0"/>
            </w:tcBorders>
            <w:vAlign w:val="center"/>
          </w:tcPr>
          <w:p w14:paraId="11A885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Pr>
          <w:p w14:paraId="5B512DC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9.92</w:t>
            </w:r>
          </w:p>
        </w:tc>
        <w:tc>
          <w:tcPr>
            <w:tcW w:w="719" w:type="pct"/>
            <w:tcBorders>
              <w:right w:val="single" w:color="auto" w:sz="4" w:space="0"/>
            </w:tcBorders>
          </w:tcPr>
          <w:p w14:paraId="627F7D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9.16</w:t>
            </w:r>
          </w:p>
        </w:tc>
        <w:tc>
          <w:tcPr>
            <w:tcW w:w="719" w:type="pct"/>
            <w:tcBorders>
              <w:right w:val="single" w:color="auto" w:sz="4" w:space="0"/>
            </w:tcBorders>
          </w:tcPr>
          <w:p w14:paraId="5573AE8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10.2</w:t>
            </w:r>
          </w:p>
        </w:tc>
        <w:tc>
          <w:tcPr>
            <w:tcW w:w="412" w:type="pct"/>
            <w:tcBorders>
              <w:right w:val="single" w:color="auto" w:sz="4" w:space="0"/>
            </w:tcBorders>
            <w:vAlign w:val="center"/>
          </w:tcPr>
          <w:p w14:paraId="391CFD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43" w:type="pct"/>
            <w:tcBorders>
              <w:right w:val="single" w:color="auto" w:sz="4" w:space="0"/>
            </w:tcBorders>
            <w:vAlign w:val="center"/>
          </w:tcPr>
          <w:p w14:paraId="3FBC4C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4451315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EF0B1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9E42E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309B308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硫酸盐</w:t>
            </w:r>
          </w:p>
        </w:tc>
        <w:tc>
          <w:tcPr>
            <w:tcW w:w="368" w:type="pct"/>
            <w:tcBorders>
              <w:left w:val="single" w:color="auto" w:sz="4" w:space="0"/>
            </w:tcBorders>
            <w:vAlign w:val="center"/>
          </w:tcPr>
          <w:p w14:paraId="3DC43E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Pr>
          <w:p w14:paraId="4D8438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20.1</w:t>
            </w:r>
          </w:p>
        </w:tc>
        <w:tc>
          <w:tcPr>
            <w:tcW w:w="719" w:type="pct"/>
            <w:tcBorders>
              <w:right w:val="single" w:color="auto" w:sz="4" w:space="0"/>
            </w:tcBorders>
          </w:tcPr>
          <w:p w14:paraId="52E30E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18.9</w:t>
            </w:r>
          </w:p>
        </w:tc>
        <w:tc>
          <w:tcPr>
            <w:tcW w:w="719" w:type="pct"/>
            <w:tcBorders>
              <w:right w:val="single" w:color="auto" w:sz="4" w:space="0"/>
            </w:tcBorders>
          </w:tcPr>
          <w:p w14:paraId="0514A7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21.1</w:t>
            </w:r>
          </w:p>
        </w:tc>
        <w:tc>
          <w:tcPr>
            <w:tcW w:w="412" w:type="pct"/>
            <w:tcBorders>
              <w:right w:val="single" w:color="auto" w:sz="4" w:space="0"/>
            </w:tcBorders>
            <w:vAlign w:val="center"/>
          </w:tcPr>
          <w:p w14:paraId="16FF561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43" w:type="pct"/>
            <w:tcBorders>
              <w:right w:val="single" w:color="auto" w:sz="4" w:space="0"/>
            </w:tcBorders>
            <w:vAlign w:val="center"/>
          </w:tcPr>
          <w:p w14:paraId="51C9B10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38C2726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8997A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DBFEAA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05941B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硫化物</w:t>
            </w:r>
          </w:p>
        </w:tc>
        <w:tc>
          <w:tcPr>
            <w:tcW w:w="368" w:type="pct"/>
            <w:tcBorders>
              <w:left w:val="single" w:color="auto" w:sz="4" w:space="0"/>
            </w:tcBorders>
            <w:vAlign w:val="center"/>
          </w:tcPr>
          <w:p w14:paraId="238542C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vAlign w:val="center"/>
          </w:tcPr>
          <w:p w14:paraId="2F0A118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right w:val="single" w:color="auto" w:sz="4" w:space="0"/>
            </w:tcBorders>
            <w:vAlign w:val="center"/>
          </w:tcPr>
          <w:p w14:paraId="3149A9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right w:val="single" w:color="auto" w:sz="4" w:space="0"/>
            </w:tcBorders>
            <w:vAlign w:val="center"/>
          </w:tcPr>
          <w:p w14:paraId="76C8C0B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12" w:type="pct"/>
            <w:tcBorders>
              <w:right w:val="single" w:color="auto" w:sz="4" w:space="0"/>
            </w:tcBorders>
            <w:vAlign w:val="center"/>
          </w:tcPr>
          <w:p w14:paraId="701F3C8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43" w:type="pct"/>
            <w:tcBorders>
              <w:right w:val="single" w:color="auto" w:sz="4" w:space="0"/>
            </w:tcBorders>
            <w:vAlign w:val="center"/>
          </w:tcPr>
          <w:p w14:paraId="55669DC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1959DA8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AE6B4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C21DC3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36039F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挥发酚</w:t>
            </w:r>
          </w:p>
        </w:tc>
        <w:tc>
          <w:tcPr>
            <w:tcW w:w="368" w:type="pct"/>
            <w:tcBorders>
              <w:left w:val="single" w:color="auto" w:sz="4" w:space="0"/>
            </w:tcBorders>
            <w:vAlign w:val="center"/>
          </w:tcPr>
          <w:p w14:paraId="2A3A1C6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Pr>
          <w:p w14:paraId="18FAFE8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w:t>
            </w:r>
          </w:p>
        </w:tc>
        <w:tc>
          <w:tcPr>
            <w:tcW w:w="719" w:type="pct"/>
            <w:tcBorders>
              <w:right w:val="single" w:color="auto" w:sz="4" w:space="0"/>
            </w:tcBorders>
          </w:tcPr>
          <w:p w14:paraId="5E4BBD6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w:t>
            </w:r>
          </w:p>
        </w:tc>
        <w:tc>
          <w:tcPr>
            <w:tcW w:w="719" w:type="pct"/>
            <w:tcBorders>
              <w:right w:val="single" w:color="auto" w:sz="4" w:space="0"/>
            </w:tcBorders>
          </w:tcPr>
          <w:p w14:paraId="038B8A3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w:t>
            </w:r>
          </w:p>
        </w:tc>
        <w:tc>
          <w:tcPr>
            <w:tcW w:w="412" w:type="pct"/>
            <w:tcBorders>
              <w:right w:val="single" w:color="auto" w:sz="4" w:space="0"/>
            </w:tcBorders>
            <w:vAlign w:val="center"/>
          </w:tcPr>
          <w:p w14:paraId="5D38C2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43" w:type="pct"/>
            <w:tcBorders>
              <w:right w:val="single" w:color="auto" w:sz="4" w:space="0"/>
            </w:tcBorders>
            <w:vAlign w:val="center"/>
          </w:tcPr>
          <w:p w14:paraId="2EB1B8F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71229FB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43E7F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3C3EAC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5B0593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粪大肠菌群</w:t>
            </w:r>
          </w:p>
        </w:tc>
        <w:tc>
          <w:tcPr>
            <w:tcW w:w="368" w:type="pct"/>
            <w:tcBorders>
              <w:left w:val="single" w:color="auto" w:sz="4" w:space="0"/>
            </w:tcBorders>
            <w:vAlign w:val="center"/>
          </w:tcPr>
          <w:p w14:paraId="55DFDBF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MPN/L</w:t>
            </w:r>
          </w:p>
        </w:tc>
        <w:tc>
          <w:tcPr>
            <w:tcW w:w="719" w:type="pct"/>
          </w:tcPr>
          <w:p w14:paraId="5BC4FE6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719" w:type="pct"/>
            <w:tcBorders>
              <w:right w:val="single" w:color="auto" w:sz="4" w:space="0"/>
            </w:tcBorders>
          </w:tcPr>
          <w:p w14:paraId="1E1DEC6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719" w:type="pct"/>
            <w:tcBorders>
              <w:right w:val="single" w:color="auto" w:sz="4" w:space="0"/>
            </w:tcBorders>
          </w:tcPr>
          <w:p w14:paraId="48C31E7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412" w:type="pct"/>
            <w:tcBorders>
              <w:right w:val="single" w:color="auto" w:sz="4" w:space="0"/>
            </w:tcBorders>
            <w:vAlign w:val="center"/>
          </w:tcPr>
          <w:p w14:paraId="12A7E2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10000</w:t>
            </w:r>
          </w:p>
        </w:tc>
        <w:tc>
          <w:tcPr>
            <w:tcW w:w="343" w:type="pct"/>
            <w:tcBorders>
              <w:right w:val="single" w:color="auto" w:sz="4" w:space="0"/>
            </w:tcBorders>
            <w:vAlign w:val="center"/>
          </w:tcPr>
          <w:p w14:paraId="07CDD8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70063C9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875A3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16206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6006975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氯乙烯</w:t>
            </w:r>
          </w:p>
        </w:tc>
        <w:tc>
          <w:tcPr>
            <w:tcW w:w="368" w:type="pct"/>
            <w:tcBorders>
              <w:left w:val="single" w:color="auto" w:sz="4" w:space="0"/>
            </w:tcBorders>
            <w:vAlign w:val="center"/>
          </w:tcPr>
          <w:p w14:paraId="34D367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vAlign w:val="center"/>
          </w:tcPr>
          <w:p w14:paraId="77C356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right w:val="single" w:color="auto" w:sz="4" w:space="0"/>
            </w:tcBorders>
            <w:vAlign w:val="center"/>
          </w:tcPr>
          <w:p w14:paraId="0BDD65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right w:val="single" w:color="auto" w:sz="4" w:space="0"/>
            </w:tcBorders>
            <w:vAlign w:val="center"/>
          </w:tcPr>
          <w:p w14:paraId="633F45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12" w:type="pct"/>
            <w:tcBorders>
              <w:right w:val="single" w:color="auto" w:sz="4" w:space="0"/>
            </w:tcBorders>
            <w:vAlign w:val="center"/>
          </w:tcPr>
          <w:p w14:paraId="358BDA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43" w:type="pct"/>
            <w:tcBorders>
              <w:right w:val="single" w:color="auto" w:sz="4" w:space="0"/>
            </w:tcBorders>
            <w:vAlign w:val="center"/>
          </w:tcPr>
          <w:p w14:paraId="2B064C0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5F62AD8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EBCE0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BB336A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033BAF1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六价铬</w:t>
            </w:r>
          </w:p>
        </w:tc>
        <w:tc>
          <w:tcPr>
            <w:tcW w:w="368" w:type="pct"/>
            <w:tcBorders>
              <w:left w:val="single" w:color="auto" w:sz="4" w:space="0"/>
              <w:bottom w:val="single" w:color="000000" w:sz="4" w:space="0"/>
            </w:tcBorders>
            <w:vAlign w:val="center"/>
          </w:tcPr>
          <w:p w14:paraId="403430C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vAlign w:val="center"/>
          </w:tcPr>
          <w:p w14:paraId="6DE8DD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right w:val="single" w:color="auto" w:sz="4" w:space="0"/>
            </w:tcBorders>
            <w:vAlign w:val="center"/>
          </w:tcPr>
          <w:p w14:paraId="5BCD6F4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right w:val="single" w:color="auto" w:sz="4" w:space="0"/>
            </w:tcBorders>
            <w:vAlign w:val="center"/>
          </w:tcPr>
          <w:p w14:paraId="13C66A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12" w:type="pct"/>
            <w:tcBorders>
              <w:right w:val="single" w:color="auto" w:sz="4" w:space="0"/>
            </w:tcBorders>
            <w:vAlign w:val="center"/>
          </w:tcPr>
          <w:p w14:paraId="57E8B44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43" w:type="pct"/>
            <w:tcBorders>
              <w:right w:val="single" w:color="auto" w:sz="4" w:space="0"/>
            </w:tcBorders>
            <w:vAlign w:val="center"/>
          </w:tcPr>
          <w:p w14:paraId="7DE7E9E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068AE7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499F2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6DCA44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4DC2D4C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w:t>
            </w:r>
          </w:p>
        </w:tc>
        <w:tc>
          <w:tcPr>
            <w:tcW w:w="368" w:type="pct"/>
            <w:tcBorders>
              <w:top w:val="single" w:color="000000" w:sz="4" w:space="0"/>
              <w:left w:val="single" w:color="auto" w:sz="4" w:space="0"/>
            </w:tcBorders>
            <w:vAlign w:val="center"/>
          </w:tcPr>
          <w:p w14:paraId="4E265E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Pr>
          <w:p w14:paraId="7CC76DA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0.00009</w:t>
            </w:r>
          </w:p>
        </w:tc>
        <w:tc>
          <w:tcPr>
            <w:tcW w:w="719" w:type="pct"/>
            <w:tcBorders>
              <w:right w:val="single" w:color="auto" w:sz="4" w:space="0"/>
            </w:tcBorders>
          </w:tcPr>
          <w:p w14:paraId="4743294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right w:val="single" w:color="auto" w:sz="4" w:space="0"/>
            </w:tcBorders>
          </w:tcPr>
          <w:p w14:paraId="5075F98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12" w:type="pct"/>
            <w:tcBorders>
              <w:right w:val="single" w:color="auto" w:sz="4" w:space="0"/>
            </w:tcBorders>
            <w:vAlign w:val="center"/>
          </w:tcPr>
          <w:p w14:paraId="1E50343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43" w:type="pct"/>
            <w:tcBorders>
              <w:right w:val="single" w:color="auto" w:sz="4" w:space="0"/>
            </w:tcBorders>
            <w:vAlign w:val="center"/>
          </w:tcPr>
          <w:p w14:paraId="4EDCFA1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right w:val="single" w:color="auto" w:sz="12" w:space="0"/>
            </w:tcBorders>
            <w:vAlign w:val="center"/>
          </w:tcPr>
          <w:p w14:paraId="46B8681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3130B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F7F03F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auto" w:sz="4" w:space="0"/>
            </w:tcBorders>
            <w:vAlign w:val="center"/>
          </w:tcPr>
          <w:p w14:paraId="3F8D795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368" w:type="pct"/>
            <w:tcBorders>
              <w:left w:val="single" w:color="auto" w:sz="4" w:space="0"/>
              <w:bottom w:val="single" w:color="auto" w:sz="4" w:space="0"/>
            </w:tcBorders>
            <w:vAlign w:val="center"/>
          </w:tcPr>
          <w:p w14:paraId="7D8ED35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Borders>
              <w:bottom w:val="single" w:color="auto" w:sz="4" w:space="0"/>
            </w:tcBorders>
          </w:tcPr>
          <w:p w14:paraId="3A3BCE3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0.00590</w:t>
            </w:r>
          </w:p>
        </w:tc>
        <w:tc>
          <w:tcPr>
            <w:tcW w:w="719" w:type="pct"/>
            <w:tcBorders>
              <w:bottom w:val="single" w:color="auto" w:sz="4" w:space="0"/>
              <w:right w:val="single" w:color="auto" w:sz="4" w:space="0"/>
            </w:tcBorders>
          </w:tcPr>
          <w:p w14:paraId="07748C3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0.00569</w:t>
            </w:r>
          </w:p>
        </w:tc>
        <w:tc>
          <w:tcPr>
            <w:tcW w:w="719" w:type="pct"/>
            <w:tcBorders>
              <w:bottom w:val="single" w:color="auto" w:sz="4" w:space="0"/>
              <w:right w:val="single" w:color="auto" w:sz="4" w:space="0"/>
            </w:tcBorders>
          </w:tcPr>
          <w:p w14:paraId="0E2A9C3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0.00581</w:t>
            </w:r>
          </w:p>
        </w:tc>
        <w:tc>
          <w:tcPr>
            <w:tcW w:w="412" w:type="pct"/>
            <w:tcBorders>
              <w:bottom w:val="single" w:color="auto" w:sz="4" w:space="0"/>
              <w:right w:val="single" w:color="auto" w:sz="4" w:space="0"/>
            </w:tcBorders>
            <w:vAlign w:val="center"/>
          </w:tcPr>
          <w:p w14:paraId="7F1573D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43" w:type="pct"/>
            <w:tcBorders>
              <w:bottom w:val="single" w:color="auto" w:sz="4" w:space="0"/>
              <w:right w:val="single" w:color="auto" w:sz="4" w:space="0"/>
            </w:tcBorders>
            <w:vAlign w:val="center"/>
          </w:tcPr>
          <w:p w14:paraId="16BBA2C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bottom w:val="single" w:color="auto" w:sz="4" w:space="0"/>
              <w:right w:val="single" w:color="auto" w:sz="12" w:space="0"/>
            </w:tcBorders>
            <w:vAlign w:val="center"/>
          </w:tcPr>
          <w:p w14:paraId="40DA82F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1A63C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A532AB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678098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镉</w:t>
            </w:r>
          </w:p>
        </w:tc>
        <w:tc>
          <w:tcPr>
            <w:tcW w:w="368" w:type="pct"/>
            <w:tcBorders>
              <w:top w:val="single" w:color="auto" w:sz="4" w:space="0"/>
              <w:left w:val="single" w:color="auto" w:sz="4" w:space="0"/>
            </w:tcBorders>
            <w:vAlign w:val="center"/>
          </w:tcPr>
          <w:p w14:paraId="39206CA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Borders>
              <w:top w:val="single" w:color="auto" w:sz="4" w:space="0"/>
            </w:tcBorders>
          </w:tcPr>
          <w:p w14:paraId="274029C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0.00028</w:t>
            </w:r>
          </w:p>
        </w:tc>
        <w:tc>
          <w:tcPr>
            <w:tcW w:w="719" w:type="pct"/>
            <w:tcBorders>
              <w:top w:val="single" w:color="auto" w:sz="4" w:space="0"/>
              <w:right w:val="single" w:color="auto" w:sz="4" w:space="0"/>
            </w:tcBorders>
          </w:tcPr>
          <w:p w14:paraId="0D2AC86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0.00020</w:t>
            </w:r>
          </w:p>
        </w:tc>
        <w:tc>
          <w:tcPr>
            <w:tcW w:w="719" w:type="pct"/>
            <w:tcBorders>
              <w:top w:val="single" w:color="auto" w:sz="4" w:space="0"/>
              <w:right w:val="single" w:color="auto" w:sz="4" w:space="0"/>
            </w:tcBorders>
          </w:tcPr>
          <w:p w14:paraId="07245DA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0.00018</w:t>
            </w:r>
          </w:p>
        </w:tc>
        <w:tc>
          <w:tcPr>
            <w:tcW w:w="412" w:type="pct"/>
            <w:tcBorders>
              <w:top w:val="single" w:color="auto" w:sz="4" w:space="0"/>
              <w:right w:val="single" w:color="auto" w:sz="4" w:space="0"/>
            </w:tcBorders>
            <w:vAlign w:val="center"/>
          </w:tcPr>
          <w:p w14:paraId="5171C3D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43" w:type="pct"/>
            <w:tcBorders>
              <w:top w:val="single" w:color="auto" w:sz="4" w:space="0"/>
              <w:right w:val="single" w:color="auto" w:sz="4" w:space="0"/>
            </w:tcBorders>
            <w:vAlign w:val="center"/>
          </w:tcPr>
          <w:p w14:paraId="695A5E9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op w:val="single" w:color="auto" w:sz="4" w:space="0"/>
              <w:right w:val="single" w:color="auto" w:sz="12" w:space="0"/>
            </w:tcBorders>
            <w:vAlign w:val="center"/>
          </w:tcPr>
          <w:p w14:paraId="6FF92FC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6CA9E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00A818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5A3250B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368" w:type="pct"/>
            <w:tcBorders>
              <w:top w:val="single" w:color="auto" w:sz="4" w:space="0"/>
              <w:left w:val="single" w:color="auto" w:sz="4" w:space="0"/>
            </w:tcBorders>
            <w:vAlign w:val="center"/>
          </w:tcPr>
          <w:p w14:paraId="6522A56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Borders>
              <w:top w:val="single" w:color="auto" w:sz="4" w:space="0"/>
            </w:tcBorders>
          </w:tcPr>
          <w:p w14:paraId="4FA06BF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0.00105</w:t>
            </w:r>
          </w:p>
        </w:tc>
        <w:tc>
          <w:tcPr>
            <w:tcW w:w="719" w:type="pct"/>
            <w:tcBorders>
              <w:top w:val="single" w:color="auto" w:sz="4" w:space="0"/>
              <w:right w:val="single" w:color="auto" w:sz="4" w:space="0"/>
            </w:tcBorders>
          </w:tcPr>
          <w:p w14:paraId="1FB42E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0.00168</w:t>
            </w:r>
          </w:p>
        </w:tc>
        <w:tc>
          <w:tcPr>
            <w:tcW w:w="719" w:type="pct"/>
            <w:tcBorders>
              <w:top w:val="single" w:color="auto" w:sz="4" w:space="0"/>
              <w:right w:val="single" w:color="auto" w:sz="4" w:space="0"/>
            </w:tcBorders>
          </w:tcPr>
          <w:p w14:paraId="71E42F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0.00108</w:t>
            </w:r>
          </w:p>
        </w:tc>
        <w:tc>
          <w:tcPr>
            <w:tcW w:w="412" w:type="pct"/>
            <w:tcBorders>
              <w:top w:val="single" w:color="auto" w:sz="4" w:space="0"/>
              <w:right w:val="single" w:color="auto" w:sz="4" w:space="0"/>
            </w:tcBorders>
            <w:vAlign w:val="center"/>
          </w:tcPr>
          <w:p w14:paraId="6B5C41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43" w:type="pct"/>
            <w:tcBorders>
              <w:top w:val="single" w:color="auto" w:sz="4" w:space="0"/>
              <w:right w:val="single" w:color="auto" w:sz="4" w:space="0"/>
            </w:tcBorders>
            <w:vAlign w:val="center"/>
          </w:tcPr>
          <w:p w14:paraId="3880AFC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op w:val="single" w:color="auto" w:sz="4" w:space="0"/>
              <w:right w:val="single" w:color="auto" w:sz="12" w:space="0"/>
            </w:tcBorders>
            <w:vAlign w:val="center"/>
          </w:tcPr>
          <w:p w14:paraId="64ECCC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F52BC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5F0F7D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5548AE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368" w:type="pct"/>
            <w:tcBorders>
              <w:top w:val="single" w:color="auto" w:sz="4" w:space="0"/>
              <w:left w:val="single" w:color="auto" w:sz="4" w:space="0"/>
            </w:tcBorders>
            <w:vAlign w:val="center"/>
          </w:tcPr>
          <w:p w14:paraId="56FBF9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Borders>
              <w:top w:val="single" w:color="auto" w:sz="4" w:space="0"/>
            </w:tcBorders>
          </w:tcPr>
          <w:p w14:paraId="7F6E5A9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0.00950</w:t>
            </w:r>
          </w:p>
        </w:tc>
        <w:tc>
          <w:tcPr>
            <w:tcW w:w="719" w:type="pct"/>
            <w:tcBorders>
              <w:top w:val="single" w:color="auto" w:sz="4" w:space="0"/>
              <w:right w:val="single" w:color="auto" w:sz="4" w:space="0"/>
            </w:tcBorders>
          </w:tcPr>
          <w:p w14:paraId="3BD718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0.00832</w:t>
            </w:r>
          </w:p>
        </w:tc>
        <w:tc>
          <w:tcPr>
            <w:tcW w:w="719" w:type="pct"/>
            <w:tcBorders>
              <w:top w:val="single" w:color="auto" w:sz="4" w:space="0"/>
              <w:right w:val="single" w:color="auto" w:sz="4" w:space="0"/>
            </w:tcBorders>
          </w:tcPr>
          <w:p w14:paraId="62A5B3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0.00641</w:t>
            </w:r>
          </w:p>
        </w:tc>
        <w:tc>
          <w:tcPr>
            <w:tcW w:w="412" w:type="pct"/>
            <w:tcBorders>
              <w:top w:val="single" w:color="auto" w:sz="4" w:space="0"/>
              <w:right w:val="single" w:color="auto" w:sz="4" w:space="0"/>
            </w:tcBorders>
            <w:vAlign w:val="center"/>
          </w:tcPr>
          <w:p w14:paraId="3C68B98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43" w:type="pct"/>
            <w:tcBorders>
              <w:top w:val="single" w:color="auto" w:sz="4" w:space="0"/>
              <w:right w:val="single" w:color="auto" w:sz="4" w:space="0"/>
            </w:tcBorders>
            <w:vAlign w:val="center"/>
          </w:tcPr>
          <w:p w14:paraId="2054AD9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op w:val="single" w:color="auto" w:sz="4" w:space="0"/>
              <w:right w:val="single" w:color="auto" w:sz="12" w:space="0"/>
            </w:tcBorders>
            <w:vAlign w:val="center"/>
          </w:tcPr>
          <w:p w14:paraId="704F38B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56D2A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2CB1A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3BBD808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368" w:type="pct"/>
            <w:tcBorders>
              <w:top w:val="single" w:color="auto" w:sz="4" w:space="0"/>
              <w:left w:val="single" w:color="auto" w:sz="4" w:space="0"/>
            </w:tcBorders>
            <w:vAlign w:val="center"/>
          </w:tcPr>
          <w:p w14:paraId="2A1671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Borders>
              <w:top w:val="single" w:color="auto" w:sz="4" w:space="0"/>
            </w:tcBorders>
          </w:tcPr>
          <w:p w14:paraId="45CD42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0.00060</w:t>
            </w:r>
          </w:p>
        </w:tc>
        <w:tc>
          <w:tcPr>
            <w:tcW w:w="719" w:type="pct"/>
            <w:tcBorders>
              <w:top w:val="single" w:color="auto" w:sz="4" w:space="0"/>
              <w:right w:val="single" w:color="auto" w:sz="4" w:space="0"/>
            </w:tcBorders>
          </w:tcPr>
          <w:p w14:paraId="2D3F2E2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0.00070</w:t>
            </w:r>
          </w:p>
        </w:tc>
        <w:tc>
          <w:tcPr>
            <w:tcW w:w="719" w:type="pct"/>
            <w:tcBorders>
              <w:top w:val="single" w:color="auto" w:sz="4" w:space="0"/>
              <w:right w:val="single" w:color="auto" w:sz="4" w:space="0"/>
            </w:tcBorders>
          </w:tcPr>
          <w:p w14:paraId="53615F5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0.00066</w:t>
            </w:r>
          </w:p>
        </w:tc>
        <w:tc>
          <w:tcPr>
            <w:tcW w:w="412" w:type="pct"/>
            <w:tcBorders>
              <w:top w:val="single" w:color="auto" w:sz="4" w:space="0"/>
              <w:right w:val="single" w:color="auto" w:sz="4" w:space="0"/>
            </w:tcBorders>
            <w:vAlign w:val="center"/>
          </w:tcPr>
          <w:p w14:paraId="5ACC33F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43" w:type="pct"/>
            <w:tcBorders>
              <w:top w:val="single" w:color="auto" w:sz="4" w:space="0"/>
              <w:right w:val="single" w:color="auto" w:sz="4" w:space="0"/>
            </w:tcBorders>
            <w:vAlign w:val="center"/>
          </w:tcPr>
          <w:p w14:paraId="08D9EEC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op w:val="single" w:color="auto" w:sz="4" w:space="0"/>
              <w:right w:val="single" w:color="auto" w:sz="12" w:space="0"/>
            </w:tcBorders>
            <w:vAlign w:val="center"/>
          </w:tcPr>
          <w:p w14:paraId="292045F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49C30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539C04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2A136B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铊</w:t>
            </w:r>
          </w:p>
        </w:tc>
        <w:tc>
          <w:tcPr>
            <w:tcW w:w="368" w:type="pct"/>
            <w:tcBorders>
              <w:top w:val="single" w:color="auto" w:sz="4" w:space="0"/>
              <w:left w:val="single" w:color="auto" w:sz="4" w:space="0"/>
            </w:tcBorders>
            <w:vAlign w:val="center"/>
          </w:tcPr>
          <w:p w14:paraId="01CB601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Borders>
              <w:top w:val="single" w:color="auto" w:sz="4" w:space="0"/>
            </w:tcBorders>
          </w:tcPr>
          <w:p w14:paraId="358DA7A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w:t>
            </w:r>
          </w:p>
        </w:tc>
        <w:tc>
          <w:tcPr>
            <w:tcW w:w="719" w:type="pct"/>
            <w:tcBorders>
              <w:top w:val="single" w:color="auto" w:sz="4" w:space="0"/>
              <w:right w:val="single" w:color="auto" w:sz="4" w:space="0"/>
            </w:tcBorders>
          </w:tcPr>
          <w:p w14:paraId="672BA66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w:t>
            </w:r>
          </w:p>
        </w:tc>
        <w:tc>
          <w:tcPr>
            <w:tcW w:w="719" w:type="pct"/>
            <w:tcBorders>
              <w:top w:val="single" w:color="auto" w:sz="4" w:space="0"/>
              <w:right w:val="single" w:color="auto" w:sz="4" w:space="0"/>
            </w:tcBorders>
          </w:tcPr>
          <w:p w14:paraId="55F0A4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412" w:type="pct"/>
            <w:tcBorders>
              <w:top w:val="single" w:color="auto" w:sz="4" w:space="0"/>
              <w:right w:val="single" w:color="auto" w:sz="4" w:space="0"/>
            </w:tcBorders>
            <w:vAlign w:val="center"/>
          </w:tcPr>
          <w:p w14:paraId="2E9026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43" w:type="pct"/>
            <w:tcBorders>
              <w:top w:val="single" w:color="auto" w:sz="4" w:space="0"/>
              <w:right w:val="single" w:color="auto" w:sz="4" w:space="0"/>
            </w:tcBorders>
            <w:vAlign w:val="center"/>
          </w:tcPr>
          <w:p w14:paraId="0EAC13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op w:val="single" w:color="auto" w:sz="4" w:space="0"/>
              <w:right w:val="single" w:color="auto" w:sz="12" w:space="0"/>
            </w:tcBorders>
            <w:vAlign w:val="center"/>
          </w:tcPr>
          <w:p w14:paraId="1565EB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7615A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1BE8CD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bottom w:val="single" w:color="auto" w:sz="4" w:space="0"/>
            </w:tcBorders>
            <w:vAlign w:val="center"/>
          </w:tcPr>
          <w:p w14:paraId="6FB2BB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汞</w:t>
            </w:r>
          </w:p>
        </w:tc>
        <w:tc>
          <w:tcPr>
            <w:tcW w:w="368" w:type="pct"/>
            <w:tcBorders>
              <w:top w:val="single" w:color="auto" w:sz="4" w:space="0"/>
              <w:left w:val="single" w:color="auto" w:sz="4" w:space="0"/>
              <w:bottom w:val="single" w:color="auto" w:sz="4" w:space="0"/>
            </w:tcBorders>
            <w:vAlign w:val="center"/>
          </w:tcPr>
          <w:p w14:paraId="0BD797B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19" w:type="pct"/>
            <w:tcBorders>
              <w:top w:val="single" w:color="auto" w:sz="4" w:space="0"/>
              <w:bottom w:val="single" w:color="auto" w:sz="4" w:space="0"/>
            </w:tcBorders>
          </w:tcPr>
          <w:p w14:paraId="0A35C04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top w:val="single" w:color="auto" w:sz="4" w:space="0"/>
              <w:bottom w:val="single" w:color="auto" w:sz="4" w:space="0"/>
              <w:right w:val="single" w:color="auto" w:sz="4" w:space="0"/>
            </w:tcBorders>
          </w:tcPr>
          <w:p w14:paraId="22F30F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19" w:type="pct"/>
            <w:tcBorders>
              <w:top w:val="single" w:color="auto" w:sz="4" w:space="0"/>
              <w:bottom w:val="single" w:color="auto" w:sz="4" w:space="0"/>
              <w:right w:val="single" w:color="auto" w:sz="4" w:space="0"/>
            </w:tcBorders>
          </w:tcPr>
          <w:p w14:paraId="6ABE5A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12" w:type="pct"/>
            <w:tcBorders>
              <w:top w:val="single" w:color="auto" w:sz="4" w:space="0"/>
              <w:bottom w:val="single" w:color="auto" w:sz="4" w:space="0"/>
              <w:right w:val="single" w:color="auto" w:sz="4" w:space="0"/>
            </w:tcBorders>
            <w:vAlign w:val="center"/>
          </w:tcPr>
          <w:p w14:paraId="651A95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43" w:type="pct"/>
            <w:tcBorders>
              <w:top w:val="single" w:color="auto" w:sz="4" w:space="0"/>
              <w:bottom w:val="single" w:color="auto" w:sz="4" w:space="0"/>
              <w:right w:val="single" w:color="auto" w:sz="4" w:space="0"/>
            </w:tcBorders>
            <w:vAlign w:val="center"/>
          </w:tcPr>
          <w:p w14:paraId="714E14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3" w:type="pct"/>
            <w:tcBorders>
              <w:top w:val="single" w:color="auto" w:sz="4" w:space="0"/>
              <w:bottom w:val="single" w:color="auto" w:sz="4" w:space="0"/>
              <w:right w:val="single" w:color="auto" w:sz="12" w:space="0"/>
            </w:tcBorders>
            <w:vAlign w:val="center"/>
          </w:tcPr>
          <w:p w14:paraId="0297AA6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1AC85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9"/>
            <w:tcBorders>
              <w:left w:val="single" w:color="auto" w:sz="12" w:space="0"/>
              <w:bottom w:val="single" w:color="auto" w:sz="12" w:space="0"/>
              <w:right w:val="single" w:color="auto" w:sz="12" w:space="0"/>
            </w:tcBorders>
            <w:vAlign w:val="center"/>
          </w:tcPr>
          <w:p w14:paraId="5454B3F9">
            <w:pPr>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注：ND=未检出</w:t>
            </w:r>
          </w:p>
        </w:tc>
      </w:tr>
    </w:tbl>
    <w:p w14:paraId="16C488B9">
      <w:pPr>
        <w:pStyle w:val="13"/>
        <w:jc w:val="center"/>
        <w:rPr>
          <w:rFonts w:hint="default" w:ascii="Times New Roman" w:hAnsi="Times New Roman" w:eastAsia="宋体" w:cs="Times New Roman"/>
          <w:b/>
          <w:bCs/>
          <w:i w:val="0"/>
          <w:iCs w:val="0"/>
          <w:color w:val="auto"/>
          <w:sz w:val="21"/>
          <w:szCs w:val="21"/>
          <w:highlight w:val="none"/>
          <w:u w:val="none" w:color="auto"/>
          <w:lang w:eastAsia="zh-CN"/>
        </w:rPr>
        <w:sectPr>
          <w:pgSz w:w="16838" w:h="11906" w:orient="landscape"/>
          <w:pgMar w:top="1440" w:right="1502" w:bottom="1440" w:left="1502" w:header="851" w:footer="680" w:gutter="0"/>
          <w:pgBorders>
            <w:top w:val="none" w:sz="0" w:space="0"/>
            <w:left w:val="none" w:sz="0" w:space="0"/>
            <w:bottom w:val="none" w:sz="0" w:space="0"/>
            <w:right w:val="none" w:sz="0" w:space="0"/>
          </w:pgBorders>
          <w:cols w:space="0" w:num="1"/>
          <w:docGrid w:type="lines" w:linePitch="326" w:charSpace="0"/>
        </w:sectPr>
      </w:pPr>
    </w:p>
    <w:p w14:paraId="3B6E8013">
      <w:pPr>
        <w:pStyle w:val="13"/>
        <w:jc w:val="center"/>
        <w:rPr>
          <w:rFonts w:hint="default" w:ascii="Times New Roman" w:hAnsi="Times New Roman" w:eastAsia="宋体" w:cs="Times New Roman"/>
          <w:b/>
          <w:bCs/>
          <w:i w:val="0"/>
          <w:iCs w:val="0"/>
          <w:color w:val="auto"/>
          <w:sz w:val="21"/>
          <w:szCs w:val="21"/>
          <w:highlight w:val="none"/>
          <w:u w:val="none" w:color="auto"/>
          <w:lang w:eastAsia="zh-CN"/>
        </w:rPr>
      </w:pPr>
      <w:r>
        <w:rPr>
          <w:rFonts w:hint="default" w:ascii="Times New Roman" w:hAnsi="Times New Roman" w:eastAsia="宋体" w:cs="Times New Roman"/>
          <w:b/>
          <w:bCs/>
          <w:i w:val="0"/>
          <w:iCs w:val="0"/>
          <w:color w:val="auto"/>
          <w:sz w:val="21"/>
          <w:szCs w:val="21"/>
          <w:highlight w:val="none"/>
          <w:u w:val="none" w:color="auto"/>
          <w:lang w:eastAsia="zh-CN"/>
        </w:rPr>
        <w:t>表6.2-2（2）  地表水监测与评价结果一览表</w:t>
      </w: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784"/>
        <w:gridCol w:w="1177"/>
        <w:gridCol w:w="1925"/>
        <w:gridCol w:w="1925"/>
        <w:gridCol w:w="1925"/>
        <w:gridCol w:w="1186"/>
        <w:gridCol w:w="1073"/>
        <w:gridCol w:w="1560"/>
      </w:tblGrid>
      <w:tr w14:paraId="6AA8F6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restart"/>
            <w:tcBorders>
              <w:top w:val="single" w:color="auto" w:sz="12" w:space="0"/>
              <w:left w:val="single" w:color="auto" w:sz="12" w:space="0"/>
            </w:tcBorders>
            <w:vAlign w:val="center"/>
          </w:tcPr>
          <w:p w14:paraId="7BB5A64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监测点位</w:t>
            </w:r>
          </w:p>
        </w:tc>
        <w:tc>
          <w:tcPr>
            <w:tcW w:w="635" w:type="pct"/>
            <w:vMerge w:val="restart"/>
            <w:tcBorders>
              <w:top w:val="single" w:color="auto" w:sz="12" w:space="0"/>
              <w:left w:val="single" w:color="auto" w:sz="4" w:space="0"/>
            </w:tcBorders>
            <w:vAlign w:val="center"/>
          </w:tcPr>
          <w:p w14:paraId="1DC54D0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监测项目</w:t>
            </w:r>
          </w:p>
        </w:tc>
        <w:tc>
          <w:tcPr>
            <w:tcW w:w="419" w:type="pct"/>
            <w:vMerge w:val="restart"/>
            <w:tcBorders>
              <w:top w:val="single" w:color="auto" w:sz="12" w:space="0"/>
              <w:left w:val="single" w:color="auto" w:sz="4" w:space="0"/>
            </w:tcBorders>
            <w:vAlign w:val="center"/>
          </w:tcPr>
          <w:p w14:paraId="5967FAB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单位</w:t>
            </w:r>
          </w:p>
        </w:tc>
        <w:tc>
          <w:tcPr>
            <w:tcW w:w="2055" w:type="pct"/>
            <w:gridSpan w:val="3"/>
            <w:tcBorders>
              <w:top w:val="single" w:color="auto" w:sz="12" w:space="0"/>
              <w:right w:val="single" w:color="auto" w:sz="4" w:space="0"/>
            </w:tcBorders>
            <w:vAlign w:val="center"/>
          </w:tcPr>
          <w:p w14:paraId="1967355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监测时间及监测结果</w:t>
            </w:r>
          </w:p>
        </w:tc>
        <w:tc>
          <w:tcPr>
            <w:tcW w:w="422" w:type="pct"/>
            <w:vMerge w:val="restart"/>
            <w:tcBorders>
              <w:top w:val="single" w:color="auto" w:sz="12" w:space="0"/>
              <w:right w:val="single" w:color="auto" w:sz="4" w:space="0"/>
            </w:tcBorders>
            <w:vAlign w:val="center"/>
          </w:tcPr>
          <w:p w14:paraId="31C4443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执行标准</w:t>
            </w:r>
          </w:p>
        </w:tc>
        <w:tc>
          <w:tcPr>
            <w:tcW w:w="382" w:type="pct"/>
            <w:vMerge w:val="restart"/>
            <w:tcBorders>
              <w:top w:val="single" w:color="auto" w:sz="12" w:space="0"/>
              <w:right w:val="single" w:color="auto" w:sz="4" w:space="0"/>
            </w:tcBorders>
            <w:vAlign w:val="center"/>
          </w:tcPr>
          <w:p w14:paraId="3CA8E37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超标率（%）</w:t>
            </w:r>
          </w:p>
        </w:tc>
        <w:tc>
          <w:tcPr>
            <w:tcW w:w="555" w:type="pct"/>
            <w:vMerge w:val="restart"/>
            <w:tcBorders>
              <w:top w:val="single" w:color="auto" w:sz="12" w:space="0"/>
              <w:right w:val="single" w:color="auto" w:sz="12" w:space="0"/>
            </w:tcBorders>
            <w:vAlign w:val="center"/>
          </w:tcPr>
          <w:p w14:paraId="3535F59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最大超标倍数</w:t>
            </w:r>
          </w:p>
        </w:tc>
      </w:tr>
      <w:tr w14:paraId="75588E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continue"/>
            <w:tcBorders>
              <w:left w:val="single" w:color="auto" w:sz="12" w:space="0"/>
            </w:tcBorders>
            <w:vAlign w:val="center"/>
          </w:tcPr>
          <w:p w14:paraId="382F64C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635" w:type="pct"/>
            <w:vMerge w:val="continue"/>
            <w:tcBorders>
              <w:left w:val="single" w:color="auto" w:sz="4" w:space="0"/>
            </w:tcBorders>
            <w:vAlign w:val="center"/>
          </w:tcPr>
          <w:p w14:paraId="2A3DA897">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419" w:type="pct"/>
            <w:vMerge w:val="continue"/>
            <w:tcBorders>
              <w:left w:val="single" w:color="auto" w:sz="4" w:space="0"/>
            </w:tcBorders>
            <w:vAlign w:val="center"/>
          </w:tcPr>
          <w:p w14:paraId="30C6D39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685" w:type="pct"/>
            <w:tcBorders>
              <w:top w:val="single" w:color="auto" w:sz="4" w:space="0"/>
            </w:tcBorders>
            <w:vAlign w:val="center"/>
          </w:tcPr>
          <w:p w14:paraId="3097C9E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2020年1月10日</w:t>
            </w:r>
          </w:p>
        </w:tc>
        <w:tc>
          <w:tcPr>
            <w:tcW w:w="685" w:type="pct"/>
            <w:tcBorders>
              <w:top w:val="single" w:color="auto" w:sz="4" w:space="0"/>
              <w:right w:val="single" w:color="auto" w:sz="4" w:space="0"/>
            </w:tcBorders>
            <w:vAlign w:val="center"/>
          </w:tcPr>
          <w:p w14:paraId="66AB27D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2020年1月11日</w:t>
            </w:r>
          </w:p>
        </w:tc>
        <w:tc>
          <w:tcPr>
            <w:tcW w:w="685" w:type="pct"/>
            <w:tcBorders>
              <w:top w:val="single" w:color="auto" w:sz="4" w:space="0"/>
              <w:right w:val="single" w:color="auto" w:sz="4" w:space="0"/>
            </w:tcBorders>
            <w:vAlign w:val="center"/>
          </w:tcPr>
          <w:p w14:paraId="68A30E3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2020年1月12日</w:t>
            </w:r>
          </w:p>
        </w:tc>
        <w:tc>
          <w:tcPr>
            <w:tcW w:w="422" w:type="pct"/>
            <w:vMerge w:val="continue"/>
            <w:tcBorders>
              <w:right w:val="single" w:color="auto" w:sz="4" w:space="0"/>
            </w:tcBorders>
            <w:vAlign w:val="center"/>
          </w:tcPr>
          <w:p w14:paraId="34159BA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82" w:type="pct"/>
            <w:vMerge w:val="continue"/>
            <w:tcBorders>
              <w:right w:val="single" w:color="auto" w:sz="4" w:space="0"/>
            </w:tcBorders>
            <w:vAlign w:val="center"/>
          </w:tcPr>
          <w:p w14:paraId="7010C26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555" w:type="pct"/>
            <w:vMerge w:val="continue"/>
            <w:tcBorders>
              <w:right w:val="single" w:color="auto" w:sz="12" w:space="0"/>
            </w:tcBorders>
            <w:vAlign w:val="center"/>
          </w:tcPr>
          <w:p w14:paraId="0118D3A1">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41E00E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restart"/>
            <w:tcBorders>
              <w:left w:val="single" w:color="auto" w:sz="12" w:space="0"/>
            </w:tcBorders>
            <w:vAlign w:val="center"/>
          </w:tcPr>
          <w:p w14:paraId="3AA6AD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W2</w:t>
            </w:r>
          </w:p>
          <w:p w14:paraId="316882D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建滔取水口上游500m</w:t>
            </w:r>
          </w:p>
        </w:tc>
        <w:tc>
          <w:tcPr>
            <w:tcW w:w="635" w:type="pct"/>
            <w:tcBorders>
              <w:left w:val="single" w:color="auto" w:sz="4" w:space="0"/>
            </w:tcBorders>
            <w:vAlign w:val="center"/>
          </w:tcPr>
          <w:p w14:paraId="38E18A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pH</w:t>
            </w:r>
          </w:p>
        </w:tc>
        <w:tc>
          <w:tcPr>
            <w:tcW w:w="419" w:type="pct"/>
            <w:tcBorders>
              <w:left w:val="single" w:color="auto" w:sz="4" w:space="0"/>
            </w:tcBorders>
            <w:vAlign w:val="center"/>
          </w:tcPr>
          <w:p w14:paraId="32A57F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无量纲</w:t>
            </w:r>
          </w:p>
        </w:tc>
        <w:tc>
          <w:tcPr>
            <w:tcW w:w="685" w:type="pct"/>
            <w:vAlign w:val="center"/>
          </w:tcPr>
          <w:p w14:paraId="55AC753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7.42</w:t>
            </w:r>
          </w:p>
        </w:tc>
        <w:tc>
          <w:tcPr>
            <w:tcW w:w="685" w:type="pct"/>
            <w:tcBorders>
              <w:right w:val="single" w:color="auto" w:sz="4" w:space="0"/>
            </w:tcBorders>
            <w:vAlign w:val="center"/>
          </w:tcPr>
          <w:p w14:paraId="4E47371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7.85</w:t>
            </w:r>
          </w:p>
        </w:tc>
        <w:tc>
          <w:tcPr>
            <w:tcW w:w="685" w:type="pct"/>
            <w:tcBorders>
              <w:right w:val="single" w:color="auto" w:sz="4" w:space="0"/>
            </w:tcBorders>
            <w:vAlign w:val="center"/>
          </w:tcPr>
          <w:p w14:paraId="1DD6C9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7.59</w:t>
            </w:r>
          </w:p>
        </w:tc>
        <w:tc>
          <w:tcPr>
            <w:tcW w:w="422" w:type="pct"/>
            <w:tcBorders>
              <w:right w:val="single" w:color="auto" w:sz="4" w:space="0"/>
            </w:tcBorders>
            <w:vAlign w:val="center"/>
          </w:tcPr>
          <w:p w14:paraId="316181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382" w:type="pct"/>
            <w:tcBorders>
              <w:right w:val="single" w:color="auto" w:sz="4" w:space="0"/>
            </w:tcBorders>
            <w:vAlign w:val="center"/>
          </w:tcPr>
          <w:p w14:paraId="3C4E2CA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7036D6F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02765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34457E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0FEACEF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溶解氧</w:t>
            </w:r>
          </w:p>
        </w:tc>
        <w:tc>
          <w:tcPr>
            <w:tcW w:w="419" w:type="pct"/>
            <w:tcBorders>
              <w:left w:val="single" w:color="auto" w:sz="4" w:space="0"/>
            </w:tcBorders>
            <w:vAlign w:val="center"/>
          </w:tcPr>
          <w:p w14:paraId="1CB3C50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vAlign w:val="center"/>
          </w:tcPr>
          <w:p w14:paraId="07A852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7.01</w:t>
            </w:r>
          </w:p>
        </w:tc>
        <w:tc>
          <w:tcPr>
            <w:tcW w:w="685" w:type="pct"/>
            <w:tcBorders>
              <w:right w:val="single" w:color="auto" w:sz="4" w:space="0"/>
            </w:tcBorders>
            <w:vAlign w:val="center"/>
          </w:tcPr>
          <w:p w14:paraId="1452D5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7.32</w:t>
            </w:r>
          </w:p>
        </w:tc>
        <w:tc>
          <w:tcPr>
            <w:tcW w:w="685" w:type="pct"/>
            <w:tcBorders>
              <w:right w:val="single" w:color="auto" w:sz="4" w:space="0"/>
            </w:tcBorders>
            <w:vAlign w:val="center"/>
          </w:tcPr>
          <w:p w14:paraId="566982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7.24</w:t>
            </w:r>
          </w:p>
        </w:tc>
        <w:tc>
          <w:tcPr>
            <w:tcW w:w="422" w:type="pct"/>
            <w:tcBorders>
              <w:right w:val="single" w:color="auto" w:sz="4" w:space="0"/>
            </w:tcBorders>
            <w:vAlign w:val="center"/>
          </w:tcPr>
          <w:p w14:paraId="25AF4CF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382" w:type="pct"/>
            <w:tcBorders>
              <w:right w:val="single" w:color="auto" w:sz="4" w:space="0"/>
            </w:tcBorders>
            <w:vAlign w:val="center"/>
          </w:tcPr>
          <w:p w14:paraId="439C59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7B69C5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446CE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532" w:type="pct"/>
            <w:vMerge w:val="continue"/>
            <w:tcBorders>
              <w:left w:val="single" w:color="auto" w:sz="12" w:space="0"/>
            </w:tcBorders>
            <w:vAlign w:val="center"/>
          </w:tcPr>
          <w:p w14:paraId="6526519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1DE2A17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水温</w:t>
            </w:r>
          </w:p>
        </w:tc>
        <w:tc>
          <w:tcPr>
            <w:tcW w:w="419" w:type="pct"/>
            <w:tcBorders>
              <w:left w:val="single" w:color="auto" w:sz="4" w:space="0"/>
            </w:tcBorders>
            <w:vAlign w:val="center"/>
          </w:tcPr>
          <w:p w14:paraId="275C04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685" w:type="pct"/>
            <w:vAlign w:val="center"/>
          </w:tcPr>
          <w:p w14:paraId="08523D9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8.7</w:t>
            </w:r>
          </w:p>
        </w:tc>
        <w:tc>
          <w:tcPr>
            <w:tcW w:w="685" w:type="pct"/>
            <w:tcBorders>
              <w:right w:val="single" w:color="auto" w:sz="4" w:space="0"/>
            </w:tcBorders>
            <w:vAlign w:val="center"/>
          </w:tcPr>
          <w:p w14:paraId="07CE171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8.4</w:t>
            </w:r>
          </w:p>
        </w:tc>
        <w:tc>
          <w:tcPr>
            <w:tcW w:w="685" w:type="pct"/>
            <w:tcBorders>
              <w:right w:val="single" w:color="auto" w:sz="4" w:space="0"/>
            </w:tcBorders>
            <w:vAlign w:val="center"/>
          </w:tcPr>
          <w:p w14:paraId="597F658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w:t>
            </w:r>
          </w:p>
        </w:tc>
        <w:tc>
          <w:tcPr>
            <w:tcW w:w="422" w:type="pct"/>
            <w:tcBorders>
              <w:right w:val="single" w:color="auto" w:sz="4" w:space="0"/>
            </w:tcBorders>
            <w:vAlign w:val="center"/>
          </w:tcPr>
          <w:p w14:paraId="341DAED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382" w:type="pct"/>
            <w:tcBorders>
              <w:right w:val="single" w:color="auto" w:sz="4" w:space="0"/>
            </w:tcBorders>
            <w:vAlign w:val="center"/>
          </w:tcPr>
          <w:p w14:paraId="5C498A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2F483A2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4C0D6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412AFB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1995FE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419" w:type="pct"/>
            <w:tcBorders>
              <w:left w:val="single" w:color="auto" w:sz="4" w:space="0"/>
              <w:bottom w:val="single" w:color="000000" w:sz="4" w:space="0"/>
            </w:tcBorders>
            <w:vAlign w:val="center"/>
          </w:tcPr>
          <w:p w14:paraId="7F9BDEF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vAlign w:val="center"/>
          </w:tcPr>
          <w:p w14:paraId="09AE438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685" w:type="pct"/>
            <w:tcBorders>
              <w:right w:val="single" w:color="auto" w:sz="4" w:space="0"/>
            </w:tcBorders>
            <w:vAlign w:val="center"/>
          </w:tcPr>
          <w:p w14:paraId="0000CAE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w:t>
            </w:r>
          </w:p>
        </w:tc>
        <w:tc>
          <w:tcPr>
            <w:tcW w:w="685" w:type="pct"/>
            <w:tcBorders>
              <w:right w:val="single" w:color="auto" w:sz="4" w:space="0"/>
            </w:tcBorders>
            <w:vAlign w:val="center"/>
          </w:tcPr>
          <w:p w14:paraId="71D2719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422" w:type="pct"/>
            <w:tcBorders>
              <w:right w:val="single" w:color="auto" w:sz="4" w:space="0"/>
            </w:tcBorders>
            <w:vAlign w:val="center"/>
          </w:tcPr>
          <w:p w14:paraId="6AC208D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382" w:type="pct"/>
            <w:tcBorders>
              <w:right w:val="single" w:color="auto" w:sz="4" w:space="0"/>
            </w:tcBorders>
            <w:vAlign w:val="center"/>
          </w:tcPr>
          <w:p w14:paraId="6DD76AF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268B73F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31327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1EBC6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6C671F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五日生化需氧量</w:t>
            </w:r>
          </w:p>
        </w:tc>
        <w:tc>
          <w:tcPr>
            <w:tcW w:w="419" w:type="pct"/>
            <w:tcBorders>
              <w:top w:val="single" w:color="000000" w:sz="4" w:space="0"/>
              <w:left w:val="single" w:color="auto" w:sz="4" w:space="0"/>
            </w:tcBorders>
            <w:vAlign w:val="center"/>
          </w:tcPr>
          <w:p w14:paraId="4F72A1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vAlign w:val="center"/>
          </w:tcPr>
          <w:p w14:paraId="4F21A06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w:t>
            </w:r>
          </w:p>
        </w:tc>
        <w:tc>
          <w:tcPr>
            <w:tcW w:w="685" w:type="pct"/>
            <w:tcBorders>
              <w:right w:val="single" w:color="auto" w:sz="4" w:space="0"/>
            </w:tcBorders>
            <w:vAlign w:val="center"/>
          </w:tcPr>
          <w:p w14:paraId="37B4515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1.9</w:t>
            </w:r>
          </w:p>
        </w:tc>
        <w:tc>
          <w:tcPr>
            <w:tcW w:w="685" w:type="pct"/>
            <w:tcBorders>
              <w:right w:val="single" w:color="auto" w:sz="4" w:space="0"/>
            </w:tcBorders>
            <w:vAlign w:val="center"/>
          </w:tcPr>
          <w:p w14:paraId="4201676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w:t>
            </w:r>
          </w:p>
        </w:tc>
        <w:tc>
          <w:tcPr>
            <w:tcW w:w="422" w:type="pct"/>
            <w:tcBorders>
              <w:right w:val="single" w:color="auto" w:sz="4" w:space="0"/>
            </w:tcBorders>
            <w:vAlign w:val="center"/>
          </w:tcPr>
          <w:p w14:paraId="5A7C728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382" w:type="pct"/>
            <w:tcBorders>
              <w:right w:val="single" w:color="auto" w:sz="4" w:space="0"/>
            </w:tcBorders>
            <w:vAlign w:val="center"/>
          </w:tcPr>
          <w:p w14:paraId="528AD14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610BA01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425AC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22545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70500E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总磷</w:t>
            </w:r>
          </w:p>
        </w:tc>
        <w:tc>
          <w:tcPr>
            <w:tcW w:w="419" w:type="pct"/>
            <w:tcBorders>
              <w:left w:val="single" w:color="auto" w:sz="4" w:space="0"/>
            </w:tcBorders>
            <w:vAlign w:val="center"/>
          </w:tcPr>
          <w:p w14:paraId="7DD078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vAlign w:val="center"/>
          </w:tcPr>
          <w:p w14:paraId="42BBEEF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685" w:type="pct"/>
            <w:tcBorders>
              <w:right w:val="single" w:color="auto" w:sz="4" w:space="0"/>
            </w:tcBorders>
            <w:vAlign w:val="center"/>
          </w:tcPr>
          <w:p w14:paraId="50E9B8A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685" w:type="pct"/>
            <w:tcBorders>
              <w:right w:val="single" w:color="auto" w:sz="4" w:space="0"/>
            </w:tcBorders>
            <w:vAlign w:val="center"/>
          </w:tcPr>
          <w:p w14:paraId="126C25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422" w:type="pct"/>
            <w:tcBorders>
              <w:right w:val="single" w:color="auto" w:sz="4" w:space="0"/>
            </w:tcBorders>
            <w:vAlign w:val="center"/>
          </w:tcPr>
          <w:p w14:paraId="60C1C14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4011ECD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4FF98EA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2FF0B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5A10D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0F863BC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419" w:type="pct"/>
            <w:tcBorders>
              <w:left w:val="single" w:color="auto" w:sz="4" w:space="0"/>
              <w:bottom w:val="single" w:color="auto" w:sz="4" w:space="0"/>
            </w:tcBorders>
            <w:vAlign w:val="center"/>
          </w:tcPr>
          <w:p w14:paraId="2AD88B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vAlign w:val="center"/>
          </w:tcPr>
          <w:p w14:paraId="0E0D3E0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0.485</w:t>
            </w:r>
          </w:p>
        </w:tc>
        <w:tc>
          <w:tcPr>
            <w:tcW w:w="685" w:type="pct"/>
            <w:tcBorders>
              <w:right w:val="single" w:color="auto" w:sz="4" w:space="0"/>
            </w:tcBorders>
            <w:vAlign w:val="center"/>
          </w:tcPr>
          <w:p w14:paraId="674D22A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0.491</w:t>
            </w:r>
          </w:p>
        </w:tc>
        <w:tc>
          <w:tcPr>
            <w:tcW w:w="685" w:type="pct"/>
            <w:tcBorders>
              <w:right w:val="single" w:color="auto" w:sz="4" w:space="0"/>
            </w:tcBorders>
            <w:vAlign w:val="center"/>
          </w:tcPr>
          <w:p w14:paraId="582954B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0.477</w:t>
            </w:r>
          </w:p>
        </w:tc>
        <w:tc>
          <w:tcPr>
            <w:tcW w:w="422" w:type="pct"/>
            <w:tcBorders>
              <w:right w:val="single" w:color="auto" w:sz="4" w:space="0"/>
            </w:tcBorders>
            <w:vAlign w:val="center"/>
          </w:tcPr>
          <w:p w14:paraId="57AD266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2395E25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097EEE6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AD6A1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D1ACA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0FD534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w:t>
            </w:r>
          </w:p>
        </w:tc>
        <w:tc>
          <w:tcPr>
            <w:tcW w:w="419" w:type="pct"/>
            <w:tcBorders>
              <w:left w:val="single" w:color="auto" w:sz="4" w:space="0"/>
              <w:bottom w:val="single" w:color="000000" w:sz="4" w:space="0"/>
            </w:tcBorders>
            <w:vAlign w:val="center"/>
          </w:tcPr>
          <w:p w14:paraId="4F9DC83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Borders>
              <w:bottom w:val="single" w:color="auto" w:sz="4" w:space="0"/>
            </w:tcBorders>
            <w:vAlign w:val="center"/>
          </w:tcPr>
          <w:p w14:paraId="2F1D85F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6A369BA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1B9393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2" w:type="pct"/>
            <w:tcBorders>
              <w:right w:val="single" w:color="auto" w:sz="4" w:space="0"/>
            </w:tcBorders>
            <w:vAlign w:val="center"/>
          </w:tcPr>
          <w:p w14:paraId="0B2618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35FFC40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13EA65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A611B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3D72E0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33A5EC8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氟化物</w:t>
            </w:r>
          </w:p>
        </w:tc>
        <w:tc>
          <w:tcPr>
            <w:tcW w:w="419" w:type="pct"/>
            <w:tcBorders>
              <w:top w:val="single" w:color="000000" w:sz="4" w:space="0"/>
              <w:left w:val="single" w:color="auto" w:sz="4" w:space="0"/>
            </w:tcBorders>
            <w:vAlign w:val="center"/>
          </w:tcPr>
          <w:p w14:paraId="4A85EE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Pr>
          <w:p w14:paraId="060B55D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0.369</w:t>
            </w:r>
          </w:p>
        </w:tc>
        <w:tc>
          <w:tcPr>
            <w:tcW w:w="685" w:type="pct"/>
            <w:tcBorders>
              <w:right w:val="single" w:color="auto" w:sz="4" w:space="0"/>
            </w:tcBorders>
          </w:tcPr>
          <w:p w14:paraId="1A2B7CC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0.304</w:t>
            </w:r>
          </w:p>
        </w:tc>
        <w:tc>
          <w:tcPr>
            <w:tcW w:w="685" w:type="pct"/>
            <w:tcBorders>
              <w:right w:val="single" w:color="auto" w:sz="4" w:space="0"/>
            </w:tcBorders>
          </w:tcPr>
          <w:p w14:paraId="42CB23E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0.311</w:t>
            </w:r>
          </w:p>
        </w:tc>
        <w:tc>
          <w:tcPr>
            <w:tcW w:w="422" w:type="pct"/>
            <w:tcBorders>
              <w:right w:val="single" w:color="auto" w:sz="4" w:space="0"/>
            </w:tcBorders>
            <w:vAlign w:val="center"/>
          </w:tcPr>
          <w:p w14:paraId="3D881D5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27832E2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187AF31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8190C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096D9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1449E30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氯化物</w:t>
            </w:r>
          </w:p>
        </w:tc>
        <w:tc>
          <w:tcPr>
            <w:tcW w:w="419" w:type="pct"/>
            <w:tcBorders>
              <w:left w:val="single" w:color="auto" w:sz="4" w:space="0"/>
            </w:tcBorders>
            <w:vAlign w:val="center"/>
          </w:tcPr>
          <w:p w14:paraId="62FBD92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Pr>
          <w:p w14:paraId="0FA074D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14.9</w:t>
            </w:r>
          </w:p>
        </w:tc>
        <w:tc>
          <w:tcPr>
            <w:tcW w:w="685" w:type="pct"/>
            <w:tcBorders>
              <w:right w:val="single" w:color="auto" w:sz="4" w:space="0"/>
            </w:tcBorders>
          </w:tcPr>
          <w:p w14:paraId="4EBCED6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12.8</w:t>
            </w:r>
          </w:p>
        </w:tc>
        <w:tc>
          <w:tcPr>
            <w:tcW w:w="685" w:type="pct"/>
            <w:tcBorders>
              <w:right w:val="single" w:color="auto" w:sz="4" w:space="0"/>
            </w:tcBorders>
          </w:tcPr>
          <w:p w14:paraId="7769D4B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13.0</w:t>
            </w:r>
          </w:p>
        </w:tc>
        <w:tc>
          <w:tcPr>
            <w:tcW w:w="422" w:type="pct"/>
            <w:tcBorders>
              <w:right w:val="single" w:color="auto" w:sz="4" w:space="0"/>
            </w:tcBorders>
            <w:vAlign w:val="center"/>
          </w:tcPr>
          <w:p w14:paraId="4EBAB4A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7A06E3D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09D578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4ECC9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7F5782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5A38C8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硫酸盐</w:t>
            </w:r>
          </w:p>
        </w:tc>
        <w:tc>
          <w:tcPr>
            <w:tcW w:w="419" w:type="pct"/>
            <w:tcBorders>
              <w:left w:val="single" w:color="auto" w:sz="4" w:space="0"/>
            </w:tcBorders>
            <w:vAlign w:val="center"/>
          </w:tcPr>
          <w:p w14:paraId="7354185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Pr>
          <w:p w14:paraId="1EF47EA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25.3</w:t>
            </w:r>
          </w:p>
        </w:tc>
        <w:tc>
          <w:tcPr>
            <w:tcW w:w="685" w:type="pct"/>
            <w:tcBorders>
              <w:right w:val="single" w:color="auto" w:sz="4" w:space="0"/>
            </w:tcBorders>
          </w:tcPr>
          <w:p w14:paraId="66A3475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24.4</w:t>
            </w:r>
          </w:p>
        </w:tc>
        <w:tc>
          <w:tcPr>
            <w:tcW w:w="685" w:type="pct"/>
            <w:tcBorders>
              <w:right w:val="single" w:color="auto" w:sz="4" w:space="0"/>
            </w:tcBorders>
          </w:tcPr>
          <w:p w14:paraId="67E1B41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24.9</w:t>
            </w:r>
          </w:p>
        </w:tc>
        <w:tc>
          <w:tcPr>
            <w:tcW w:w="422" w:type="pct"/>
            <w:tcBorders>
              <w:right w:val="single" w:color="auto" w:sz="4" w:space="0"/>
            </w:tcBorders>
            <w:vAlign w:val="center"/>
          </w:tcPr>
          <w:p w14:paraId="5FB1A7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480C004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76E53B9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A931A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7E87E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707098E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硫化物</w:t>
            </w:r>
          </w:p>
        </w:tc>
        <w:tc>
          <w:tcPr>
            <w:tcW w:w="419" w:type="pct"/>
            <w:tcBorders>
              <w:left w:val="single" w:color="auto" w:sz="4" w:space="0"/>
            </w:tcBorders>
            <w:vAlign w:val="center"/>
          </w:tcPr>
          <w:p w14:paraId="710E10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vAlign w:val="center"/>
          </w:tcPr>
          <w:p w14:paraId="764ED63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7B793F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117D2A2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2" w:type="pct"/>
            <w:tcBorders>
              <w:right w:val="single" w:color="auto" w:sz="4" w:space="0"/>
            </w:tcBorders>
            <w:vAlign w:val="center"/>
          </w:tcPr>
          <w:p w14:paraId="3BE76B8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1393FF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6E644A3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23DE2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0F2CE9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56CF0C6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挥发酚</w:t>
            </w:r>
          </w:p>
        </w:tc>
        <w:tc>
          <w:tcPr>
            <w:tcW w:w="419" w:type="pct"/>
            <w:tcBorders>
              <w:left w:val="single" w:color="auto" w:sz="4" w:space="0"/>
            </w:tcBorders>
            <w:vAlign w:val="center"/>
          </w:tcPr>
          <w:p w14:paraId="6F6ABA9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Pr>
          <w:p w14:paraId="0D9D5B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w:t>
            </w:r>
          </w:p>
        </w:tc>
        <w:tc>
          <w:tcPr>
            <w:tcW w:w="685" w:type="pct"/>
            <w:tcBorders>
              <w:right w:val="single" w:color="auto" w:sz="4" w:space="0"/>
            </w:tcBorders>
          </w:tcPr>
          <w:p w14:paraId="0B48AB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w:t>
            </w:r>
          </w:p>
        </w:tc>
        <w:tc>
          <w:tcPr>
            <w:tcW w:w="685" w:type="pct"/>
            <w:tcBorders>
              <w:right w:val="single" w:color="auto" w:sz="4" w:space="0"/>
            </w:tcBorders>
          </w:tcPr>
          <w:p w14:paraId="7CE89E0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w:t>
            </w:r>
          </w:p>
        </w:tc>
        <w:tc>
          <w:tcPr>
            <w:tcW w:w="422" w:type="pct"/>
            <w:tcBorders>
              <w:right w:val="single" w:color="auto" w:sz="4" w:space="0"/>
            </w:tcBorders>
            <w:vAlign w:val="center"/>
          </w:tcPr>
          <w:p w14:paraId="212EE86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0C79579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7FE547A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46943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6B72EF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29E64C4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粪大肠菌群</w:t>
            </w:r>
          </w:p>
        </w:tc>
        <w:tc>
          <w:tcPr>
            <w:tcW w:w="419" w:type="pct"/>
            <w:tcBorders>
              <w:left w:val="single" w:color="auto" w:sz="4" w:space="0"/>
            </w:tcBorders>
            <w:vAlign w:val="center"/>
          </w:tcPr>
          <w:p w14:paraId="00EF2B6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MPN/L</w:t>
            </w:r>
          </w:p>
        </w:tc>
        <w:tc>
          <w:tcPr>
            <w:tcW w:w="685" w:type="pct"/>
          </w:tcPr>
          <w:p w14:paraId="24DA1A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685" w:type="pct"/>
            <w:tcBorders>
              <w:right w:val="single" w:color="auto" w:sz="4" w:space="0"/>
            </w:tcBorders>
          </w:tcPr>
          <w:p w14:paraId="7F7E67F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685" w:type="pct"/>
            <w:tcBorders>
              <w:right w:val="single" w:color="auto" w:sz="4" w:space="0"/>
            </w:tcBorders>
          </w:tcPr>
          <w:p w14:paraId="2105AC0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422" w:type="pct"/>
            <w:tcBorders>
              <w:right w:val="single" w:color="auto" w:sz="4" w:space="0"/>
            </w:tcBorders>
            <w:vAlign w:val="center"/>
          </w:tcPr>
          <w:p w14:paraId="20850A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10000</w:t>
            </w:r>
          </w:p>
        </w:tc>
        <w:tc>
          <w:tcPr>
            <w:tcW w:w="382" w:type="pct"/>
            <w:tcBorders>
              <w:right w:val="single" w:color="auto" w:sz="4" w:space="0"/>
            </w:tcBorders>
            <w:vAlign w:val="center"/>
          </w:tcPr>
          <w:p w14:paraId="118641A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178779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76384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E5E0A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434F2A5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氯乙烯</w:t>
            </w:r>
          </w:p>
        </w:tc>
        <w:tc>
          <w:tcPr>
            <w:tcW w:w="419" w:type="pct"/>
            <w:tcBorders>
              <w:left w:val="single" w:color="auto" w:sz="4" w:space="0"/>
            </w:tcBorders>
            <w:vAlign w:val="center"/>
          </w:tcPr>
          <w:p w14:paraId="2099A50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vAlign w:val="center"/>
          </w:tcPr>
          <w:p w14:paraId="7CF084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0533DD4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387FB4D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2" w:type="pct"/>
            <w:tcBorders>
              <w:right w:val="single" w:color="auto" w:sz="4" w:space="0"/>
            </w:tcBorders>
            <w:vAlign w:val="center"/>
          </w:tcPr>
          <w:p w14:paraId="70D31B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15FA3C8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1CEF00D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49A9D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0DE2E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688BCC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六价铬</w:t>
            </w:r>
          </w:p>
        </w:tc>
        <w:tc>
          <w:tcPr>
            <w:tcW w:w="419" w:type="pct"/>
            <w:tcBorders>
              <w:left w:val="single" w:color="auto" w:sz="4" w:space="0"/>
              <w:bottom w:val="single" w:color="000000" w:sz="4" w:space="0"/>
            </w:tcBorders>
            <w:vAlign w:val="center"/>
          </w:tcPr>
          <w:p w14:paraId="0B6599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vAlign w:val="center"/>
          </w:tcPr>
          <w:p w14:paraId="4D7A310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25C9E87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43CBF1C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2" w:type="pct"/>
            <w:tcBorders>
              <w:right w:val="single" w:color="auto" w:sz="4" w:space="0"/>
            </w:tcBorders>
            <w:vAlign w:val="center"/>
          </w:tcPr>
          <w:p w14:paraId="2DA1F5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0DB85C8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66EE9D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F20D9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00298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2750445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w:t>
            </w:r>
          </w:p>
        </w:tc>
        <w:tc>
          <w:tcPr>
            <w:tcW w:w="419" w:type="pct"/>
            <w:tcBorders>
              <w:top w:val="single" w:color="000000" w:sz="4" w:space="0"/>
              <w:left w:val="single" w:color="auto" w:sz="4" w:space="0"/>
            </w:tcBorders>
            <w:vAlign w:val="center"/>
          </w:tcPr>
          <w:p w14:paraId="59904F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Pr>
          <w:p w14:paraId="372E27F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tcPr>
          <w:p w14:paraId="54148D3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tcPr>
          <w:p w14:paraId="018CD9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2" w:type="pct"/>
            <w:tcBorders>
              <w:right w:val="single" w:color="auto" w:sz="4" w:space="0"/>
            </w:tcBorders>
            <w:vAlign w:val="center"/>
          </w:tcPr>
          <w:p w14:paraId="0826689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161B04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right w:val="single" w:color="auto" w:sz="12" w:space="0"/>
            </w:tcBorders>
            <w:vAlign w:val="center"/>
          </w:tcPr>
          <w:p w14:paraId="001A01C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9FCA4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247CEE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auto" w:sz="4" w:space="0"/>
            </w:tcBorders>
            <w:vAlign w:val="center"/>
          </w:tcPr>
          <w:p w14:paraId="123156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419" w:type="pct"/>
            <w:tcBorders>
              <w:left w:val="single" w:color="auto" w:sz="4" w:space="0"/>
              <w:bottom w:val="single" w:color="auto" w:sz="4" w:space="0"/>
            </w:tcBorders>
            <w:vAlign w:val="center"/>
          </w:tcPr>
          <w:p w14:paraId="55E0A8C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Borders>
              <w:bottom w:val="single" w:color="auto" w:sz="4" w:space="0"/>
            </w:tcBorders>
          </w:tcPr>
          <w:p w14:paraId="5D7D787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0.00692</w:t>
            </w:r>
          </w:p>
        </w:tc>
        <w:tc>
          <w:tcPr>
            <w:tcW w:w="685" w:type="pct"/>
            <w:tcBorders>
              <w:bottom w:val="single" w:color="auto" w:sz="4" w:space="0"/>
              <w:right w:val="single" w:color="auto" w:sz="4" w:space="0"/>
            </w:tcBorders>
          </w:tcPr>
          <w:p w14:paraId="520BE3C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0.00710</w:t>
            </w:r>
          </w:p>
        </w:tc>
        <w:tc>
          <w:tcPr>
            <w:tcW w:w="685" w:type="pct"/>
            <w:tcBorders>
              <w:bottom w:val="single" w:color="auto" w:sz="4" w:space="0"/>
              <w:right w:val="single" w:color="auto" w:sz="4" w:space="0"/>
            </w:tcBorders>
          </w:tcPr>
          <w:p w14:paraId="6516622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0.00697</w:t>
            </w:r>
          </w:p>
        </w:tc>
        <w:tc>
          <w:tcPr>
            <w:tcW w:w="422" w:type="pct"/>
            <w:tcBorders>
              <w:bottom w:val="single" w:color="auto" w:sz="4" w:space="0"/>
              <w:right w:val="single" w:color="auto" w:sz="4" w:space="0"/>
            </w:tcBorders>
            <w:vAlign w:val="center"/>
          </w:tcPr>
          <w:p w14:paraId="00DA899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bottom w:val="single" w:color="auto" w:sz="4" w:space="0"/>
              <w:right w:val="single" w:color="auto" w:sz="4" w:space="0"/>
            </w:tcBorders>
            <w:vAlign w:val="center"/>
          </w:tcPr>
          <w:p w14:paraId="1F8DE50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bottom w:val="single" w:color="auto" w:sz="4" w:space="0"/>
              <w:right w:val="single" w:color="auto" w:sz="12" w:space="0"/>
            </w:tcBorders>
            <w:vAlign w:val="center"/>
          </w:tcPr>
          <w:p w14:paraId="4AADC73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1D24C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C741AB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515DEFC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镉</w:t>
            </w:r>
          </w:p>
        </w:tc>
        <w:tc>
          <w:tcPr>
            <w:tcW w:w="419" w:type="pct"/>
            <w:tcBorders>
              <w:top w:val="single" w:color="auto" w:sz="4" w:space="0"/>
              <w:left w:val="single" w:color="auto" w:sz="4" w:space="0"/>
            </w:tcBorders>
            <w:vAlign w:val="center"/>
          </w:tcPr>
          <w:p w14:paraId="2AB765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Borders>
              <w:top w:val="single" w:color="auto" w:sz="4" w:space="0"/>
            </w:tcBorders>
          </w:tcPr>
          <w:p w14:paraId="619B57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0.00021</w:t>
            </w:r>
          </w:p>
        </w:tc>
        <w:tc>
          <w:tcPr>
            <w:tcW w:w="685" w:type="pct"/>
            <w:tcBorders>
              <w:top w:val="single" w:color="auto" w:sz="4" w:space="0"/>
              <w:right w:val="single" w:color="auto" w:sz="4" w:space="0"/>
            </w:tcBorders>
          </w:tcPr>
          <w:p w14:paraId="70E2CA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0.00022</w:t>
            </w:r>
          </w:p>
        </w:tc>
        <w:tc>
          <w:tcPr>
            <w:tcW w:w="685" w:type="pct"/>
            <w:tcBorders>
              <w:top w:val="single" w:color="auto" w:sz="4" w:space="0"/>
              <w:right w:val="single" w:color="auto" w:sz="4" w:space="0"/>
            </w:tcBorders>
          </w:tcPr>
          <w:p w14:paraId="692CFF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0.00019</w:t>
            </w:r>
          </w:p>
        </w:tc>
        <w:tc>
          <w:tcPr>
            <w:tcW w:w="422" w:type="pct"/>
            <w:tcBorders>
              <w:top w:val="single" w:color="auto" w:sz="4" w:space="0"/>
              <w:right w:val="single" w:color="auto" w:sz="4" w:space="0"/>
            </w:tcBorders>
            <w:vAlign w:val="center"/>
          </w:tcPr>
          <w:p w14:paraId="5DC7769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top w:val="single" w:color="auto" w:sz="4" w:space="0"/>
              <w:right w:val="single" w:color="auto" w:sz="4" w:space="0"/>
            </w:tcBorders>
            <w:vAlign w:val="center"/>
          </w:tcPr>
          <w:p w14:paraId="20CCAD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top w:val="single" w:color="auto" w:sz="4" w:space="0"/>
              <w:right w:val="single" w:color="auto" w:sz="12" w:space="0"/>
            </w:tcBorders>
            <w:vAlign w:val="center"/>
          </w:tcPr>
          <w:p w14:paraId="6348B16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555A3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ED2EEE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26436A9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419" w:type="pct"/>
            <w:tcBorders>
              <w:top w:val="single" w:color="auto" w:sz="4" w:space="0"/>
              <w:left w:val="single" w:color="auto" w:sz="4" w:space="0"/>
            </w:tcBorders>
            <w:vAlign w:val="center"/>
          </w:tcPr>
          <w:p w14:paraId="4CA6376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Borders>
              <w:top w:val="single" w:color="auto" w:sz="4" w:space="0"/>
            </w:tcBorders>
          </w:tcPr>
          <w:p w14:paraId="7B95669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0.00102</w:t>
            </w:r>
          </w:p>
        </w:tc>
        <w:tc>
          <w:tcPr>
            <w:tcW w:w="685" w:type="pct"/>
            <w:tcBorders>
              <w:top w:val="single" w:color="auto" w:sz="4" w:space="0"/>
              <w:right w:val="single" w:color="auto" w:sz="4" w:space="0"/>
            </w:tcBorders>
          </w:tcPr>
          <w:p w14:paraId="0C5EA34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0.00112</w:t>
            </w:r>
          </w:p>
        </w:tc>
        <w:tc>
          <w:tcPr>
            <w:tcW w:w="685" w:type="pct"/>
            <w:tcBorders>
              <w:top w:val="single" w:color="auto" w:sz="4" w:space="0"/>
              <w:right w:val="single" w:color="auto" w:sz="4" w:space="0"/>
            </w:tcBorders>
          </w:tcPr>
          <w:p w14:paraId="44585B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0.00110</w:t>
            </w:r>
          </w:p>
        </w:tc>
        <w:tc>
          <w:tcPr>
            <w:tcW w:w="422" w:type="pct"/>
            <w:tcBorders>
              <w:top w:val="single" w:color="auto" w:sz="4" w:space="0"/>
              <w:right w:val="single" w:color="auto" w:sz="4" w:space="0"/>
            </w:tcBorders>
            <w:vAlign w:val="center"/>
          </w:tcPr>
          <w:p w14:paraId="25C4AE7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51B66ED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top w:val="single" w:color="auto" w:sz="4" w:space="0"/>
              <w:right w:val="single" w:color="auto" w:sz="12" w:space="0"/>
            </w:tcBorders>
            <w:vAlign w:val="center"/>
          </w:tcPr>
          <w:p w14:paraId="60BC6A3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4E741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F9064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69A3D5B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419" w:type="pct"/>
            <w:tcBorders>
              <w:top w:val="single" w:color="auto" w:sz="4" w:space="0"/>
              <w:left w:val="single" w:color="auto" w:sz="4" w:space="0"/>
            </w:tcBorders>
            <w:vAlign w:val="center"/>
          </w:tcPr>
          <w:p w14:paraId="747AC6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Borders>
              <w:top w:val="single" w:color="auto" w:sz="4" w:space="0"/>
            </w:tcBorders>
          </w:tcPr>
          <w:p w14:paraId="2E20AF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0.00695</w:t>
            </w:r>
          </w:p>
        </w:tc>
        <w:tc>
          <w:tcPr>
            <w:tcW w:w="685" w:type="pct"/>
            <w:tcBorders>
              <w:top w:val="single" w:color="auto" w:sz="4" w:space="0"/>
              <w:right w:val="single" w:color="auto" w:sz="4" w:space="0"/>
            </w:tcBorders>
          </w:tcPr>
          <w:p w14:paraId="0F6A91C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0.00617</w:t>
            </w:r>
          </w:p>
        </w:tc>
        <w:tc>
          <w:tcPr>
            <w:tcW w:w="685" w:type="pct"/>
            <w:tcBorders>
              <w:top w:val="single" w:color="auto" w:sz="4" w:space="0"/>
              <w:right w:val="single" w:color="auto" w:sz="4" w:space="0"/>
            </w:tcBorders>
          </w:tcPr>
          <w:p w14:paraId="499BCB0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0.00491</w:t>
            </w:r>
          </w:p>
        </w:tc>
        <w:tc>
          <w:tcPr>
            <w:tcW w:w="422" w:type="pct"/>
            <w:tcBorders>
              <w:top w:val="single" w:color="auto" w:sz="4" w:space="0"/>
              <w:right w:val="single" w:color="auto" w:sz="4" w:space="0"/>
            </w:tcBorders>
            <w:vAlign w:val="center"/>
          </w:tcPr>
          <w:p w14:paraId="368767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4E7FA6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top w:val="single" w:color="auto" w:sz="4" w:space="0"/>
              <w:right w:val="single" w:color="auto" w:sz="12" w:space="0"/>
            </w:tcBorders>
            <w:vAlign w:val="center"/>
          </w:tcPr>
          <w:p w14:paraId="5CF3FE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BED35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C6CD09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7175421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419" w:type="pct"/>
            <w:tcBorders>
              <w:top w:val="single" w:color="auto" w:sz="4" w:space="0"/>
              <w:left w:val="single" w:color="auto" w:sz="4" w:space="0"/>
            </w:tcBorders>
            <w:vAlign w:val="center"/>
          </w:tcPr>
          <w:p w14:paraId="7A05318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Borders>
              <w:top w:val="single" w:color="auto" w:sz="4" w:space="0"/>
            </w:tcBorders>
          </w:tcPr>
          <w:p w14:paraId="0641031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0.00057</w:t>
            </w:r>
          </w:p>
        </w:tc>
        <w:tc>
          <w:tcPr>
            <w:tcW w:w="685" w:type="pct"/>
            <w:tcBorders>
              <w:top w:val="single" w:color="auto" w:sz="4" w:space="0"/>
              <w:right w:val="single" w:color="auto" w:sz="4" w:space="0"/>
            </w:tcBorders>
          </w:tcPr>
          <w:p w14:paraId="5A79883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0.00062</w:t>
            </w:r>
          </w:p>
        </w:tc>
        <w:tc>
          <w:tcPr>
            <w:tcW w:w="685" w:type="pct"/>
            <w:tcBorders>
              <w:top w:val="single" w:color="auto" w:sz="4" w:space="0"/>
              <w:right w:val="single" w:color="auto" w:sz="4" w:space="0"/>
            </w:tcBorders>
          </w:tcPr>
          <w:p w14:paraId="1065EBB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0.00058</w:t>
            </w:r>
          </w:p>
        </w:tc>
        <w:tc>
          <w:tcPr>
            <w:tcW w:w="422" w:type="pct"/>
            <w:tcBorders>
              <w:top w:val="single" w:color="auto" w:sz="4" w:space="0"/>
              <w:right w:val="single" w:color="auto" w:sz="4" w:space="0"/>
            </w:tcBorders>
            <w:vAlign w:val="center"/>
          </w:tcPr>
          <w:p w14:paraId="3E6279F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2" w:type="pct"/>
            <w:tcBorders>
              <w:top w:val="single" w:color="auto" w:sz="4" w:space="0"/>
              <w:right w:val="single" w:color="auto" w:sz="4" w:space="0"/>
            </w:tcBorders>
            <w:vAlign w:val="center"/>
          </w:tcPr>
          <w:p w14:paraId="3B11CC9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top w:val="single" w:color="auto" w:sz="4" w:space="0"/>
              <w:right w:val="single" w:color="auto" w:sz="12" w:space="0"/>
            </w:tcBorders>
            <w:vAlign w:val="center"/>
          </w:tcPr>
          <w:p w14:paraId="76FBA8C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B5879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C988DB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28956A5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铊</w:t>
            </w:r>
          </w:p>
        </w:tc>
        <w:tc>
          <w:tcPr>
            <w:tcW w:w="419" w:type="pct"/>
            <w:tcBorders>
              <w:top w:val="single" w:color="auto" w:sz="4" w:space="0"/>
              <w:left w:val="single" w:color="auto" w:sz="4" w:space="0"/>
            </w:tcBorders>
            <w:vAlign w:val="center"/>
          </w:tcPr>
          <w:p w14:paraId="25795CB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Borders>
              <w:top w:val="single" w:color="auto" w:sz="4" w:space="0"/>
            </w:tcBorders>
          </w:tcPr>
          <w:p w14:paraId="30DBB88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685" w:type="pct"/>
            <w:tcBorders>
              <w:top w:val="single" w:color="auto" w:sz="4" w:space="0"/>
              <w:right w:val="single" w:color="auto" w:sz="4" w:space="0"/>
            </w:tcBorders>
          </w:tcPr>
          <w:p w14:paraId="6C445D5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685" w:type="pct"/>
            <w:tcBorders>
              <w:top w:val="single" w:color="auto" w:sz="4" w:space="0"/>
              <w:right w:val="single" w:color="auto" w:sz="4" w:space="0"/>
            </w:tcBorders>
          </w:tcPr>
          <w:p w14:paraId="6CC4A35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422" w:type="pct"/>
            <w:tcBorders>
              <w:top w:val="single" w:color="auto" w:sz="4" w:space="0"/>
              <w:right w:val="single" w:color="auto" w:sz="4" w:space="0"/>
            </w:tcBorders>
            <w:vAlign w:val="center"/>
          </w:tcPr>
          <w:p w14:paraId="484AAC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right w:val="single" w:color="auto" w:sz="4" w:space="0"/>
            </w:tcBorders>
            <w:vAlign w:val="center"/>
          </w:tcPr>
          <w:p w14:paraId="3715EBF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top w:val="single" w:color="auto" w:sz="4" w:space="0"/>
              <w:right w:val="single" w:color="auto" w:sz="12" w:space="0"/>
            </w:tcBorders>
            <w:vAlign w:val="center"/>
          </w:tcPr>
          <w:p w14:paraId="681AE8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C27D4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9FF39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bottom w:val="single" w:color="auto" w:sz="4" w:space="0"/>
            </w:tcBorders>
            <w:vAlign w:val="center"/>
          </w:tcPr>
          <w:p w14:paraId="555C17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汞</w:t>
            </w:r>
          </w:p>
        </w:tc>
        <w:tc>
          <w:tcPr>
            <w:tcW w:w="419" w:type="pct"/>
            <w:tcBorders>
              <w:top w:val="single" w:color="auto" w:sz="4" w:space="0"/>
              <w:left w:val="single" w:color="auto" w:sz="4" w:space="0"/>
              <w:bottom w:val="single" w:color="auto" w:sz="4" w:space="0"/>
            </w:tcBorders>
            <w:vAlign w:val="center"/>
          </w:tcPr>
          <w:p w14:paraId="28C1861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5" w:type="pct"/>
            <w:tcBorders>
              <w:top w:val="single" w:color="auto" w:sz="4" w:space="0"/>
              <w:bottom w:val="single" w:color="auto" w:sz="4" w:space="0"/>
            </w:tcBorders>
          </w:tcPr>
          <w:p w14:paraId="37EAF78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top w:val="single" w:color="auto" w:sz="4" w:space="0"/>
              <w:bottom w:val="single" w:color="auto" w:sz="4" w:space="0"/>
              <w:right w:val="single" w:color="auto" w:sz="4" w:space="0"/>
            </w:tcBorders>
          </w:tcPr>
          <w:p w14:paraId="68B824C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top w:val="single" w:color="auto" w:sz="4" w:space="0"/>
              <w:bottom w:val="single" w:color="auto" w:sz="4" w:space="0"/>
              <w:right w:val="single" w:color="auto" w:sz="4" w:space="0"/>
            </w:tcBorders>
          </w:tcPr>
          <w:p w14:paraId="11FDD6A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2" w:type="pct"/>
            <w:tcBorders>
              <w:top w:val="single" w:color="auto" w:sz="4" w:space="0"/>
              <w:bottom w:val="single" w:color="auto" w:sz="4" w:space="0"/>
              <w:right w:val="single" w:color="auto" w:sz="4" w:space="0"/>
            </w:tcBorders>
            <w:vAlign w:val="center"/>
          </w:tcPr>
          <w:p w14:paraId="481E069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bottom w:val="single" w:color="auto" w:sz="4" w:space="0"/>
              <w:right w:val="single" w:color="auto" w:sz="4" w:space="0"/>
            </w:tcBorders>
            <w:vAlign w:val="center"/>
          </w:tcPr>
          <w:p w14:paraId="7853D3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5" w:type="pct"/>
            <w:tcBorders>
              <w:top w:val="single" w:color="auto" w:sz="4" w:space="0"/>
              <w:bottom w:val="single" w:color="auto" w:sz="4" w:space="0"/>
              <w:right w:val="single" w:color="auto" w:sz="12" w:space="0"/>
            </w:tcBorders>
            <w:vAlign w:val="center"/>
          </w:tcPr>
          <w:p w14:paraId="1636231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1C8311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9"/>
            <w:tcBorders>
              <w:left w:val="single" w:color="auto" w:sz="12" w:space="0"/>
              <w:bottom w:val="single" w:color="auto" w:sz="12" w:space="0"/>
              <w:right w:val="single" w:color="auto" w:sz="12" w:space="0"/>
            </w:tcBorders>
            <w:vAlign w:val="center"/>
          </w:tcPr>
          <w:p w14:paraId="550737F1">
            <w:pPr>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注：ND=未检出</w:t>
            </w:r>
          </w:p>
        </w:tc>
      </w:tr>
    </w:tbl>
    <w:p w14:paraId="03B27E1D">
      <w:pPr>
        <w:pStyle w:val="13"/>
        <w:jc w:val="center"/>
        <w:rPr>
          <w:rFonts w:hint="default" w:ascii="Times New Roman" w:hAnsi="Times New Roman" w:eastAsia="宋体" w:cs="Times New Roman"/>
          <w:b/>
          <w:bCs/>
          <w:i w:val="0"/>
          <w:iCs w:val="0"/>
          <w:color w:val="auto"/>
          <w:sz w:val="21"/>
          <w:szCs w:val="21"/>
          <w:highlight w:val="none"/>
          <w:u w:val="none" w:color="auto"/>
          <w:lang w:val="en-US" w:eastAsia="zh-CN"/>
        </w:rPr>
        <w:sectPr>
          <w:pgSz w:w="16838" w:h="11906" w:orient="landscape"/>
          <w:pgMar w:top="1440" w:right="1502" w:bottom="1440" w:left="1502" w:header="851" w:footer="680" w:gutter="0"/>
          <w:pgBorders>
            <w:top w:val="none" w:sz="0" w:space="0"/>
            <w:left w:val="none" w:sz="0" w:space="0"/>
            <w:bottom w:val="none" w:sz="0" w:space="0"/>
            <w:right w:val="none" w:sz="0" w:space="0"/>
          </w:pgBorders>
          <w:cols w:space="0" w:num="1"/>
          <w:docGrid w:type="lines" w:linePitch="326" w:charSpace="0"/>
        </w:sectPr>
      </w:pPr>
    </w:p>
    <w:p w14:paraId="440EBE5C">
      <w:pPr>
        <w:pStyle w:val="13"/>
        <w:jc w:val="center"/>
        <w:rPr>
          <w:rFonts w:hint="default" w:ascii="Times New Roman" w:hAnsi="Times New Roman" w:eastAsia="宋体" w:cs="Times New Roman"/>
          <w:b/>
          <w:bCs/>
          <w:i w:val="0"/>
          <w:iCs w:val="0"/>
          <w:color w:val="auto"/>
          <w:sz w:val="21"/>
          <w:szCs w:val="21"/>
          <w:highlight w:val="none"/>
          <w:u w:val="none" w:color="auto"/>
          <w:lang w:val="en-US" w:eastAsia="zh-CN"/>
        </w:rPr>
      </w:pPr>
      <w:r>
        <w:rPr>
          <w:rFonts w:hint="default" w:ascii="Times New Roman" w:hAnsi="Times New Roman" w:eastAsia="宋体" w:cs="Times New Roman"/>
          <w:b/>
          <w:bCs/>
          <w:i w:val="0"/>
          <w:iCs w:val="0"/>
          <w:color w:val="auto"/>
          <w:sz w:val="21"/>
          <w:szCs w:val="21"/>
          <w:highlight w:val="none"/>
          <w:u w:val="none" w:color="auto"/>
          <w:lang w:val="en-US" w:eastAsia="zh-CN"/>
        </w:rPr>
        <w:t>表6.2-2（3）  地表水监测与评价结果一览表</w:t>
      </w: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1784"/>
        <w:gridCol w:w="1034"/>
        <w:gridCol w:w="1973"/>
        <w:gridCol w:w="1973"/>
        <w:gridCol w:w="1973"/>
        <w:gridCol w:w="1189"/>
        <w:gridCol w:w="1073"/>
        <w:gridCol w:w="1557"/>
      </w:tblGrid>
      <w:tr w14:paraId="2DEF31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restart"/>
            <w:tcBorders>
              <w:top w:val="single" w:color="auto" w:sz="12" w:space="0"/>
              <w:left w:val="single" w:color="auto" w:sz="12" w:space="0"/>
            </w:tcBorders>
            <w:vAlign w:val="center"/>
          </w:tcPr>
          <w:p w14:paraId="5E9DD0DC">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监测点位</w:t>
            </w:r>
          </w:p>
        </w:tc>
        <w:tc>
          <w:tcPr>
            <w:tcW w:w="635" w:type="pct"/>
            <w:vMerge w:val="restart"/>
            <w:tcBorders>
              <w:top w:val="single" w:color="auto" w:sz="12" w:space="0"/>
              <w:left w:val="single" w:color="auto" w:sz="4" w:space="0"/>
            </w:tcBorders>
            <w:vAlign w:val="center"/>
          </w:tcPr>
          <w:p w14:paraId="649469D7">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监测项目</w:t>
            </w:r>
          </w:p>
        </w:tc>
        <w:tc>
          <w:tcPr>
            <w:tcW w:w="368" w:type="pct"/>
            <w:vMerge w:val="restart"/>
            <w:tcBorders>
              <w:top w:val="single" w:color="auto" w:sz="12" w:space="0"/>
              <w:left w:val="single" w:color="auto" w:sz="4" w:space="0"/>
            </w:tcBorders>
            <w:vAlign w:val="center"/>
          </w:tcPr>
          <w:p w14:paraId="1D58844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单位</w:t>
            </w:r>
          </w:p>
        </w:tc>
        <w:tc>
          <w:tcPr>
            <w:tcW w:w="2106" w:type="pct"/>
            <w:gridSpan w:val="3"/>
            <w:tcBorders>
              <w:top w:val="single" w:color="auto" w:sz="12" w:space="0"/>
              <w:right w:val="single" w:color="auto" w:sz="4" w:space="0"/>
            </w:tcBorders>
            <w:vAlign w:val="center"/>
          </w:tcPr>
          <w:p w14:paraId="063178D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监测时间及监测结果</w:t>
            </w:r>
          </w:p>
        </w:tc>
        <w:tc>
          <w:tcPr>
            <w:tcW w:w="423" w:type="pct"/>
            <w:vMerge w:val="restart"/>
            <w:tcBorders>
              <w:top w:val="single" w:color="auto" w:sz="12" w:space="0"/>
              <w:right w:val="single" w:color="auto" w:sz="4" w:space="0"/>
            </w:tcBorders>
            <w:vAlign w:val="center"/>
          </w:tcPr>
          <w:p w14:paraId="0A754F7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执行标准</w:t>
            </w:r>
          </w:p>
        </w:tc>
        <w:tc>
          <w:tcPr>
            <w:tcW w:w="382" w:type="pct"/>
            <w:vMerge w:val="restart"/>
            <w:tcBorders>
              <w:top w:val="single" w:color="auto" w:sz="12" w:space="0"/>
              <w:right w:val="single" w:color="auto" w:sz="4" w:space="0"/>
            </w:tcBorders>
            <w:vAlign w:val="center"/>
          </w:tcPr>
          <w:p w14:paraId="6BEE150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超标率（%）</w:t>
            </w:r>
          </w:p>
        </w:tc>
        <w:tc>
          <w:tcPr>
            <w:tcW w:w="554" w:type="pct"/>
            <w:vMerge w:val="restart"/>
            <w:tcBorders>
              <w:top w:val="single" w:color="auto" w:sz="12" w:space="0"/>
              <w:right w:val="single" w:color="auto" w:sz="12" w:space="0"/>
            </w:tcBorders>
            <w:vAlign w:val="center"/>
          </w:tcPr>
          <w:p w14:paraId="449591D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最大超标倍数</w:t>
            </w:r>
          </w:p>
        </w:tc>
      </w:tr>
      <w:tr w14:paraId="210D1F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continue"/>
            <w:tcBorders>
              <w:left w:val="single" w:color="auto" w:sz="12" w:space="0"/>
            </w:tcBorders>
            <w:vAlign w:val="center"/>
          </w:tcPr>
          <w:p w14:paraId="6B0CD007">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635" w:type="pct"/>
            <w:vMerge w:val="continue"/>
            <w:tcBorders>
              <w:left w:val="single" w:color="auto" w:sz="4" w:space="0"/>
            </w:tcBorders>
            <w:vAlign w:val="center"/>
          </w:tcPr>
          <w:p w14:paraId="3DACB3A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68" w:type="pct"/>
            <w:vMerge w:val="continue"/>
            <w:tcBorders>
              <w:left w:val="single" w:color="auto" w:sz="4" w:space="0"/>
            </w:tcBorders>
            <w:vAlign w:val="center"/>
          </w:tcPr>
          <w:p w14:paraId="0928480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702" w:type="pct"/>
            <w:tcBorders>
              <w:top w:val="single" w:color="auto" w:sz="4" w:space="0"/>
            </w:tcBorders>
            <w:vAlign w:val="center"/>
          </w:tcPr>
          <w:p w14:paraId="4D54E2F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2020年1月10日</w:t>
            </w:r>
          </w:p>
        </w:tc>
        <w:tc>
          <w:tcPr>
            <w:tcW w:w="702" w:type="pct"/>
            <w:tcBorders>
              <w:top w:val="single" w:color="auto" w:sz="4" w:space="0"/>
              <w:right w:val="single" w:color="auto" w:sz="4" w:space="0"/>
            </w:tcBorders>
            <w:vAlign w:val="center"/>
          </w:tcPr>
          <w:p w14:paraId="65E85F1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2020年1月11日</w:t>
            </w:r>
          </w:p>
        </w:tc>
        <w:tc>
          <w:tcPr>
            <w:tcW w:w="702" w:type="pct"/>
            <w:tcBorders>
              <w:top w:val="single" w:color="auto" w:sz="4" w:space="0"/>
              <w:right w:val="single" w:color="auto" w:sz="4" w:space="0"/>
            </w:tcBorders>
            <w:vAlign w:val="center"/>
          </w:tcPr>
          <w:p w14:paraId="2D23BB3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2020年1月12日</w:t>
            </w:r>
          </w:p>
        </w:tc>
        <w:tc>
          <w:tcPr>
            <w:tcW w:w="423" w:type="pct"/>
            <w:vMerge w:val="continue"/>
            <w:tcBorders>
              <w:right w:val="single" w:color="auto" w:sz="4" w:space="0"/>
            </w:tcBorders>
            <w:vAlign w:val="center"/>
          </w:tcPr>
          <w:p w14:paraId="76C39E7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82" w:type="pct"/>
            <w:vMerge w:val="continue"/>
            <w:tcBorders>
              <w:right w:val="single" w:color="auto" w:sz="4" w:space="0"/>
            </w:tcBorders>
            <w:vAlign w:val="center"/>
          </w:tcPr>
          <w:p w14:paraId="160187D0">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554" w:type="pct"/>
            <w:vMerge w:val="continue"/>
            <w:tcBorders>
              <w:right w:val="single" w:color="auto" w:sz="12" w:space="0"/>
            </w:tcBorders>
            <w:vAlign w:val="center"/>
          </w:tcPr>
          <w:p w14:paraId="7075A157">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71E489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restart"/>
            <w:tcBorders>
              <w:left w:val="single" w:color="auto" w:sz="12" w:space="0"/>
            </w:tcBorders>
            <w:vAlign w:val="center"/>
          </w:tcPr>
          <w:p w14:paraId="461F13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W3</w:t>
            </w:r>
          </w:p>
          <w:p w14:paraId="42D739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松木污水处理排放口上游500m</w:t>
            </w:r>
          </w:p>
        </w:tc>
        <w:tc>
          <w:tcPr>
            <w:tcW w:w="635" w:type="pct"/>
            <w:tcBorders>
              <w:left w:val="single" w:color="auto" w:sz="4" w:space="0"/>
            </w:tcBorders>
            <w:vAlign w:val="center"/>
          </w:tcPr>
          <w:p w14:paraId="13D18F5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pH</w:t>
            </w:r>
          </w:p>
        </w:tc>
        <w:tc>
          <w:tcPr>
            <w:tcW w:w="368" w:type="pct"/>
            <w:tcBorders>
              <w:left w:val="single" w:color="auto" w:sz="4" w:space="0"/>
            </w:tcBorders>
            <w:vAlign w:val="center"/>
          </w:tcPr>
          <w:p w14:paraId="1F5B14E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无量纲</w:t>
            </w:r>
          </w:p>
        </w:tc>
        <w:tc>
          <w:tcPr>
            <w:tcW w:w="702" w:type="pct"/>
            <w:vAlign w:val="center"/>
          </w:tcPr>
          <w:p w14:paraId="0E5D11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7.33</w:t>
            </w:r>
          </w:p>
        </w:tc>
        <w:tc>
          <w:tcPr>
            <w:tcW w:w="702" w:type="pct"/>
            <w:tcBorders>
              <w:right w:val="single" w:color="auto" w:sz="4" w:space="0"/>
            </w:tcBorders>
            <w:vAlign w:val="center"/>
          </w:tcPr>
          <w:p w14:paraId="23B0E1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7.39</w:t>
            </w:r>
          </w:p>
        </w:tc>
        <w:tc>
          <w:tcPr>
            <w:tcW w:w="702" w:type="pct"/>
            <w:tcBorders>
              <w:right w:val="single" w:color="auto" w:sz="4" w:space="0"/>
            </w:tcBorders>
            <w:vAlign w:val="center"/>
          </w:tcPr>
          <w:p w14:paraId="4E71C7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7.45</w:t>
            </w:r>
          </w:p>
        </w:tc>
        <w:tc>
          <w:tcPr>
            <w:tcW w:w="423" w:type="pct"/>
            <w:tcBorders>
              <w:right w:val="single" w:color="auto" w:sz="4" w:space="0"/>
            </w:tcBorders>
            <w:vAlign w:val="center"/>
          </w:tcPr>
          <w:p w14:paraId="331BA20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382" w:type="pct"/>
            <w:tcBorders>
              <w:right w:val="single" w:color="auto" w:sz="4" w:space="0"/>
            </w:tcBorders>
            <w:vAlign w:val="center"/>
          </w:tcPr>
          <w:p w14:paraId="68B697F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59918D2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F3307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D4250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4F119FE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溶解氧</w:t>
            </w:r>
          </w:p>
        </w:tc>
        <w:tc>
          <w:tcPr>
            <w:tcW w:w="368" w:type="pct"/>
            <w:tcBorders>
              <w:left w:val="single" w:color="auto" w:sz="4" w:space="0"/>
            </w:tcBorders>
            <w:vAlign w:val="center"/>
          </w:tcPr>
          <w:p w14:paraId="679E55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09A029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7.23</w:t>
            </w:r>
          </w:p>
        </w:tc>
        <w:tc>
          <w:tcPr>
            <w:tcW w:w="702" w:type="pct"/>
            <w:tcBorders>
              <w:right w:val="single" w:color="auto" w:sz="4" w:space="0"/>
            </w:tcBorders>
            <w:vAlign w:val="center"/>
          </w:tcPr>
          <w:p w14:paraId="7A3E916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7.20</w:t>
            </w:r>
          </w:p>
        </w:tc>
        <w:tc>
          <w:tcPr>
            <w:tcW w:w="702" w:type="pct"/>
            <w:tcBorders>
              <w:right w:val="single" w:color="auto" w:sz="4" w:space="0"/>
            </w:tcBorders>
            <w:vAlign w:val="center"/>
          </w:tcPr>
          <w:p w14:paraId="26F550E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7.32</w:t>
            </w:r>
          </w:p>
        </w:tc>
        <w:tc>
          <w:tcPr>
            <w:tcW w:w="423" w:type="pct"/>
            <w:tcBorders>
              <w:right w:val="single" w:color="auto" w:sz="4" w:space="0"/>
            </w:tcBorders>
            <w:vAlign w:val="center"/>
          </w:tcPr>
          <w:p w14:paraId="5962CC6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382" w:type="pct"/>
            <w:tcBorders>
              <w:right w:val="single" w:color="auto" w:sz="4" w:space="0"/>
            </w:tcBorders>
            <w:vAlign w:val="center"/>
          </w:tcPr>
          <w:p w14:paraId="2257EBD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295516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869B5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532" w:type="pct"/>
            <w:vMerge w:val="continue"/>
            <w:tcBorders>
              <w:left w:val="single" w:color="auto" w:sz="12" w:space="0"/>
            </w:tcBorders>
            <w:vAlign w:val="center"/>
          </w:tcPr>
          <w:p w14:paraId="1FCB45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3196F1C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水温</w:t>
            </w:r>
          </w:p>
        </w:tc>
        <w:tc>
          <w:tcPr>
            <w:tcW w:w="368" w:type="pct"/>
            <w:tcBorders>
              <w:left w:val="single" w:color="auto" w:sz="4" w:space="0"/>
            </w:tcBorders>
            <w:vAlign w:val="center"/>
          </w:tcPr>
          <w:p w14:paraId="690CE2C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702" w:type="pct"/>
            <w:vAlign w:val="center"/>
          </w:tcPr>
          <w:p w14:paraId="31E65B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8.5</w:t>
            </w:r>
          </w:p>
        </w:tc>
        <w:tc>
          <w:tcPr>
            <w:tcW w:w="702" w:type="pct"/>
            <w:tcBorders>
              <w:right w:val="single" w:color="auto" w:sz="4" w:space="0"/>
            </w:tcBorders>
            <w:vAlign w:val="center"/>
          </w:tcPr>
          <w:p w14:paraId="3B1AA7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w:t>
            </w:r>
          </w:p>
        </w:tc>
        <w:tc>
          <w:tcPr>
            <w:tcW w:w="702" w:type="pct"/>
            <w:tcBorders>
              <w:right w:val="single" w:color="auto" w:sz="4" w:space="0"/>
            </w:tcBorders>
            <w:vAlign w:val="center"/>
          </w:tcPr>
          <w:p w14:paraId="64F9587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7.9</w:t>
            </w:r>
          </w:p>
        </w:tc>
        <w:tc>
          <w:tcPr>
            <w:tcW w:w="423" w:type="pct"/>
            <w:tcBorders>
              <w:right w:val="single" w:color="auto" w:sz="4" w:space="0"/>
            </w:tcBorders>
            <w:vAlign w:val="center"/>
          </w:tcPr>
          <w:p w14:paraId="3016AE3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382" w:type="pct"/>
            <w:tcBorders>
              <w:right w:val="single" w:color="auto" w:sz="4" w:space="0"/>
            </w:tcBorders>
            <w:vAlign w:val="center"/>
          </w:tcPr>
          <w:p w14:paraId="22348D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080ACFB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09393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52BA00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33E7DCC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368" w:type="pct"/>
            <w:tcBorders>
              <w:left w:val="single" w:color="auto" w:sz="4" w:space="0"/>
              <w:bottom w:val="single" w:color="000000" w:sz="4" w:space="0"/>
            </w:tcBorders>
            <w:vAlign w:val="center"/>
          </w:tcPr>
          <w:p w14:paraId="2907E2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6806993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702" w:type="pct"/>
            <w:tcBorders>
              <w:right w:val="single" w:color="auto" w:sz="4" w:space="0"/>
            </w:tcBorders>
            <w:vAlign w:val="center"/>
          </w:tcPr>
          <w:p w14:paraId="66DB50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w:t>
            </w:r>
          </w:p>
        </w:tc>
        <w:tc>
          <w:tcPr>
            <w:tcW w:w="702" w:type="pct"/>
            <w:tcBorders>
              <w:right w:val="single" w:color="auto" w:sz="4" w:space="0"/>
            </w:tcBorders>
            <w:vAlign w:val="center"/>
          </w:tcPr>
          <w:p w14:paraId="4070F3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w:t>
            </w:r>
          </w:p>
        </w:tc>
        <w:tc>
          <w:tcPr>
            <w:tcW w:w="423" w:type="pct"/>
            <w:tcBorders>
              <w:right w:val="single" w:color="auto" w:sz="4" w:space="0"/>
            </w:tcBorders>
            <w:vAlign w:val="center"/>
          </w:tcPr>
          <w:p w14:paraId="6794385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382" w:type="pct"/>
            <w:tcBorders>
              <w:right w:val="single" w:color="auto" w:sz="4" w:space="0"/>
            </w:tcBorders>
            <w:vAlign w:val="center"/>
          </w:tcPr>
          <w:p w14:paraId="75223C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260D65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175FD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EBAE6E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1E04B1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五日生化需氧量</w:t>
            </w:r>
          </w:p>
        </w:tc>
        <w:tc>
          <w:tcPr>
            <w:tcW w:w="368" w:type="pct"/>
            <w:tcBorders>
              <w:top w:val="single" w:color="000000" w:sz="4" w:space="0"/>
              <w:left w:val="single" w:color="auto" w:sz="4" w:space="0"/>
            </w:tcBorders>
            <w:vAlign w:val="center"/>
          </w:tcPr>
          <w:p w14:paraId="6227AE9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118750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w:t>
            </w:r>
          </w:p>
        </w:tc>
        <w:tc>
          <w:tcPr>
            <w:tcW w:w="702" w:type="pct"/>
            <w:tcBorders>
              <w:right w:val="single" w:color="auto" w:sz="4" w:space="0"/>
            </w:tcBorders>
            <w:vAlign w:val="center"/>
          </w:tcPr>
          <w:p w14:paraId="5151578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w:t>
            </w:r>
          </w:p>
        </w:tc>
        <w:tc>
          <w:tcPr>
            <w:tcW w:w="702" w:type="pct"/>
            <w:tcBorders>
              <w:right w:val="single" w:color="auto" w:sz="4" w:space="0"/>
            </w:tcBorders>
            <w:vAlign w:val="center"/>
          </w:tcPr>
          <w:p w14:paraId="3A658D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2.7</w:t>
            </w:r>
          </w:p>
        </w:tc>
        <w:tc>
          <w:tcPr>
            <w:tcW w:w="423" w:type="pct"/>
            <w:tcBorders>
              <w:right w:val="single" w:color="auto" w:sz="4" w:space="0"/>
            </w:tcBorders>
            <w:vAlign w:val="center"/>
          </w:tcPr>
          <w:p w14:paraId="6DCE039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382" w:type="pct"/>
            <w:tcBorders>
              <w:right w:val="single" w:color="auto" w:sz="4" w:space="0"/>
            </w:tcBorders>
            <w:vAlign w:val="center"/>
          </w:tcPr>
          <w:p w14:paraId="02A52B0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294CB24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A9E01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B4B0A8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3B897C5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总磷</w:t>
            </w:r>
          </w:p>
        </w:tc>
        <w:tc>
          <w:tcPr>
            <w:tcW w:w="368" w:type="pct"/>
            <w:tcBorders>
              <w:left w:val="single" w:color="auto" w:sz="4" w:space="0"/>
            </w:tcBorders>
            <w:vAlign w:val="center"/>
          </w:tcPr>
          <w:p w14:paraId="5F9499E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5CD071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702" w:type="pct"/>
            <w:tcBorders>
              <w:right w:val="single" w:color="auto" w:sz="4" w:space="0"/>
            </w:tcBorders>
            <w:vAlign w:val="center"/>
          </w:tcPr>
          <w:p w14:paraId="02E606C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702" w:type="pct"/>
            <w:tcBorders>
              <w:right w:val="single" w:color="auto" w:sz="4" w:space="0"/>
            </w:tcBorders>
            <w:vAlign w:val="center"/>
          </w:tcPr>
          <w:p w14:paraId="02ED5F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423" w:type="pct"/>
            <w:tcBorders>
              <w:right w:val="single" w:color="auto" w:sz="4" w:space="0"/>
            </w:tcBorders>
            <w:vAlign w:val="center"/>
          </w:tcPr>
          <w:p w14:paraId="4558263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0E60909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0EE39A7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2A1FE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2E811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5C9FD15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368" w:type="pct"/>
            <w:tcBorders>
              <w:left w:val="single" w:color="auto" w:sz="4" w:space="0"/>
              <w:bottom w:val="single" w:color="auto" w:sz="4" w:space="0"/>
            </w:tcBorders>
            <w:vAlign w:val="center"/>
          </w:tcPr>
          <w:p w14:paraId="376E769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10C7D2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0.510</w:t>
            </w:r>
          </w:p>
        </w:tc>
        <w:tc>
          <w:tcPr>
            <w:tcW w:w="702" w:type="pct"/>
            <w:tcBorders>
              <w:right w:val="single" w:color="auto" w:sz="4" w:space="0"/>
            </w:tcBorders>
            <w:vAlign w:val="center"/>
          </w:tcPr>
          <w:p w14:paraId="799DFD6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0.518</w:t>
            </w:r>
          </w:p>
        </w:tc>
        <w:tc>
          <w:tcPr>
            <w:tcW w:w="702" w:type="pct"/>
            <w:tcBorders>
              <w:right w:val="single" w:color="auto" w:sz="4" w:space="0"/>
            </w:tcBorders>
            <w:vAlign w:val="center"/>
          </w:tcPr>
          <w:p w14:paraId="7FFA7B9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0.499</w:t>
            </w:r>
          </w:p>
        </w:tc>
        <w:tc>
          <w:tcPr>
            <w:tcW w:w="423" w:type="pct"/>
            <w:tcBorders>
              <w:right w:val="single" w:color="auto" w:sz="4" w:space="0"/>
            </w:tcBorders>
            <w:vAlign w:val="center"/>
          </w:tcPr>
          <w:p w14:paraId="51F368A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609D080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170BFF0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FEF5B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7EF16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02F9537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w:t>
            </w:r>
          </w:p>
        </w:tc>
        <w:tc>
          <w:tcPr>
            <w:tcW w:w="368" w:type="pct"/>
            <w:tcBorders>
              <w:left w:val="single" w:color="auto" w:sz="4" w:space="0"/>
              <w:bottom w:val="single" w:color="000000" w:sz="4" w:space="0"/>
            </w:tcBorders>
            <w:vAlign w:val="center"/>
          </w:tcPr>
          <w:p w14:paraId="27FB50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bottom w:val="single" w:color="auto" w:sz="4" w:space="0"/>
            </w:tcBorders>
            <w:vAlign w:val="center"/>
          </w:tcPr>
          <w:p w14:paraId="32EC081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56132B1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1E456D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392A533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124D59A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43EA34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DAD98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C05624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372243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氟化物</w:t>
            </w:r>
          </w:p>
        </w:tc>
        <w:tc>
          <w:tcPr>
            <w:tcW w:w="368" w:type="pct"/>
            <w:tcBorders>
              <w:top w:val="single" w:color="000000" w:sz="4" w:space="0"/>
              <w:left w:val="single" w:color="auto" w:sz="4" w:space="0"/>
            </w:tcBorders>
            <w:vAlign w:val="center"/>
          </w:tcPr>
          <w:p w14:paraId="287426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7FE8997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0.382</w:t>
            </w:r>
          </w:p>
        </w:tc>
        <w:tc>
          <w:tcPr>
            <w:tcW w:w="702" w:type="pct"/>
            <w:tcBorders>
              <w:right w:val="single" w:color="auto" w:sz="4" w:space="0"/>
            </w:tcBorders>
          </w:tcPr>
          <w:p w14:paraId="2C10A0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0.323</w:t>
            </w:r>
          </w:p>
        </w:tc>
        <w:tc>
          <w:tcPr>
            <w:tcW w:w="702" w:type="pct"/>
            <w:tcBorders>
              <w:right w:val="single" w:color="auto" w:sz="4" w:space="0"/>
            </w:tcBorders>
          </w:tcPr>
          <w:p w14:paraId="10C1F4F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0.333</w:t>
            </w:r>
          </w:p>
        </w:tc>
        <w:tc>
          <w:tcPr>
            <w:tcW w:w="423" w:type="pct"/>
            <w:tcBorders>
              <w:right w:val="single" w:color="auto" w:sz="4" w:space="0"/>
            </w:tcBorders>
            <w:vAlign w:val="center"/>
          </w:tcPr>
          <w:p w14:paraId="3F94F0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79901F7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6FED07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E2CB6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5CA6FC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2C62BF0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氯化物</w:t>
            </w:r>
          </w:p>
        </w:tc>
        <w:tc>
          <w:tcPr>
            <w:tcW w:w="368" w:type="pct"/>
            <w:tcBorders>
              <w:left w:val="single" w:color="auto" w:sz="4" w:space="0"/>
            </w:tcBorders>
            <w:vAlign w:val="center"/>
          </w:tcPr>
          <w:p w14:paraId="29BBE85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752A3B2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14.9</w:t>
            </w:r>
          </w:p>
        </w:tc>
        <w:tc>
          <w:tcPr>
            <w:tcW w:w="702" w:type="pct"/>
            <w:tcBorders>
              <w:right w:val="single" w:color="auto" w:sz="4" w:space="0"/>
            </w:tcBorders>
          </w:tcPr>
          <w:p w14:paraId="60DE5B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13.8</w:t>
            </w:r>
          </w:p>
        </w:tc>
        <w:tc>
          <w:tcPr>
            <w:tcW w:w="702" w:type="pct"/>
            <w:tcBorders>
              <w:right w:val="single" w:color="auto" w:sz="4" w:space="0"/>
            </w:tcBorders>
          </w:tcPr>
          <w:p w14:paraId="3B4E4EE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14.1</w:t>
            </w:r>
          </w:p>
        </w:tc>
        <w:tc>
          <w:tcPr>
            <w:tcW w:w="423" w:type="pct"/>
            <w:tcBorders>
              <w:right w:val="single" w:color="auto" w:sz="4" w:space="0"/>
            </w:tcBorders>
            <w:vAlign w:val="center"/>
          </w:tcPr>
          <w:p w14:paraId="43FD5FA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40EF2F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5794716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98B65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8EB498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615A9D5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硫酸盐</w:t>
            </w:r>
          </w:p>
        </w:tc>
        <w:tc>
          <w:tcPr>
            <w:tcW w:w="368" w:type="pct"/>
            <w:tcBorders>
              <w:left w:val="single" w:color="auto" w:sz="4" w:space="0"/>
            </w:tcBorders>
            <w:vAlign w:val="center"/>
          </w:tcPr>
          <w:p w14:paraId="497DBA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7F695DB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25.7</w:t>
            </w:r>
          </w:p>
        </w:tc>
        <w:tc>
          <w:tcPr>
            <w:tcW w:w="702" w:type="pct"/>
            <w:tcBorders>
              <w:right w:val="single" w:color="auto" w:sz="4" w:space="0"/>
            </w:tcBorders>
          </w:tcPr>
          <w:p w14:paraId="402E61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24.7</w:t>
            </w:r>
          </w:p>
        </w:tc>
        <w:tc>
          <w:tcPr>
            <w:tcW w:w="702" w:type="pct"/>
            <w:tcBorders>
              <w:right w:val="single" w:color="auto" w:sz="4" w:space="0"/>
            </w:tcBorders>
          </w:tcPr>
          <w:p w14:paraId="0C87826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25.4</w:t>
            </w:r>
          </w:p>
        </w:tc>
        <w:tc>
          <w:tcPr>
            <w:tcW w:w="423" w:type="pct"/>
            <w:tcBorders>
              <w:right w:val="single" w:color="auto" w:sz="4" w:space="0"/>
            </w:tcBorders>
            <w:vAlign w:val="center"/>
          </w:tcPr>
          <w:p w14:paraId="043867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483CAEB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3CD2F2C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A3F5F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6F5755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214F1E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硫化物</w:t>
            </w:r>
          </w:p>
        </w:tc>
        <w:tc>
          <w:tcPr>
            <w:tcW w:w="368" w:type="pct"/>
            <w:tcBorders>
              <w:left w:val="single" w:color="auto" w:sz="4" w:space="0"/>
            </w:tcBorders>
            <w:vAlign w:val="center"/>
          </w:tcPr>
          <w:p w14:paraId="1A24C57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333719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46AF44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4026BA6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448C0E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5E54F06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482211E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F58C9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DFD0C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11AF61C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挥发酚</w:t>
            </w:r>
          </w:p>
        </w:tc>
        <w:tc>
          <w:tcPr>
            <w:tcW w:w="368" w:type="pct"/>
            <w:tcBorders>
              <w:left w:val="single" w:color="auto" w:sz="4" w:space="0"/>
            </w:tcBorders>
            <w:vAlign w:val="center"/>
          </w:tcPr>
          <w:p w14:paraId="43047DC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48BE713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w:t>
            </w:r>
          </w:p>
        </w:tc>
        <w:tc>
          <w:tcPr>
            <w:tcW w:w="702" w:type="pct"/>
            <w:tcBorders>
              <w:right w:val="single" w:color="auto" w:sz="4" w:space="0"/>
            </w:tcBorders>
          </w:tcPr>
          <w:p w14:paraId="2278F4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w:t>
            </w:r>
          </w:p>
        </w:tc>
        <w:tc>
          <w:tcPr>
            <w:tcW w:w="702" w:type="pct"/>
            <w:tcBorders>
              <w:right w:val="single" w:color="auto" w:sz="4" w:space="0"/>
            </w:tcBorders>
          </w:tcPr>
          <w:p w14:paraId="75694ED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w:t>
            </w:r>
          </w:p>
        </w:tc>
        <w:tc>
          <w:tcPr>
            <w:tcW w:w="423" w:type="pct"/>
            <w:tcBorders>
              <w:right w:val="single" w:color="auto" w:sz="4" w:space="0"/>
            </w:tcBorders>
            <w:vAlign w:val="center"/>
          </w:tcPr>
          <w:p w14:paraId="3AFF53D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6CE5C7B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3F25738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B9E60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324925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3A74F18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粪大肠菌群</w:t>
            </w:r>
          </w:p>
        </w:tc>
        <w:tc>
          <w:tcPr>
            <w:tcW w:w="368" w:type="pct"/>
            <w:tcBorders>
              <w:left w:val="single" w:color="auto" w:sz="4" w:space="0"/>
            </w:tcBorders>
            <w:vAlign w:val="center"/>
          </w:tcPr>
          <w:p w14:paraId="5220C0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MPN/L</w:t>
            </w:r>
          </w:p>
        </w:tc>
        <w:tc>
          <w:tcPr>
            <w:tcW w:w="702" w:type="pct"/>
          </w:tcPr>
          <w:p w14:paraId="00DC984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702" w:type="pct"/>
            <w:tcBorders>
              <w:right w:val="single" w:color="auto" w:sz="4" w:space="0"/>
            </w:tcBorders>
          </w:tcPr>
          <w:p w14:paraId="59A8745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702" w:type="pct"/>
            <w:tcBorders>
              <w:right w:val="single" w:color="auto" w:sz="4" w:space="0"/>
            </w:tcBorders>
          </w:tcPr>
          <w:p w14:paraId="6317A2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423" w:type="pct"/>
            <w:tcBorders>
              <w:right w:val="single" w:color="auto" w:sz="4" w:space="0"/>
            </w:tcBorders>
            <w:vAlign w:val="center"/>
          </w:tcPr>
          <w:p w14:paraId="71C7F6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10000</w:t>
            </w:r>
          </w:p>
        </w:tc>
        <w:tc>
          <w:tcPr>
            <w:tcW w:w="382" w:type="pct"/>
            <w:tcBorders>
              <w:right w:val="single" w:color="auto" w:sz="4" w:space="0"/>
            </w:tcBorders>
            <w:vAlign w:val="center"/>
          </w:tcPr>
          <w:p w14:paraId="6EEE808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35664F0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CAC04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66FABF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595538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氯乙烯</w:t>
            </w:r>
          </w:p>
        </w:tc>
        <w:tc>
          <w:tcPr>
            <w:tcW w:w="368" w:type="pct"/>
            <w:tcBorders>
              <w:left w:val="single" w:color="auto" w:sz="4" w:space="0"/>
            </w:tcBorders>
            <w:vAlign w:val="center"/>
          </w:tcPr>
          <w:p w14:paraId="3B17673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2F2437D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66C8E9C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5CC5EF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7EDC7B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0725B63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48B955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CC681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43CAE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0821EB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六价铬</w:t>
            </w:r>
          </w:p>
        </w:tc>
        <w:tc>
          <w:tcPr>
            <w:tcW w:w="368" w:type="pct"/>
            <w:tcBorders>
              <w:left w:val="single" w:color="auto" w:sz="4" w:space="0"/>
              <w:bottom w:val="single" w:color="000000" w:sz="4" w:space="0"/>
            </w:tcBorders>
            <w:vAlign w:val="center"/>
          </w:tcPr>
          <w:p w14:paraId="027EDE0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2E3962F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12CE39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05D302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3C0147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2399948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0DC4108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D853F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461DA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263A973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w:t>
            </w:r>
          </w:p>
        </w:tc>
        <w:tc>
          <w:tcPr>
            <w:tcW w:w="368" w:type="pct"/>
            <w:tcBorders>
              <w:top w:val="single" w:color="000000" w:sz="4" w:space="0"/>
              <w:left w:val="single" w:color="auto" w:sz="4" w:space="0"/>
            </w:tcBorders>
            <w:vAlign w:val="center"/>
          </w:tcPr>
          <w:p w14:paraId="2D2E56F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0F28AB1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tcPr>
          <w:p w14:paraId="4FA47A2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tcPr>
          <w:p w14:paraId="10CBD28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3FFED40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380EA18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777341C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8AFDA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0867EB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auto" w:sz="4" w:space="0"/>
            </w:tcBorders>
            <w:vAlign w:val="center"/>
          </w:tcPr>
          <w:p w14:paraId="7ADE75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368" w:type="pct"/>
            <w:tcBorders>
              <w:left w:val="single" w:color="auto" w:sz="4" w:space="0"/>
              <w:bottom w:val="single" w:color="auto" w:sz="4" w:space="0"/>
            </w:tcBorders>
            <w:vAlign w:val="center"/>
          </w:tcPr>
          <w:p w14:paraId="38AEF37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bottom w:val="single" w:color="auto" w:sz="4" w:space="0"/>
            </w:tcBorders>
          </w:tcPr>
          <w:p w14:paraId="673ADC3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0.00665</w:t>
            </w:r>
          </w:p>
        </w:tc>
        <w:tc>
          <w:tcPr>
            <w:tcW w:w="702" w:type="pct"/>
            <w:tcBorders>
              <w:bottom w:val="single" w:color="auto" w:sz="4" w:space="0"/>
              <w:right w:val="single" w:color="auto" w:sz="4" w:space="0"/>
            </w:tcBorders>
          </w:tcPr>
          <w:p w14:paraId="7DA2A18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0.00654</w:t>
            </w:r>
          </w:p>
        </w:tc>
        <w:tc>
          <w:tcPr>
            <w:tcW w:w="702" w:type="pct"/>
            <w:tcBorders>
              <w:bottom w:val="single" w:color="auto" w:sz="4" w:space="0"/>
              <w:right w:val="single" w:color="auto" w:sz="4" w:space="0"/>
            </w:tcBorders>
          </w:tcPr>
          <w:p w14:paraId="24E6D5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0.00698</w:t>
            </w:r>
          </w:p>
        </w:tc>
        <w:tc>
          <w:tcPr>
            <w:tcW w:w="423" w:type="pct"/>
            <w:tcBorders>
              <w:bottom w:val="single" w:color="auto" w:sz="4" w:space="0"/>
              <w:right w:val="single" w:color="auto" w:sz="4" w:space="0"/>
            </w:tcBorders>
            <w:vAlign w:val="center"/>
          </w:tcPr>
          <w:p w14:paraId="323C0E4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bottom w:val="single" w:color="auto" w:sz="4" w:space="0"/>
              <w:right w:val="single" w:color="auto" w:sz="4" w:space="0"/>
            </w:tcBorders>
            <w:vAlign w:val="center"/>
          </w:tcPr>
          <w:p w14:paraId="13B53DD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bottom w:val="single" w:color="auto" w:sz="4" w:space="0"/>
              <w:right w:val="single" w:color="auto" w:sz="12" w:space="0"/>
            </w:tcBorders>
            <w:vAlign w:val="center"/>
          </w:tcPr>
          <w:p w14:paraId="2D2102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2549D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4046A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2B08110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镉</w:t>
            </w:r>
          </w:p>
        </w:tc>
        <w:tc>
          <w:tcPr>
            <w:tcW w:w="368" w:type="pct"/>
            <w:tcBorders>
              <w:top w:val="single" w:color="auto" w:sz="4" w:space="0"/>
              <w:left w:val="single" w:color="auto" w:sz="4" w:space="0"/>
            </w:tcBorders>
            <w:vAlign w:val="center"/>
          </w:tcPr>
          <w:p w14:paraId="191AE72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27F3A2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0.00039</w:t>
            </w:r>
          </w:p>
        </w:tc>
        <w:tc>
          <w:tcPr>
            <w:tcW w:w="702" w:type="pct"/>
            <w:tcBorders>
              <w:top w:val="single" w:color="auto" w:sz="4" w:space="0"/>
              <w:right w:val="single" w:color="auto" w:sz="4" w:space="0"/>
            </w:tcBorders>
          </w:tcPr>
          <w:p w14:paraId="0C1487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0.00029</w:t>
            </w:r>
          </w:p>
        </w:tc>
        <w:tc>
          <w:tcPr>
            <w:tcW w:w="702" w:type="pct"/>
            <w:tcBorders>
              <w:top w:val="single" w:color="auto" w:sz="4" w:space="0"/>
              <w:right w:val="single" w:color="auto" w:sz="4" w:space="0"/>
            </w:tcBorders>
          </w:tcPr>
          <w:p w14:paraId="369788E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0.00031</w:t>
            </w:r>
          </w:p>
        </w:tc>
        <w:tc>
          <w:tcPr>
            <w:tcW w:w="423" w:type="pct"/>
            <w:tcBorders>
              <w:top w:val="single" w:color="auto" w:sz="4" w:space="0"/>
              <w:right w:val="single" w:color="auto" w:sz="4" w:space="0"/>
            </w:tcBorders>
            <w:vAlign w:val="center"/>
          </w:tcPr>
          <w:p w14:paraId="3B9AF7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top w:val="single" w:color="auto" w:sz="4" w:space="0"/>
              <w:right w:val="single" w:color="auto" w:sz="4" w:space="0"/>
            </w:tcBorders>
            <w:vAlign w:val="center"/>
          </w:tcPr>
          <w:p w14:paraId="6841D16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5289DBD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CFE85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EB6035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6F16AAA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368" w:type="pct"/>
            <w:tcBorders>
              <w:top w:val="single" w:color="auto" w:sz="4" w:space="0"/>
              <w:left w:val="single" w:color="auto" w:sz="4" w:space="0"/>
            </w:tcBorders>
            <w:vAlign w:val="center"/>
          </w:tcPr>
          <w:p w14:paraId="135914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16A24F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0.00120</w:t>
            </w:r>
          </w:p>
        </w:tc>
        <w:tc>
          <w:tcPr>
            <w:tcW w:w="702" w:type="pct"/>
            <w:tcBorders>
              <w:top w:val="single" w:color="auto" w:sz="4" w:space="0"/>
              <w:right w:val="single" w:color="auto" w:sz="4" w:space="0"/>
            </w:tcBorders>
          </w:tcPr>
          <w:p w14:paraId="2E41197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0.00111</w:t>
            </w:r>
          </w:p>
        </w:tc>
        <w:tc>
          <w:tcPr>
            <w:tcW w:w="702" w:type="pct"/>
            <w:tcBorders>
              <w:top w:val="single" w:color="auto" w:sz="4" w:space="0"/>
              <w:right w:val="single" w:color="auto" w:sz="4" w:space="0"/>
            </w:tcBorders>
          </w:tcPr>
          <w:p w14:paraId="4C8DB4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0.00110</w:t>
            </w:r>
          </w:p>
        </w:tc>
        <w:tc>
          <w:tcPr>
            <w:tcW w:w="423" w:type="pct"/>
            <w:tcBorders>
              <w:top w:val="single" w:color="auto" w:sz="4" w:space="0"/>
              <w:right w:val="single" w:color="auto" w:sz="4" w:space="0"/>
            </w:tcBorders>
            <w:vAlign w:val="center"/>
          </w:tcPr>
          <w:p w14:paraId="2640F1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0FBA35A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502AE2C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31CD4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DF1E61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693CCD4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368" w:type="pct"/>
            <w:tcBorders>
              <w:top w:val="single" w:color="auto" w:sz="4" w:space="0"/>
              <w:left w:val="single" w:color="auto" w:sz="4" w:space="0"/>
            </w:tcBorders>
            <w:vAlign w:val="center"/>
          </w:tcPr>
          <w:p w14:paraId="58961C2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436D1A3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0.00782</w:t>
            </w:r>
          </w:p>
        </w:tc>
        <w:tc>
          <w:tcPr>
            <w:tcW w:w="702" w:type="pct"/>
            <w:tcBorders>
              <w:top w:val="single" w:color="auto" w:sz="4" w:space="0"/>
              <w:right w:val="single" w:color="auto" w:sz="4" w:space="0"/>
            </w:tcBorders>
          </w:tcPr>
          <w:p w14:paraId="648911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0.00721</w:t>
            </w:r>
          </w:p>
        </w:tc>
        <w:tc>
          <w:tcPr>
            <w:tcW w:w="702" w:type="pct"/>
            <w:tcBorders>
              <w:top w:val="single" w:color="auto" w:sz="4" w:space="0"/>
              <w:right w:val="single" w:color="auto" w:sz="4" w:space="0"/>
            </w:tcBorders>
          </w:tcPr>
          <w:p w14:paraId="078B2E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0.00563</w:t>
            </w:r>
          </w:p>
        </w:tc>
        <w:tc>
          <w:tcPr>
            <w:tcW w:w="423" w:type="pct"/>
            <w:tcBorders>
              <w:top w:val="single" w:color="auto" w:sz="4" w:space="0"/>
              <w:right w:val="single" w:color="auto" w:sz="4" w:space="0"/>
            </w:tcBorders>
            <w:vAlign w:val="center"/>
          </w:tcPr>
          <w:p w14:paraId="343ABA3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1BF97A7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18131F0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42F0D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02985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26F79E4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368" w:type="pct"/>
            <w:tcBorders>
              <w:top w:val="single" w:color="auto" w:sz="4" w:space="0"/>
              <w:left w:val="single" w:color="auto" w:sz="4" w:space="0"/>
            </w:tcBorders>
            <w:vAlign w:val="center"/>
          </w:tcPr>
          <w:p w14:paraId="44B5D89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287BB28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0.00076</w:t>
            </w:r>
          </w:p>
        </w:tc>
        <w:tc>
          <w:tcPr>
            <w:tcW w:w="702" w:type="pct"/>
            <w:tcBorders>
              <w:top w:val="single" w:color="auto" w:sz="4" w:space="0"/>
              <w:right w:val="single" w:color="auto" w:sz="4" w:space="0"/>
            </w:tcBorders>
          </w:tcPr>
          <w:p w14:paraId="74F8C98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0.00068</w:t>
            </w:r>
          </w:p>
        </w:tc>
        <w:tc>
          <w:tcPr>
            <w:tcW w:w="702" w:type="pct"/>
            <w:tcBorders>
              <w:top w:val="single" w:color="auto" w:sz="4" w:space="0"/>
              <w:right w:val="single" w:color="auto" w:sz="4" w:space="0"/>
            </w:tcBorders>
          </w:tcPr>
          <w:p w14:paraId="773680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0.00085</w:t>
            </w:r>
          </w:p>
        </w:tc>
        <w:tc>
          <w:tcPr>
            <w:tcW w:w="423" w:type="pct"/>
            <w:tcBorders>
              <w:top w:val="single" w:color="auto" w:sz="4" w:space="0"/>
              <w:right w:val="single" w:color="auto" w:sz="4" w:space="0"/>
            </w:tcBorders>
            <w:vAlign w:val="center"/>
          </w:tcPr>
          <w:p w14:paraId="50BCD5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2" w:type="pct"/>
            <w:tcBorders>
              <w:top w:val="single" w:color="auto" w:sz="4" w:space="0"/>
              <w:right w:val="single" w:color="auto" w:sz="4" w:space="0"/>
            </w:tcBorders>
            <w:vAlign w:val="center"/>
          </w:tcPr>
          <w:p w14:paraId="5DF3AF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4C087FF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194C6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2588BE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7B3DE41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铊</w:t>
            </w:r>
          </w:p>
        </w:tc>
        <w:tc>
          <w:tcPr>
            <w:tcW w:w="368" w:type="pct"/>
            <w:tcBorders>
              <w:top w:val="single" w:color="auto" w:sz="4" w:space="0"/>
              <w:left w:val="single" w:color="auto" w:sz="4" w:space="0"/>
            </w:tcBorders>
            <w:vAlign w:val="center"/>
          </w:tcPr>
          <w:p w14:paraId="0FE727A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27B3C7B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702" w:type="pct"/>
            <w:tcBorders>
              <w:top w:val="single" w:color="auto" w:sz="4" w:space="0"/>
              <w:right w:val="single" w:color="auto" w:sz="4" w:space="0"/>
            </w:tcBorders>
          </w:tcPr>
          <w:p w14:paraId="5520590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702" w:type="pct"/>
            <w:tcBorders>
              <w:top w:val="single" w:color="auto" w:sz="4" w:space="0"/>
              <w:right w:val="single" w:color="auto" w:sz="4" w:space="0"/>
            </w:tcBorders>
          </w:tcPr>
          <w:p w14:paraId="14C7541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423" w:type="pct"/>
            <w:tcBorders>
              <w:top w:val="single" w:color="auto" w:sz="4" w:space="0"/>
              <w:right w:val="single" w:color="auto" w:sz="4" w:space="0"/>
            </w:tcBorders>
            <w:vAlign w:val="center"/>
          </w:tcPr>
          <w:p w14:paraId="210E2FF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right w:val="single" w:color="auto" w:sz="4" w:space="0"/>
            </w:tcBorders>
            <w:vAlign w:val="center"/>
          </w:tcPr>
          <w:p w14:paraId="3C4EF42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75B79F3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7DC9E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D53740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bottom w:val="single" w:color="auto" w:sz="4" w:space="0"/>
            </w:tcBorders>
            <w:vAlign w:val="center"/>
          </w:tcPr>
          <w:p w14:paraId="288841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汞</w:t>
            </w:r>
          </w:p>
        </w:tc>
        <w:tc>
          <w:tcPr>
            <w:tcW w:w="368" w:type="pct"/>
            <w:tcBorders>
              <w:top w:val="single" w:color="auto" w:sz="4" w:space="0"/>
              <w:left w:val="single" w:color="auto" w:sz="4" w:space="0"/>
              <w:bottom w:val="single" w:color="auto" w:sz="4" w:space="0"/>
            </w:tcBorders>
            <w:vAlign w:val="center"/>
          </w:tcPr>
          <w:p w14:paraId="47E1405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bottom w:val="single" w:color="auto" w:sz="4" w:space="0"/>
            </w:tcBorders>
          </w:tcPr>
          <w:p w14:paraId="6A0735A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top w:val="single" w:color="auto" w:sz="4" w:space="0"/>
              <w:bottom w:val="single" w:color="auto" w:sz="4" w:space="0"/>
              <w:right w:val="single" w:color="auto" w:sz="4" w:space="0"/>
            </w:tcBorders>
          </w:tcPr>
          <w:p w14:paraId="08E3222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top w:val="single" w:color="auto" w:sz="4" w:space="0"/>
              <w:bottom w:val="single" w:color="auto" w:sz="4" w:space="0"/>
              <w:right w:val="single" w:color="auto" w:sz="4" w:space="0"/>
            </w:tcBorders>
          </w:tcPr>
          <w:p w14:paraId="1B03B6A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top w:val="single" w:color="auto" w:sz="4" w:space="0"/>
              <w:bottom w:val="single" w:color="auto" w:sz="4" w:space="0"/>
              <w:right w:val="single" w:color="auto" w:sz="4" w:space="0"/>
            </w:tcBorders>
            <w:vAlign w:val="center"/>
          </w:tcPr>
          <w:p w14:paraId="161F0B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bottom w:val="single" w:color="auto" w:sz="4" w:space="0"/>
              <w:right w:val="single" w:color="auto" w:sz="4" w:space="0"/>
            </w:tcBorders>
            <w:vAlign w:val="center"/>
          </w:tcPr>
          <w:p w14:paraId="6BD631A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bottom w:val="single" w:color="auto" w:sz="4" w:space="0"/>
              <w:right w:val="single" w:color="auto" w:sz="12" w:space="0"/>
            </w:tcBorders>
            <w:vAlign w:val="center"/>
          </w:tcPr>
          <w:p w14:paraId="150FC79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DEB91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9"/>
            <w:tcBorders>
              <w:left w:val="single" w:color="auto" w:sz="12" w:space="0"/>
              <w:bottom w:val="single" w:color="auto" w:sz="12" w:space="0"/>
              <w:right w:val="single" w:color="auto" w:sz="12" w:space="0"/>
            </w:tcBorders>
            <w:vAlign w:val="center"/>
          </w:tcPr>
          <w:p w14:paraId="0CE54B4D">
            <w:pPr>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注：ND=未检出</w:t>
            </w:r>
          </w:p>
        </w:tc>
      </w:tr>
    </w:tbl>
    <w:p w14:paraId="16E55C24">
      <w:pPr>
        <w:rPr>
          <w:rFonts w:hint="default" w:ascii="Times New Roman" w:hAnsi="Times New Roman" w:eastAsia="宋体" w:cs="Times New Roman"/>
          <w:color w:val="auto"/>
          <w:sz w:val="21"/>
          <w:szCs w:val="21"/>
          <w:highlight w:val="none"/>
          <w:u w:val="none" w:color="auto"/>
        </w:rPr>
        <w:sectPr>
          <w:pgSz w:w="16838" w:h="11906" w:orient="landscape"/>
          <w:pgMar w:top="1440" w:right="1502" w:bottom="1440" w:left="1502" w:header="851" w:footer="680" w:gutter="0"/>
          <w:pgBorders>
            <w:top w:val="none" w:sz="0" w:space="0"/>
            <w:left w:val="none" w:sz="0" w:space="0"/>
            <w:bottom w:val="none" w:sz="0" w:space="0"/>
            <w:right w:val="none" w:sz="0" w:space="0"/>
          </w:pgBorders>
          <w:cols w:space="0" w:num="1"/>
          <w:docGrid w:type="lines" w:linePitch="326" w:charSpace="0"/>
        </w:sectPr>
      </w:pPr>
    </w:p>
    <w:p w14:paraId="0A4C0A7E">
      <w:pPr>
        <w:pStyle w:val="13"/>
        <w:jc w:val="center"/>
        <w:rPr>
          <w:rFonts w:hint="default" w:ascii="Times New Roman" w:hAnsi="Times New Roman" w:eastAsia="宋体" w:cs="Times New Roman"/>
          <w:b/>
          <w:bCs/>
          <w:i w:val="0"/>
          <w:iCs w:val="0"/>
          <w:color w:val="auto"/>
          <w:sz w:val="21"/>
          <w:szCs w:val="21"/>
          <w:highlight w:val="none"/>
          <w:u w:val="none" w:color="auto"/>
          <w:lang w:val="en-US" w:eastAsia="zh-CN"/>
        </w:rPr>
      </w:pPr>
      <w:r>
        <w:rPr>
          <w:rFonts w:hint="default" w:ascii="Times New Roman" w:hAnsi="Times New Roman" w:eastAsia="宋体" w:cs="Times New Roman"/>
          <w:b/>
          <w:bCs/>
          <w:i w:val="0"/>
          <w:iCs w:val="0"/>
          <w:color w:val="auto"/>
          <w:sz w:val="21"/>
          <w:szCs w:val="21"/>
          <w:highlight w:val="none"/>
          <w:u w:val="none" w:color="auto"/>
          <w:lang w:val="en-US" w:eastAsia="zh-CN"/>
        </w:rPr>
        <w:t>表6.2-2（4）  地表水监测与评价结果一览表</w:t>
      </w: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784"/>
        <w:gridCol w:w="1177"/>
        <w:gridCol w:w="1922"/>
        <w:gridCol w:w="1922"/>
        <w:gridCol w:w="1925"/>
        <w:gridCol w:w="1189"/>
        <w:gridCol w:w="1073"/>
        <w:gridCol w:w="1563"/>
      </w:tblGrid>
      <w:tr w14:paraId="24FF38B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restart"/>
            <w:tcBorders>
              <w:top w:val="single" w:color="auto" w:sz="12" w:space="0"/>
              <w:left w:val="single" w:color="auto" w:sz="12" w:space="0"/>
            </w:tcBorders>
            <w:vAlign w:val="center"/>
          </w:tcPr>
          <w:p w14:paraId="2C0B000F">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监测点位</w:t>
            </w:r>
          </w:p>
        </w:tc>
        <w:tc>
          <w:tcPr>
            <w:tcW w:w="635" w:type="pct"/>
            <w:vMerge w:val="restart"/>
            <w:tcBorders>
              <w:top w:val="single" w:color="auto" w:sz="12" w:space="0"/>
              <w:left w:val="single" w:color="auto" w:sz="4" w:space="0"/>
            </w:tcBorders>
            <w:vAlign w:val="center"/>
          </w:tcPr>
          <w:p w14:paraId="48BCE7CC">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监测项目</w:t>
            </w:r>
          </w:p>
        </w:tc>
        <w:tc>
          <w:tcPr>
            <w:tcW w:w="419" w:type="pct"/>
            <w:vMerge w:val="restart"/>
            <w:tcBorders>
              <w:top w:val="single" w:color="auto" w:sz="12" w:space="0"/>
              <w:left w:val="single" w:color="auto" w:sz="4" w:space="0"/>
            </w:tcBorders>
            <w:vAlign w:val="center"/>
          </w:tcPr>
          <w:p w14:paraId="07D0CE5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单位</w:t>
            </w:r>
          </w:p>
        </w:tc>
        <w:tc>
          <w:tcPr>
            <w:tcW w:w="2053" w:type="pct"/>
            <w:gridSpan w:val="3"/>
            <w:tcBorders>
              <w:top w:val="single" w:color="auto" w:sz="12" w:space="0"/>
              <w:right w:val="single" w:color="auto" w:sz="4" w:space="0"/>
            </w:tcBorders>
            <w:vAlign w:val="center"/>
          </w:tcPr>
          <w:p w14:paraId="605C5C3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监测时间及监测结果</w:t>
            </w:r>
          </w:p>
        </w:tc>
        <w:tc>
          <w:tcPr>
            <w:tcW w:w="423" w:type="pct"/>
            <w:vMerge w:val="restart"/>
            <w:tcBorders>
              <w:top w:val="single" w:color="auto" w:sz="12" w:space="0"/>
              <w:right w:val="single" w:color="auto" w:sz="4" w:space="0"/>
            </w:tcBorders>
            <w:vAlign w:val="center"/>
          </w:tcPr>
          <w:p w14:paraId="001A0A2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执行标准</w:t>
            </w:r>
          </w:p>
        </w:tc>
        <w:tc>
          <w:tcPr>
            <w:tcW w:w="382" w:type="pct"/>
            <w:vMerge w:val="restart"/>
            <w:tcBorders>
              <w:top w:val="single" w:color="auto" w:sz="12" w:space="0"/>
              <w:right w:val="single" w:color="auto" w:sz="4" w:space="0"/>
            </w:tcBorders>
            <w:vAlign w:val="center"/>
          </w:tcPr>
          <w:p w14:paraId="2C89995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超标率（%）</w:t>
            </w:r>
          </w:p>
        </w:tc>
        <w:tc>
          <w:tcPr>
            <w:tcW w:w="556" w:type="pct"/>
            <w:vMerge w:val="restart"/>
            <w:tcBorders>
              <w:top w:val="single" w:color="auto" w:sz="12" w:space="0"/>
              <w:right w:val="single" w:color="auto" w:sz="12" w:space="0"/>
            </w:tcBorders>
            <w:vAlign w:val="center"/>
          </w:tcPr>
          <w:p w14:paraId="1CACD8FF">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最大超标倍数</w:t>
            </w:r>
          </w:p>
        </w:tc>
      </w:tr>
      <w:tr w14:paraId="49AA06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continue"/>
            <w:tcBorders>
              <w:left w:val="single" w:color="auto" w:sz="12" w:space="0"/>
            </w:tcBorders>
            <w:vAlign w:val="center"/>
          </w:tcPr>
          <w:p w14:paraId="071F266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635" w:type="pct"/>
            <w:vMerge w:val="continue"/>
            <w:tcBorders>
              <w:left w:val="single" w:color="auto" w:sz="4" w:space="0"/>
            </w:tcBorders>
            <w:vAlign w:val="center"/>
          </w:tcPr>
          <w:p w14:paraId="7F9CFBB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419" w:type="pct"/>
            <w:vMerge w:val="continue"/>
            <w:tcBorders>
              <w:left w:val="single" w:color="auto" w:sz="4" w:space="0"/>
            </w:tcBorders>
            <w:vAlign w:val="center"/>
          </w:tcPr>
          <w:p w14:paraId="70D5D64C">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684" w:type="pct"/>
            <w:tcBorders>
              <w:top w:val="single" w:color="auto" w:sz="4" w:space="0"/>
            </w:tcBorders>
            <w:vAlign w:val="center"/>
          </w:tcPr>
          <w:p w14:paraId="7CB8A2B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2020年1月10日</w:t>
            </w:r>
          </w:p>
        </w:tc>
        <w:tc>
          <w:tcPr>
            <w:tcW w:w="684" w:type="pct"/>
            <w:tcBorders>
              <w:top w:val="single" w:color="auto" w:sz="4" w:space="0"/>
              <w:right w:val="single" w:color="auto" w:sz="4" w:space="0"/>
            </w:tcBorders>
            <w:vAlign w:val="center"/>
          </w:tcPr>
          <w:p w14:paraId="38D1F400">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2020年1月11日</w:t>
            </w:r>
          </w:p>
        </w:tc>
        <w:tc>
          <w:tcPr>
            <w:tcW w:w="685" w:type="pct"/>
            <w:tcBorders>
              <w:top w:val="single" w:color="auto" w:sz="4" w:space="0"/>
              <w:right w:val="single" w:color="auto" w:sz="4" w:space="0"/>
            </w:tcBorders>
            <w:vAlign w:val="center"/>
          </w:tcPr>
          <w:p w14:paraId="5A641C0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2020年1月12日</w:t>
            </w:r>
          </w:p>
        </w:tc>
        <w:tc>
          <w:tcPr>
            <w:tcW w:w="423" w:type="pct"/>
            <w:vMerge w:val="continue"/>
            <w:tcBorders>
              <w:right w:val="single" w:color="auto" w:sz="4" w:space="0"/>
            </w:tcBorders>
            <w:vAlign w:val="center"/>
          </w:tcPr>
          <w:p w14:paraId="492D301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82" w:type="pct"/>
            <w:vMerge w:val="continue"/>
            <w:tcBorders>
              <w:right w:val="single" w:color="auto" w:sz="4" w:space="0"/>
            </w:tcBorders>
            <w:vAlign w:val="center"/>
          </w:tcPr>
          <w:p w14:paraId="4CFCB3A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556" w:type="pct"/>
            <w:vMerge w:val="continue"/>
            <w:tcBorders>
              <w:right w:val="single" w:color="auto" w:sz="12" w:space="0"/>
            </w:tcBorders>
            <w:vAlign w:val="center"/>
          </w:tcPr>
          <w:p w14:paraId="609280E6">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1B8DDC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restart"/>
            <w:tcBorders>
              <w:left w:val="single" w:color="auto" w:sz="12" w:space="0"/>
            </w:tcBorders>
            <w:vAlign w:val="center"/>
          </w:tcPr>
          <w:p w14:paraId="1F50850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W4</w:t>
            </w:r>
          </w:p>
          <w:p w14:paraId="12E74E9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松木污水处理排放口下游500m</w:t>
            </w:r>
          </w:p>
        </w:tc>
        <w:tc>
          <w:tcPr>
            <w:tcW w:w="635" w:type="pct"/>
            <w:tcBorders>
              <w:left w:val="single" w:color="auto" w:sz="4" w:space="0"/>
            </w:tcBorders>
            <w:vAlign w:val="center"/>
          </w:tcPr>
          <w:p w14:paraId="20B6E88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pH</w:t>
            </w:r>
          </w:p>
        </w:tc>
        <w:tc>
          <w:tcPr>
            <w:tcW w:w="419" w:type="pct"/>
            <w:tcBorders>
              <w:left w:val="single" w:color="auto" w:sz="4" w:space="0"/>
            </w:tcBorders>
            <w:vAlign w:val="center"/>
          </w:tcPr>
          <w:p w14:paraId="4D73D3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无量纲</w:t>
            </w:r>
          </w:p>
        </w:tc>
        <w:tc>
          <w:tcPr>
            <w:tcW w:w="684" w:type="pct"/>
            <w:vAlign w:val="center"/>
          </w:tcPr>
          <w:p w14:paraId="12C7745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7.39</w:t>
            </w:r>
          </w:p>
        </w:tc>
        <w:tc>
          <w:tcPr>
            <w:tcW w:w="684" w:type="pct"/>
            <w:tcBorders>
              <w:right w:val="single" w:color="auto" w:sz="4" w:space="0"/>
            </w:tcBorders>
            <w:vAlign w:val="center"/>
          </w:tcPr>
          <w:p w14:paraId="26FBE46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7.49</w:t>
            </w:r>
          </w:p>
        </w:tc>
        <w:tc>
          <w:tcPr>
            <w:tcW w:w="685" w:type="pct"/>
            <w:tcBorders>
              <w:right w:val="single" w:color="auto" w:sz="4" w:space="0"/>
            </w:tcBorders>
            <w:vAlign w:val="center"/>
          </w:tcPr>
          <w:p w14:paraId="7CA38D1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7.41</w:t>
            </w:r>
          </w:p>
        </w:tc>
        <w:tc>
          <w:tcPr>
            <w:tcW w:w="423" w:type="pct"/>
            <w:tcBorders>
              <w:right w:val="single" w:color="auto" w:sz="4" w:space="0"/>
            </w:tcBorders>
            <w:vAlign w:val="center"/>
          </w:tcPr>
          <w:p w14:paraId="3681788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382" w:type="pct"/>
            <w:tcBorders>
              <w:right w:val="single" w:color="auto" w:sz="4" w:space="0"/>
            </w:tcBorders>
            <w:vAlign w:val="center"/>
          </w:tcPr>
          <w:p w14:paraId="275EA4A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426683E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59BBD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616A5F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26C7D50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溶解氧</w:t>
            </w:r>
          </w:p>
        </w:tc>
        <w:tc>
          <w:tcPr>
            <w:tcW w:w="419" w:type="pct"/>
            <w:tcBorders>
              <w:left w:val="single" w:color="auto" w:sz="4" w:space="0"/>
            </w:tcBorders>
            <w:vAlign w:val="center"/>
          </w:tcPr>
          <w:p w14:paraId="7E558C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00FA140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7.28</w:t>
            </w:r>
          </w:p>
        </w:tc>
        <w:tc>
          <w:tcPr>
            <w:tcW w:w="684" w:type="pct"/>
            <w:tcBorders>
              <w:right w:val="single" w:color="auto" w:sz="4" w:space="0"/>
            </w:tcBorders>
            <w:vAlign w:val="center"/>
          </w:tcPr>
          <w:p w14:paraId="4B60BBD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7.35</w:t>
            </w:r>
          </w:p>
        </w:tc>
        <w:tc>
          <w:tcPr>
            <w:tcW w:w="685" w:type="pct"/>
            <w:tcBorders>
              <w:right w:val="single" w:color="auto" w:sz="4" w:space="0"/>
            </w:tcBorders>
            <w:vAlign w:val="center"/>
          </w:tcPr>
          <w:p w14:paraId="7CF7FF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7.15</w:t>
            </w:r>
          </w:p>
        </w:tc>
        <w:tc>
          <w:tcPr>
            <w:tcW w:w="423" w:type="pct"/>
            <w:tcBorders>
              <w:right w:val="single" w:color="auto" w:sz="4" w:space="0"/>
            </w:tcBorders>
            <w:vAlign w:val="center"/>
          </w:tcPr>
          <w:p w14:paraId="75D9DDF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382" w:type="pct"/>
            <w:tcBorders>
              <w:right w:val="single" w:color="auto" w:sz="4" w:space="0"/>
            </w:tcBorders>
            <w:vAlign w:val="center"/>
          </w:tcPr>
          <w:p w14:paraId="5C9A906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2287748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0E473C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532" w:type="pct"/>
            <w:vMerge w:val="continue"/>
            <w:tcBorders>
              <w:left w:val="single" w:color="auto" w:sz="12" w:space="0"/>
            </w:tcBorders>
            <w:vAlign w:val="center"/>
          </w:tcPr>
          <w:p w14:paraId="4F4EE8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663F881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水温</w:t>
            </w:r>
          </w:p>
        </w:tc>
        <w:tc>
          <w:tcPr>
            <w:tcW w:w="419" w:type="pct"/>
            <w:tcBorders>
              <w:left w:val="single" w:color="auto" w:sz="4" w:space="0"/>
            </w:tcBorders>
            <w:vAlign w:val="center"/>
          </w:tcPr>
          <w:p w14:paraId="26330DC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684" w:type="pct"/>
            <w:vAlign w:val="center"/>
          </w:tcPr>
          <w:p w14:paraId="5D1BA29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8.6</w:t>
            </w:r>
          </w:p>
        </w:tc>
        <w:tc>
          <w:tcPr>
            <w:tcW w:w="684" w:type="pct"/>
            <w:tcBorders>
              <w:right w:val="single" w:color="auto" w:sz="4" w:space="0"/>
            </w:tcBorders>
            <w:vAlign w:val="center"/>
          </w:tcPr>
          <w:p w14:paraId="11E472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8.1</w:t>
            </w:r>
          </w:p>
        </w:tc>
        <w:tc>
          <w:tcPr>
            <w:tcW w:w="685" w:type="pct"/>
            <w:tcBorders>
              <w:right w:val="single" w:color="auto" w:sz="4" w:space="0"/>
            </w:tcBorders>
            <w:vAlign w:val="center"/>
          </w:tcPr>
          <w:p w14:paraId="1DD35A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w:t>
            </w:r>
          </w:p>
        </w:tc>
        <w:tc>
          <w:tcPr>
            <w:tcW w:w="423" w:type="pct"/>
            <w:tcBorders>
              <w:right w:val="single" w:color="auto" w:sz="4" w:space="0"/>
            </w:tcBorders>
            <w:vAlign w:val="center"/>
          </w:tcPr>
          <w:p w14:paraId="0B94D6B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382" w:type="pct"/>
            <w:tcBorders>
              <w:right w:val="single" w:color="auto" w:sz="4" w:space="0"/>
            </w:tcBorders>
            <w:vAlign w:val="center"/>
          </w:tcPr>
          <w:p w14:paraId="022CB85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21AB1D9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A79FE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FB6DDF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30D519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419" w:type="pct"/>
            <w:tcBorders>
              <w:left w:val="single" w:color="auto" w:sz="4" w:space="0"/>
              <w:bottom w:val="single" w:color="000000" w:sz="4" w:space="0"/>
            </w:tcBorders>
            <w:vAlign w:val="center"/>
          </w:tcPr>
          <w:p w14:paraId="712E7ED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1DC759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w:t>
            </w:r>
          </w:p>
        </w:tc>
        <w:tc>
          <w:tcPr>
            <w:tcW w:w="684" w:type="pct"/>
            <w:tcBorders>
              <w:right w:val="single" w:color="auto" w:sz="4" w:space="0"/>
            </w:tcBorders>
            <w:vAlign w:val="center"/>
          </w:tcPr>
          <w:p w14:paraId="68D703C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685" w:type="pct"/>
            <w:tcBorders>
              <w:right w:val="single" w:color="auto" w:sz="4" w:space="0"/>
            </w:tcBorders>
            <w:vAlign w:val="center"/>
          </w:tcPr>
          <w:p w14:paraId="446E8C8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423" w:type="pct"/>
            <w:tcBorders>
              <w:right w:val="single" w:color="auto" w:sz="4" w:space="0"/>
            </w:tcBorders>
            <w:vAlign w:val="center"/>
          </w:tcPr>
          <w:p w14:paraId="4EC3A29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382" w:type="pct"/>
            <w:tcBorders>
              <w:right w:val="single" w:color="auto" w:sz="4" w:space="0"/>
            </w:tcBorders>
            <w:vAlign w:val="center"/>
          </w:tcPr>
          <w:p w14:paraId="7352801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3874B47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690BE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753069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24ACC8A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五日生化需氧量</w:t>
            </w:r>
          </w:p>
        </w:tc>
        <w:tc>
          <w:tcPr>
            <w:tcW w:w="419" w:type="pct"/>
            <w:tcBorders>
              <w:top w:val="single" w:color="000000" w:sz="4" w:space="0"/>
              <w:left w:val="single" w:color="auto" w:sz="4" w:space="0"/>
            </w:tcBorders>
            <w:vAlign w:val="center"/>
          </w:tcPr>
          <w:p w14:paraId="1DF2EB0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071F4C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w:t>
            </w:r>
          </w:p>
        </w:tc>
        <w:tc>
          <w:tcPr>
            <w:tcW w:w="684" w:type="pct"/>
            <w:tcBorders>
              <w:right w:val="single" w:color="auto" w:sz="4" w:space="0"/>
            </w:tcBorders>
            <w:vAlign w:val="center"/>
          </w:tcPr>
          <w:p w14:paraId="5052260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w:t>
            </w:r>
          </w:p>
        </w:tc>
        <w:tc>
          <w:tcPr>
            <w:tcW w:w="685" w:type="pct"/>
            <w:tcBorders>
              <w:right w:val="single" w:color="auto" w:sz="4" w:space="0"/>
            </w:tcBorders>
            <w:vAlign w:val="center"/>
          </w:tcPr>
          <w:p w14:paraId="2F6ED88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1.8</w:t>
            </w:r>
          </w:p>
        </w:tc>
        <w:tc>
          <w:tcPr>
            <w:tcW w:w="423" w:type="pct"/>
            <w:tcBorders>
              <w:right w:val="single" w:color="auto" w:sz="4" w:space="0"/>
            </w:tcBorders>
            <w:vAlign w:val="center"/>
          </w:tcPr>
          <w:p w14:paraId="57A9FA3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382" w:type="pct"/>
            <w:tcBorders>
              <w:right w:val="single" w:color="auto" w:sz="4" w:space="0"/>
            </w:tcBorders>
            <w:vAlign w:val="center"/>
          </w:tcPr>
          <w:p w14:paraId="6C9FA86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2645B0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F4CEA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6D86F4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376401C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总磷</w:t>
            </w:r>
          </w:p>
        </w:tc>
        <w:tc>
          <w:tcPr>
            <w:tcW w:w="419" w:type="pct"/>
            <w:tcBorders>
              <w:left w:val="single" w:color="auto" w:sz="4" w:space="0"/>
            </w:tcBorders>
            <w:vAlign w:val="center"/>
          </w:tcPr>
          <w:p w14:paraId="2EA2F4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6791644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684" w:type="pct"/>
            <w:tcBorders>
              <w:right w:val="single" w:color="auto" w:sz="4" w:space="0"/>
            </w:tcBorders>
            <w:vAlign w:val="center"/>
          </w:tcPr>
          <w:p w14:paraId="4FD3FC46">
            <w:pPr>
              <w:adjustRightInd w:val="0"/>
              <w:snapToGrid w:val="0"/>
              <w:spacing w:line="240" w:lineRule="auto"/>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w:t>
            </w:r>
          </w:p>
        </w:tc>
        <w:tc>
          <w:tcPr>
            <w:tcW w:w="685" w:type="pct"/>
            <w:tcBorders>
              <w:right w:val="single" w:color="auto" w:sz="4" w:space="0"/>
            </w:tcBorders>
            <w:vAlign w:val="center"/>
          </w:tcPr>
          <w:p w14:paraId="2B95A083">
            <w:pPr>
              <w:adjustRightInd w:val="0"/>
              <w:snapToGrid w:val="0"/>
              <w:spacing w:line="240" w:lineRule="auto"/>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0.07</w:t>
            </w:r>
          </w:p>
        </w:tc>
        <w:tc>
          <w:tcPr>
            <w:tcW w:w="423" w:type="pct"/>
            <w:tcBorders>
              <w:right w:val="single" w:color="auto" w:sz="4" w:space="0"/>
            </w:tcBorders>
            <w:vAlign w:val="center"/>
          </w:tcPr>
          <w:p w14:paraId="6D1517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702B71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76EBEB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D229B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C27FE6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7172B8B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419" w:type="pct"/>
            <w:tcBorders>
              <w:left w:val="single" w:color="auto" w:sz="4" w:space="0"/>
              <w:bottom w:val="single" w:color="auto" w:sz="4" w:space="0"/>
            </w:tcBorders>
            <w:vAlign w:val="center"/>
          </w:tcPr>
          <w:p w14:paraId="611D6B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29A1D68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0.578</w:t>
            </w:r>
          </w:p>
        </w:tc>
        <w:tc>
          <w:tcPr>
            <w:tcW w:w="684" w:type="pct"/>
            <w:tcBorders>
              <w:right w:val="single" w:color="auto" w:sz="4" w:space="0"/>
            </w:tcBorders>
            <w:vAlign w:val="center"/>
          </w:tcPr>
          <w:p w14:paraId="01F33F2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0.587</w:t>
            </w:r>
          </w:p>
        </w:tc>
        <w:tc>
          <w:tcPr>
            <w:tcW w:w="685" w:type="pct"/>
            <w:tcBorders>
              <w:right w:val="single" w:color="auto" w:sz="4" w:space="0"/>
            </w:tcBorders>
            <w:vAlign w:val="center"/>
          </w:tcPr>
          <w:p w14:paraId="599796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0.592</w:t>
            </w:r>
          </w:p>
        </w:tc>
        <w:tc>
          <w:tcPr>
            <w:tcW w:w="423" w:type="pct"/>
            <w:tcBorders>
              <w:right w:val="single" w:color="auto" w:sz="4" w:space="0"/>
            </w:tcBorders>
            <w:vAlign w:val="center"/>
          </w:tcPr>
          <w:p w14:paraId="4F8681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210E14D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00415A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5D1B9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17139F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7946A6C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w:t>
            </w:r>
          </w:p>
        </w:tc>
        <w:tc>
          <w:tcPr>
            <w:tcW w:w="419" w:type="pct"/>
            <w:tcBorders>
              <w:left w:val="single" w:color="auto" w:sz="4" w:space="0"/>
              <w:bottom w:val="single" w:color="000000" w:sz="4" w:space="0"/>
            </w:tcBorders>
            <w:vAlign w:val="center"/>
          </w:tcPr>
          <w:p w14:paraId="3486DEB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bottom w:val="single" w:color="auto" w:sz="4" w:space="0"/>
            </w:tcBorders>
            <w:vAlign w:val="center"/>
          </w:tcPr>
          <w:p w14:paraId="6F97A6E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right w:val="single" w:color="auto" w:sz="4" w:space="0"/>
            </w:tcBorders>
            <w:vAlign w:val="center"/>
          </w:tcPr>
          <w:p w14:paraId="5271F25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3844A25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7B427A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3E8B6C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57A6DEB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52442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2F519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19EA1C2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氟化物</w:t>
            </w:r>
          </w:p>
        </w:tc>
        <w:tc>
          <w:tcPr>
            <w:tcW w:w="419" w:type="pct"/>
            <w:tcBorders>
              <w:top w:val="single" w:color="000000" w:sz="4" w:space="0"/>
              <w:left w:val="single" w:color="auto" w:sz="4" w:space="0"/>
            </w:tcBorders>
            <w:vAlign w:val="center"/>
          </w:tcPr>
          <w:p w14:paraId="271616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236A84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0.397</w:t>
            </w:r>
          </w:p>
        </w:tc>
        <w:tc>
          <w:tcPr>
            <w:tcW w:w="684" w:type="pct"/>
            <w:tcBorders>
              <w:right w:val="single" w:color="auto" w:sz="4" w:space="0"/>
            </w:tcBorders>
          </w:tcPr>
          <w:p w14:paraId="2DA934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0.365</w:t>
            </w:r>
          </w:p>
        </w:tc>
        <w:tc>
          <w:tcPr>
            <w:tcW w:w="685" w:type="pct"/>
            <w:tcBorders>
              <w:right w:val="single" w:color="auto" w:sz="4" w:space="0"/>
            </w:tcBorders>
          </w:tcPr>
          <w:p w14:paraId="571E7C5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0.356</w:t>
            </w:r>
          </w:p>
        </w:tc>
        <w:tc>
          <w:tcPr>
            <w:tcW w:w="423" w:type="pct"/>
            <w:tcBorders>
              <w:right w:val="single" w:color="auto" w:sz="4" w:space="0"/>
            </w:tcBorders>
            <w:vAlign w:val="center"/>
          </w:tcPr>
          <w:p w14:paraId="45F5ED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6CECED5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0BF9050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70428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4B06CA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19A240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氯化物</w:t>
            </w:r>
          </w:p>
        </w:tc>
        <w:tc>
          <w:tcPr>
            <w:tcW w:w="419" w:type="pct"/>
            <w:tcBorders>
              <w:left w:val="single" w:color="auto" w:sz="4" w:space="0"/>
            </w:tcBorders>
            <w:vAlign w:val="center"/>
          </w:tcPr>
          <w:p w14:paraId="7C649BB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56A3BA4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15.4</w:t>
            </w:r>
          </w:p>
        </w:tc>
        <w:tc>
          <w:tcPr>
            <w:tcW w:w="684" w:type="pct"/>
            <w:tcBorders>
              <w:right w:val="single" w:color="auto" w:sz="4" w:space="0"/>
            </w:tcBorders>
          </w:tcPr>
          <w:p w14:paraId="074BF2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15.1</w:t>
            </w:r>
          </w:p>
        </w:tc>
        <w:tc>
          <w:tcPr>
            <w:tcW w:w="685" w:type="pct"/>
            <w:tcBorders>
              <w:right w:val="single" w:color="auto" w:sz="4" w:space="0"/>
            </w:tcBorders>
          </w:tcPr>
          <w:p w14:paraId="7B2A19F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15.1</w:t>
            </w:r>
          </w:p>
        </w:tc>
        <w:tc>
          <w:tcPr>
            <w:tcW w:w="423" w:type="pct"/>
            <w:tcBorders>
              <w:right w:val="single" w:color="auto" w:sz="4" w:space="0"/>
            </w:tcBorders>
            <w:vAlign w:val="center"/>
          </w:tcPr>
          <w:p w14:paraId="2A03310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2677DD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40C9976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18D11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501122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0EF115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硫酸盐</w:t>
            </w:r>
          </w:p>
        </w:tc>
        <w:tc>
          <w:tcPr>
            <w:tcW w:w="419" w:type="pct"/>
            <w:tcBorders>
              <w:left w:val="single" w:color="auto" w:sz="4" w:space="0"/>
            </w:tcBorders>
            <w:vAlign w:val="center"/>
          </w:tcPr>
          <w:p w14:paraId="4342CE5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5BB45F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24.8</w:t>
            </w:r>
          </w:p>
        </w:tc>
        <w:tc>
          <w:tcPr>
            <w:tcW w:w="684" w:type="pct"/>
            <w:tcBorders>
              <w:right w:val="single" w:color="auto" w:sz="4" w:space="0"/>
            </w:tcBorders>
          </w:tcPr>
          <w:p w14:paraId="408951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25.3</w:t>
            </w:r>
          </w:p>
        </w:tc>
        <w:tc>
          <w:tcPr>
            <w:tcW w:w="685" w:type="pct"/>
            <w:tcBorders>
              <w:right w:val="single" w:color="auto" w:sz="4" w:space="0"/>
            </w:tcBorders>
          </w:tcPr>
          <w:p w14:paraId="28D1E1F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25.4</w:t>
            </w:r>
          </w:p>
        </w:tc>
        <w:tc>
          <w:tcPr>
            <w:tcW w:w="423" w:type="pct"/>
            <w:tcBorders>
              <w:right w:val="single" w:color="auto" w:sz="4" w:space="0"/>
            </w:tcBorders>
            <w:vAlign w:val="center"/>
          </w:tcPr>
          <w:p w14:paraId="632FAEB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38CF904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0EE5C5C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B96282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C39BB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60D0D1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硫化物</w:t>
            </w:r>
          </w:p>
        </w:tc>
        <w:tc>
          <w:tcPr>
            <w:tcW w:w="419" w:type="pct"/>
            <w:tcBorders>
              <w:left w:val="single" w:color="auto" w:sz="4" w:space="0"/>
            </w:tcBorders>
            <w:vAlign w:val="center"/>
          </w:tcPr>
          <w:p w14:paraId="290EFA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0F72BE4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right w:val="single" w:color="auto" w:sz="4" w:space="0"/>
            </w:tcBorders>
            <w:vAlign w:val="center"/>
          </w:tcPr>
          <w:p w14:paraId="67EF5E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58182F1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4B9915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1F2C40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70B8281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B6624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800C6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4DB699A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挥发酚</w:t>
            </w:r>
          </w:p>
        </w:tc>
        <w:tc>
          <w:tcPr>
            <w:tcW w:w="419" w:type="pct"/>
            <w:tcBorders>
              <w:left w:val="single" w:color="auto" w:sz="4" w:space="0"/>
            </w:tcBorders>
            <w:vAlign w:val="center"/>
          </w:tcPr>
          <w:p w14:paraId="1A3B579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39521EB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w:t>
            </w:r>
          </w:p>
        </w:tc>
        <w:tc>
          <w:tcPr>
            <w:tcW w:w="684" w:type="pct"/>
            <w:tcBorders>
              <w:right w:val="single" w:color="auto" w:sz="4" w:space="0"/>
            </w:tcBorders>
          </w:tcPr>
          <w:p w14:paraId="08B138A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w:t>
            </w:r>
          </w:p>
        </w:tc>
        <w:tc>
          <w:tcPr>
            <w:tcW w:w="685" w:type="pct"/>
            <w:tcBorders>
              <w:right w:val="single" w:color="auto" w:sz="4" w:space="0"/>
            </w:tcBorders>
          </w:tcPr>
          <w:p w14:paraId="7C9AB3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w:t>
            </w:r>
          </w:p>
        </w:tc>
        <w:tc>
          <w:tcPr>
            <w:tcW w:w="423" w:type="pct"/>
            <w:tcBorders>
              <w:right w:val="single" w:color="auto" w:sz="4" w:space="0"/>
            </w:tcBorders>
            <w:vAlign w:val="center"/>
          </w:tcPr>
          <w:p w14:paraId="76280B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7EF649D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09643D5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D3085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5FDFAB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4CD9064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粪大肠菌群</w:t>
            </w:r>
          </w:p>
        </w:tc>
        <w:tc>
          <w:tcPr>
            <w:tcW w:w="419" w:type="pct"/>
            <w:tcBorders>
              <w:left w:val="single" w:color="auto" w:sz="4" w:space="0"/>
            </w:tcBorders>
            <w:vAlign w:val="center"/>
          </w:tcPr>
          <w:p w14:paraId="46E60A3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MPN/L</w:t>
            </w:r>
          </w:p>
        </w:tc>
        <w:tc>
          <w:tcPr>
            <w:tcW w:w="684" w:type="pct"/>
          </w:tcPr>
          <w:p w14:paraId="03D77BD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684" w:type="pct"/>
            <w:tcBorders>
              <w:right w:val="single" w:color="auto" w:sz="4" w:space="0"/>
            </w:tcBorders>
          </w:tcPr>
          <w:p w14:paraId="6927AB0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685" w:type="pct"/>
            <w:tcBorders>
              <w:right w:val="single" w:color="auto" w:sz="4" w:space="0"/>
            </w:tcBorders>
          </w:tcPr>
          <w:p w14:paraId="4A7BBBC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423" w:type="pct"/>
            <w:tcBorders>
              <w:right w:val="single" w:color="auto" w:sz="4" w:space="0"/>
            </w:tcBorders>
            <w:vAlign w:val="center"/>
          </w:tcPr>
          <w:p w14:paraId="548AC25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10000</w:t>
            </w:r>
          </w:p>
        </w:tc>
        <w:tc>
          <w:tcPr>
            <w:tcW w:w="382" w:type="pct"/>
            <w:tcBorders>
              <w:right w:val="single" w:color="auto" w:sz="4" w:space="0"/>
            </w:tcBorders>
            <w:vAlign w:val="center"/>
          </w:tcPr>
          <w:p w14:paraId="4AB477E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20F02AC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736F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97C8CB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134EC8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氯乙烯</w:t>
            </w:r>
          </w:p>
        </w:tc>
        <w:tc>
          <w:tcPr>
            <w:tcW w:w="419" w:type="pct"/>
            <w:tcBorders>
              <w:left w:val="single" w:color="auto" w:sz="4" w:space="0"/>
            </w:tcBorders>
            <w:vAlign w:val="center"/>
          </w:tcPr>
          <w:p w14:paraId="5FA2E1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059FD68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right w:val="single" w:color="auto" w:sz="4" w:space="0"/>
            </w:tcBorders>
            <w:vAlign w:val="center"/>
          </w:tcPr>
          <w:p w14:paraId="4B2EA61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586A17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1988088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4D9E238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72B5AC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143F2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FEE50C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0A65D25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六价铬</w:t>
            </w:r>
          </w:p>
        </w:tc>
        <w:tc>
          <w:tcPr>
            <w:tcW w:w="419" w:type="pct"/>
            <w:tcBorders>
              <w:left w:val="single" w:color="auto" w:sz="4" w:space="0"/>
              <w:bottom w:val="single" w:color="000000" w:sz="4" w:space="0"/>
            </w:tcBorders>
            <w:vAlign w:val="center"/>
          </w:tcPr>
          <w:p w14:paraId="62C8F36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681153A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right w:val="single" w:color="auto" w:sz="4" w:space="0"/>
            </w:tcBorders>
            <w:vAlign w:val="center"/>
          </w:tcPr>
          <w:p w14:paraId="6C26476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1390D9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720906D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3C82C42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47DB488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230B5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BA8F99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456E0C1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w:t>
            </w:r>
          </w:p>
        </w:tc>
        <w:tc>
          <w:tcPr>
            <w:tcW w:w="419" w:type="pct"/>
            <w:tcBorders>
              <w:top w:val="single" w:color="000000" w:sz="4" w:space="0"/>
              <w:left w:val="single" w:color="auto" w:sz="4" w:space="0"/>
            </w:tcBorders>
            <w:vAlign w:val="center"/>
          </w:tcPr>
          <w:p w14:paraId="4BC177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0CE475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0.00020</w:t>
            </w:r>
          </w:p>
        </w:tc>
        <w:tc>
          <w:tcPr>
            <w:tcW w:w="684" w:type="pct"/>
            <w:tcBorders>
              <w:right w:val="single" w:color="auto" w:sz="4" w:space="0"/>
            </w:tcBorders>
          </w:tcPr>
          <w:p w14:paraId="45D3BD0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0.00014</w:t>
            </w:r>
          </w:p>
        </w:tc>
        <w:tc>
          <w:tcPr>
            <w:tcW w:w="685" w:type="pct"/>
            <w:tcBorders>
              <w:right w:val="single" w:color="auto" w:sz="4" w:space="0"/>
            </w:tcBorders>
          </w:tcPr>
          <w:p w14:paraId="2C28A1B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6AC8D5C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7CBE597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5DB8B80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5164F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77F062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auto" w:sz="4" w:space="0"/>
            </w:tcBorders>
            <w:vAlign w:val="center"/>
          </w:tcPr>
          <w:p w14:paraId="3D5ECA1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419" w:type="pct"/>
            <w:tcBorders>
              <w:left w:val="single" w:color="auto" w:sz="4" w:space="0"/>
              <w:bottom w:val="single" w:color="auto" w:sz="4" w:space="0"/>
            </w:tcBorders>
            <w:vAlign w:val="center"/>
          </w:tcPr>
          <w:p w14:paraId="7CAFB2C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bottom w:val="single" w:color="auto" w:sz="4" w:space="0"/>
            </w:tcBorders>
          </w:tcPr>
          <w:p w14:paraId="3477B6B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0.00679</w:t>
            </w:r>
          </w:p>
        </w:tc>
        <w:tc>
          <w:tcPr>
            <w:tcW w:w="684" w:type="pct"/>
            <w:tcBorders>
              <w:bottom w:val="single" w:color="auto" w:sz="4" w:space="0"/>
              <w:right w:val="single" w:color="auto" w:sz="4" w:space="0"/>
            </w:tcBorders>
          </w:tcPr>
          <w:p w14:paraId="29ECC7E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0.00706</w:t>
            </w:r>
          </w:p>
        </w:tc>
        <w:tc>
          <w:tcPr>
            <w:tcW w:w="685" w:type="pct"/>
            <w:tcBorders>
              <w:bottom w:val="single" w:color="auto" w:sz="4" w:space="0"/>
              <w:right w:val="single" w:color="auto" w:sz="4" w:space="0"/>
            </w:tcBorders>
          </w:tcPr>
          <w:p w14:paraId="018C9B6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0.00638</w:t>
            </w:r>
          </w:p>
        </w:tc>
        <w:tc>
          <w:tcPr>
            <w:tcW w:w="423" w:type="pct"/>
            <w:tcBorders>
              <w:bottom w:val="single" w:color="auto" w:sz="4" w:space="0"/>
              <w:right w:val="single" w:color="auto" w:sz="4" w:space="0"/>
            </w:tcBorders>
            <w:vAlign w:val="center"/>
          </w:tcPr>
          <w:p w14:paraId="181F1D0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bottom w:val="single" w:color="auto" w:sz="4" w:space="0"/>
              <w:right w:val="single" w:color="auto" w:sz="4" w:space="0"/>
            </w:tcBorders>
            <w:vAlign w:val="center"/>
          </w:tcPr>
          <w:p w14:paraId="705FE37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bottom w:val="single" w:color="auto" w:sz="4" w:space="0"/>
              <w:right w:val="single" w:color="auto" w:sz="12" w:space="0"/>
            </w:tcBorders>
            <w:vAlign w:val="center"/>
          </w:tcPr>
          <w:p w14:paraId="68CA77F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497DE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BA369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48C4FC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镉</w:t>
            </w:r>
          </w:p>
        </w:tc>
        <w:tc>
          <w:tcPr>
            <w:tcW w:w="419" w:type="pct"/>
            <w:tcBorders>
              <w:top w:val="single" w:color="auto" w:sz="4" w:space="0"/>
              <w:left w:val="single" w:color="auto" w:sz="4" w:space="0"/>
            </w:tcBorders>
            <w:vAlign w:val="center"/>
          </w:tcPr>
          <w:p w14:paraId="5ACE86C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56157C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0.00064</w:t>
            </w:r>
          </w:p>
        </w:tc>
        <w:tc>
          <w:tcPr>
            <w:tcW w:w="684" w:type="pct"/>
            <w:tcBorders>
              <w:top w:val="single" w:color="auto" w:sz="4" w:space="0"/>
              <w:right w:val="single" w:color="auto" w:sz="4" w:space="0"/>
            </w:tcBorders>
          </w:tcPr>
          <w:p w14:paraId="34DF70F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0.00069</w:t>
            </w:r>
          </w:p>
        </w:tc>
        <w:tc>
          <w:tcPr>
            <w:tcW w:w="685" w:type="pct"/>
            <w:tcBorders>
              <w:top w:val="single" w:color="auto" w:sz="4" w:space="0"/>
              <w:right w:val="single" w:color="auto" w:sz="4" w:space="0"/>
            </w:tcBorders>
          </w:tcPr>
          <w:p w14:paraId="631AC0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0.00066</w:t>
            </w:r>
          </w:p>
        </w:tc>
        <w:tc>
          <w:tcPr>
            <w:tcW w:w="423" w:type="pct"/>
            <w:tcBorders>
              <w:top w:val="single" w:color="auto" w:sz="4" w:space="0"/>
              <w:right w:val="single" w:color="auto" w:sz="4" w:space="0"/>
            </w:tcBorders>
            <w:vAlign w:val="center"/>
          </w:tcPr>
          <w:p w14:paraId="163B437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top w:val="single" w:color="auto" w:sz="4" w:space="0"/>
              <w:right w:val="single" w:color="auto" w:sz="4" w:space="0"/>
            </w:tcBorders>
            <w:vAlign w:val="center"/>
          </w:tcPr>
          <w:p w14:paraId="439851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05BDDCF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133AD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1BEAA2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23324EC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419" w:type="pct"/>
            <w:tcBorders>
              <w:top w:val="single" w:color="auto" w:sz="4" w:space="0"/>
              <w:left w:val="single" w:color="auto" w:sz="4" w:space="0"/>
            </w:tcBorders>
            <w:vAlign w:val="center"/>
          </w:tcPr>
          <w:p w14:paraId="59DB8C8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5A0056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0.00126</w:t>
            </w:r>
          </w:p>
        </w:tc>
        <w:tc>
          <w:tcPr>
            <w:tcW w:w="684" w:type="pct"/>
            <w:tcBorders>
              <w:top w:val="single" w:color="auto" w:sz="4" w:space="0"/>
              <w:right w:val="single" w:color="auto" w:sz="4" w:space="0"/>
            </w:tcBorders>
          </w:tcPr>
          <w:p w14:paraId="3E05D38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0.00124</w:t>
            </w:r>
          </w:p>
        </w:tc>
        <w:tc>
          <w:tcPr>
            <w:tcW w:w="685" w:type="pct"/>
            <w:tcBorders>
              <w:top w:val="single" w:color="auto" w:sz="4" w:space="0"/>
              <w:right w:val="single" w:color="auto" w:sz="4" w:space="0"/>
            </w:tcBorders>
          </w:tcPr>
          <w:p w14:paraId="547D3B3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0.00122</w:t>
            </w:r>
          </w:p>
        </w:tc>
        <w:tc>
          <w:tcPr>
            <w:tcW w:w="423" w:type="pct"/>
            <w:tcBorders>
              <w:top w:val="single" w:color="auto" w:sz="4" w:space="0"/>
              <w:right w:val="single" w:color="auto" w:sz="4" w:space="0"/>
            </w:tcBorders>
            <w:vAlign w:val="center"/>
          </w:tcPr>
          <w:p w14:paraId="2223C68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1DB6520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0D8710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70044E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30E528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7183EE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419" w:type="pct"/>
            <w:tcBorders>
              <w:top w:val="single" w:color="auto" w:sz="4" w:space="0"/>
              <w:left w:val="single" w:color="auto" w:sz="4" w:space="0"/>
            </w:tcBorders>
            <w:vAlign w:val="center"/>
          </w:tcPr>
          <w:p w14:paraId="696A89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7B7E54E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0.0118</w:t>
            </w:r>
          </w:p>
        </w:tc>
        <w:tc>
          <w:tcPr>
            <w:tcW w:w="684" w:type="pct"/>
            <w:tcBorders>
              <w:top w:val="single" w:color="auto" w:sz="4" w:space="0"/>
              <w:right w:val="single" w:color="auto" w:sz="4" w:space="0"/>
            </w:tcBorders>
          </w:tcPr>
          <w:p w14:paraId="40C0D0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0.00794</w:t>
            </w:r>
          </w:p>
        </w:tc>
        <w:tc>
          <w:tcPr>
            <w:tcW w:w="685" w:type="pct"/>
            <w:tcBorders>
              <w:top w:val="single" w:color="auto" w:sz="4" w:space="0"/>
              <w:right w:val="single" w:color="auto" w:sz="4" w:space="0"/>
            </w:tcBorders>
          </w:tcPr>
          <w:p w14:paraId="39D0B4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0.00663</w:t>
            </w:r>
          </w:p>
        </w:tc>
        <w:tc>
          <w:tcPr>
            <w:tcW w:w="423" w:type="pct"/>
            <w:tcBorders>
              <w:top w:val="single" w:color="auto" w:sz="4" w:space="0"/>
              <w:right w:val="single" w:color="auto" w:sz="4" w:space="0"/>
            </w:tcBorders>
            <w:vAlign w:val="center"/>
          </w:tcPr>
          <w:p w14:paraId="37B390F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644CB0C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1D2005D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86FFD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F4AE9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5D07B9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419" w:type="pct"/>
            <w:tcBorders>
              <w:top w:val="single" w:color="auto" w:sz="4" w:space="0"/>
              <w:left w:val="single" w:color="auto" w:sz="4" w:space="0"/>
            </w:tcBorders>
            <w:vAlign w:val="center"/>
          </w:tcPr>
          <w:p w14:paraId="1F8C87B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4246847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0.00062</w:t>
            </w:r>
          </w:p>
        </w:tc>
        <w:tc>
          <w:tcPr>
            <w:tcW w:w="684" w:type="pct"/>
            <w:tcBorders>
              <w:top w:val="single" w:color="auto" w:sz="4" w:space="0"/>
              <w:right w:val="single" w:color="auto" w:sz="4" w:space="0"/>
            </w:tcBorders>
          </w:tcPr>
          <w:p w14:paraId="1E42CE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0.00071</w:t>
            </w:r>
          </w:p>
        </w:tc>
        <w:tc>
          <w:tcPr>
            <w:tcW w:w="685" w:type="pct"/>
            <w:tcBorders>
              <w:top w:val="single" w:color="auto" w:sz="4" w:space="0"/>
              <w:right w:val="single" w:color="auto" w:sz="4" w:space="0"/>
            </w:tcBorders>
          </w:tcPr>
          <w:p w14:paraId="5DAE836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0.00061</w:t>
            </w:r>
          </w:p>
        </w:tc>
        <w:tc>
          <w:tcPr>
            <w:tcW w:w="423" w:type="pct"/>
            <w:tcBorders>
              <w:top w:val="single" w:color="auto" w:sz="4" w:space="0"/>
              <w:right w:val="single" w:color="auto" w:sz="4" w:space="0"/>
            </w:tcBorders>
            <w:vAlign w:val="center"/>
          </w:tcPr>
          <w:p w14:paraId="2F4116E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2" w:type="pct"/>
            <w:tcBorders>
              <w:top w:val="single" w:color="auto" w:sz="4" w:space="0"/>
              <w:right w:val="single" w:color="auto" w:sz="4" w:space="0"/>
            </w:tcBorders>
            <w:vAlign w:val="center"/>
          </w:tcPr>
          <w:p w14:paraId="26F79B8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458FAD0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421B6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625DEF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35DB32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铊</w:t>
            </w:r>
          </w:p>
        </w:tc>
        <w:tc>
          <w:tcPr>
            <w:tcW w:w="419" w:type="pct"/>
            <w:tcBorders>
              <w:top w:val="single" w:color="auto" w:sz="4" w:space="0"/>
              <w:left w:val="single" w:color="auto" w:sz="4" w:space="0"/>
            </w:tcBorders>
            <w:vAlign w:val="center"/>
          </w:tcPr>
          <w:p w14:paraId="223A4BA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604BE7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684" w:type="pct"/>
            <w:tcBorders>
              <w:top w:val="single" w:color="auto" w:sz="4" w:space="0"/>
              <w:right w:val="single" w:color="auto" w:sz="4" w:space="0"/>
            </w:tcBorders>
          </w:tcPr>
          <w:p w14:paraId="5A958D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685" w:type="pct"/>
            <w:tcBorders>
              <w:top w:val="single" w:color="auto" w:sz="4" w:space="0"/>
              <w:right w:val="single" w:color="auto" w:sz="4" w:space="0"/>
            </w:tcBorders>
          </w:tcPr>
          <w:p w14:paraId="5FD92CB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423" w:type="pct"/>
            <w:tcBorders>
              <w:top w:val="single" w:color="auto" w:sz="4" w:space="0"/>
              <w:right w:val="single" w:color="auto" w:sz="4" w:space="0"/>
            </w:tcBorders>
            <w:vAlign w:val="center"/>
          </w:tcPr>
          <w:p w14:paraId="7607456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right w:val="single" w:color="auto" w:sz="4" w:space="0"/>
            </w:tcBorders>
            <w:vAlign w:val="center"/>
          </w:tcPr>
          <w:p w14:paraId="720FDE4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1B092C1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F8B55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35DC6C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bottom w:val="single" w:color="auto" w:sz="4" w:space="0"/>
            </w:tcBorders>
            <w:vAlign w:val="center"/>
          </w:tcPr>
          <w:p w14:paraId="3E122CC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汞</w:t>
            </w:r>
          </w:p>
        </w:tc>
        <w:tc>
          <w:tcPr>
            <w:tcW w:w="419" w:type="pct"/>
            <w:tcBorders>
              <w:top w:val="single" w:color="auto" w:sz="4" w:space="0"/>
              <w:left w:val="single" w:color="auto" w:sz="4" w:space="0"/>
              <w:bottom w:val="single" w:color="auto" w:sz="4" w:space="0"/>
            </w:tcBorders>
            <w:vAlign w:val="center"/>
          </w:tcPr>
          <w:p w14:paraId="253F126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bottom w:val="single" w:color="auto" w:sz="4" w:space="0"/>
            </w:tcBorders>
          </w:tcPr>
          <w:p w14:paraId="3732886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top w:val="single" w:color="auto" w:sz="4" w:space="0"/>
              <w:bottom w:val="single" w:color="auto" w:sz="4" w:space="0"/>
              <w:right w:val="single" w:color="auto" w:sz="4" w:space="0"/>
            </w:tcBorders>
          </w:tcPr>
          <w:p w14:paraId="4490BA6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top w:val="single" w:color="auto" w:sz="4" w:space="0"/>
              <w:bottom w:val="single" w:color="auto" w:sz="4" w:space="0"/>
              <w:right w:val="single" w:color="auto" w:sz="4" w:space="0"/>
            </w:tcBorders>
          </w:tcPr>
          <w:p w14:paraId="6F1D52C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top w:val="single" w:color="auto" w:sz="4" w:space="0"/>
              <w:bottom w:val="single" w:color="auto" w:sz="4" w:space="0"/>
              <w:right w:val="single" w:color="auto" w:sz="4" w:space="0"/>
            </w:tcBorders>
            <w:vAlign w:val="center"/>
          </w:tcPr>
          <w:p w14:paraId="04E765B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bottom w:val="single" w:color="auto" w:sz="4" w:space="0"/>
              <w:right w:val="single" w:color="auto" w:sz="4" w:space="0"/>
            </w:tcBorders>
            <w:vAlign w:val="center"/>
          </w:tcPr>
          <w:p w14:paraId="4C32C43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bottom w:val="single" w:color="auto" w:sz="4" w:space="0"/>
              <w:right w:val="single" w:color="auto" w:sz="12" w:space="0"/>
            </w:tcBorders>
            <w:vAlign w:val="center"/>
          </w:tcPr>
          <w:p w14:paraId="5E9008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B6290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9"/>
            <w:tcBorders>
              <w:left w:val="single" w:color="auto" w:sz="12" w:space="0"/>
              <w:bottom w:val="single" w:color="auto" w:sz="12" w:space="0"/>
              <w:right w:val="single" w:color="auto" w:sz="12" w:space="0"/>
            </w:tcBorders>
            <w:vAlign w:val="center"/>
          </w:tcPr>
          <w:p w14:paraId="741D1040">
            <w:pPr>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注：ND=未检出</w:t>
            </w:r>
          </w:p>
        </w:tc>
      </w:tr>
    </w:tbl>
    <w:p w14:paraId="2CDAEA49">
      <w:pPr>
        <w:rPr>
          <w:rFonts w:hint="default" w:ascii="Times New Roman" w:hAnsi="Times New Roman" w:eastAsia="宋体" w:cs="Times New Roman"/>
          <w:color w:val="auto"/>
          <w:sz w:val="21"/>
          <w:szCs w:val="21"/>
          <w:highlight w:val="none"/>
          <w:u w:val="none" w:color="auto"/>
        </w:rPr>
        <w:sectPr>
          <w:pgSz w:w="16838" w:h="11906" w:orient="landscape"/>
          <w:pgMar w:top="1440" w:right="1502" w:bottom="1440" w:left="1502" w:header="851" w:footer="680" w:gutter="0"/>
          <w:pgBorders>
            <w:top w:val="none" w:sz="0" w:space="0"/>
            <w:left w:val="none" w:sz="0" w:space="0"/>
            <w:bottom w:val="none" w:sz="0" w:space="0"/>
            <w:right w:val="none" w:sz="0" w:space="0"/>
          </w:pgBorders>
          <w:cols w:space="0" w:num="1"/>
          <w:docGrid w:type="lines" w:linePitch="326" w:charSpace="0"/>
        </w:sectPr>
      </w:pPr>
    </w:p>
    <w:p w14:paraId="07504206">
      <w:pPr>
        <w:pStyle w:val="13"/>
        <w:jc w:val="center"/>
        <w:rPr>
          <w:rFonts w:hint="default" w:ascii="Times New Roman" w:hAnsi="Times New Roman" w:eastAsia="宋体" w:cs="Times New Roman"/>
          <w:b/>
          <w:bCs/>
          <w:i w:val="0"/>
          <w:iCs w:val="0"/>
          <w:color w:val="auto"/>
          <w:sz w:val="21"/>
          <w:szCs w:val="21"/>
          <w:highlight w:val="none"/>
          <w:u w:val="none" w:color="auto"/>
          <w:lang w:val="en-US" w:eastAsia="zh-CN"/>
        </w:rPr>
      </w:pPr>
      <w:r>
        <w:rPr>
          <w:rFonts w:hint="default" w:ascii="Times New Roman" w:hAnsi="Times New Roman" w:eastAsia="宋体" w:cs="Times New Roman"/>
          <w:b/>
          <w:bCs/>
          <w:i w:val="0"/>
          <w:iCs w:val="0"/>
          <w:color w:val="auto"/>
          <w:sz w:val="21"/>
          <w:szCs w:val="21"/>
          <w:highlight w:val="none"/>
          <w:u w:val="none" w:color="auto"/>
          <w:lang w:val="en-US" w:eastAsia="zh-CN"/>
        </w:rPr>
        <w:t>表6.2-2（5）  地表水监测与评价结果一览表</w:t>
      </w: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1784"/>
        <w:gridCol w:w="1034"/>
        <w:gridCol w:w="1973"/>
        <w:gridCol w:w="1973"/>
        <w:gridCol w:w="1973"/>
        <w:gridCol w:w="1189"/>
        <w:gridCol w:w="1073"/>
        <w:gridCol w:w="1557"/>
      </w:tblGrid>
      <w:tr w14:paraId="7371D5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restart"/>
            <w:tcBorders>
              <w:top w:val="single" w:color="auto" w:sz="12" w:space="0"/>
              <w:left w:val="single" w:color="auto" w:sz="12" w:space="0"/>
            </w:tcBorders>
            <w:vAlign w:val="center"/>
          </w:tcPr>
          <w:p w14:paraId="330218F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监测点位</w:t>
            </w:r>
          </w:p>
        </w:tc>
        <w:tc>
          <w:tcPr>
            <w:tcW w:w="635" w:type="pct"/>
            <w:vMerge w:val="restart"/>
            <w:tcBorders>
              <w:top w:val="single" w:color="auto" w:sz="12" w:space="0"/>
              <w:left w:val="single" w:color="auto" w:sz="4" w:space="0"/>
            </w:tcBorders>
            <w:vAlign w:val="center"/>
          </w:tcPr>
          <w:p w14:paraId="3A2EB7F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监测项目</w:t>
            </w:r>
          </w:p>
        </w:tc>
        <w:tc>
          <w:tcPr>
            <w:tcW w:w="368" w:type="pct"/>
            <w:vMerge w:val="restart"/>
            <w:tcBorders>
              <w:top w:val="single" w:color="auto" w:sz="12" w:space="0"/>
              <w:left w:val="single" w:color="auto" w:sz="4" w:space="0"/>
            </w:tcBorders>
            <w:vAlign w:val="center"/>
          </w:tcPr>
          <w:p w14:paraId="49C4FA36">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单位</w:t>
            </w:r>
          </w:p>
        </w:tc>
        <w:tc>
          <w:tcPr>
            <w:tcW w:w="2106" w:type="pct"/>
            <w:gridSpan w:val="3"/>
            <w:tcBorders>
              <w:top w:val="single" w:color="auto" w:sz="12" w:space="0"/>
              <w:right w:val="single" w:color="auto" w:sz="4" w:space="0"/>
            </w:tcBorders>
            <w:vAlign w:val="center"/>
          </w:tcPr>
          <w:p w14:paraId="2CC705BB">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监测时间及监测结果</w:t>
            </w:r>
          </w:p>
        </w:tc>
        <w:tc>
          <w:tcPr>
            <w:tcW w:w="423" w:type="pct"/>
            <w:vMerge w:val="restart"/>
            <w:tcBorders>
              <w:top w:val="single" w:color="auto" w:sz="12" w:space="0"/>
              <w:right w:val="single" w:color="auto" w:sz="4" w:space="0"/>
            </w:tcBorders>
            <w:vAlign w:val="center"/>
          </w:tcPr>
          <w:p w14:paraId="492A3530">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执行标准</w:t>
            </w:r>
          </w:p>
        </w:tc>
        <w:tc>
          <w:tcPr>
            <w:tcW w:w="382" w:type="pct"/>
            <w:vMerge w:val="restart"/>
            <w:tcBorders>
              <w:top w:val="single" w:color="auto" w:sz="12" w:space="0"/>
              <w:right w:val="single" w:color="auto" w:sz="4" w:space="0"/>
            </w:tcBorders>
            <w:vAlign w:val="center"/>
          </w:tcPr>
          <w:p w14:paraId="7CA3C1A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超标率（%）</w:t>
            </w:r>
          </w:p>
        </w:tc>
        <w:tc>
          <w:tcPr>
            <w:tcW w:w="554" w:type="pct"/>
            <w:vMerge w:val="restart"/>
            <w:tcBorders>
              <w:top w:val="single" w:color="auto" w:sz="12" w:space="0"/>
              <w:right w:val="single" w:color="auto" w:sz="12" w:space="0"/>
            </w:tcBorders>
            <w:vAlign w:val="center"/>
          </w:tcPr>
          <w:p w14:paraId="7ADB81B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最大超标倍数</w:t>
            </w:r>
          </w:p>
        </w:tc>
      </w:tr>
      <w:tr w14:paraId="4211C2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continue"/>
            <w:tcBorders>
              <w:left w:val="single" w:color="auto" w:sz="12" w:space="0"/>
            </w:tcBorders>
            <w:vAlign w:val="center"/>
          </w:tcPr>
          <w:p w14:paraId="74F8C59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635" w:type="pct"/>
            <w:vMerge w:val="continue"/>
            <w:tcBorders>
              <w:left w:val="single" w:color="auto" w:sz="4" w:space="0"/>
            </w:tcBorders>
            <w:vAlign w:val="center"/>
          </w:tcPr>
          <w:p w14:paraId="3309182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68" w:type="pct"/>
            <w:vMerge w:val="continue"/>
            <w:tcBorders>
              <w:left w:val="single" w:color="auto" w:sz="4" w:space="0"/>
            </w:tcBorders>
            <w:vAlign w:val="center"/>
          </w:tcPr>
          <w:p w14:paraId="1845E9D6">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702" w:type="pct"/>
            <w:tcBorders>
              <w:top w:val="single" w:color="auto" w:sz="4" w:space="0"/>
            </w:tcBorders>
            <w:vAlign w:val="center"/>
          </w:tcPr>
          <w:p w14:paraId="1A207C9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2020年1月10日</w:t>
            </w:r>
          </w:p>
        </w:tc>
        <w:tc>
          <w:tcPr>
            <w:tcW w:w="702" w:type="pct"/>
            <w:tcBorders>
              <w:top w:val="single" w:color="auto" w:sz="4" w:space="0"/>
              <w:right w:val="single" w:color="auto" w:sz="4" w:space="0"/>
            </w:tcBorders>
            <w:vAlign w:val="center"/>
          </w:tcPr>
          <w:p w14:paraId="71D52307">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2020年1月11日</w:t>
            </w:r>
          </w:p>
        </w:tc>
        <w:tc>
          <w:tcPr>
            <w:tcW w:w="702" w:type="pct"/>
            <w:tcBorders>
              <w:top w:val="single" w:color="auto" w:sz="4" w:space="0"/>
              <w:right w:val="single" w:color="auto" w:sz="4" w:space="0"/>
            </w:tcBorders>
            <w:vAlign w:val="center"/>
          </w:tcPr>
          <w:p w14:paraId="4F5C2FFC">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2020年1月12日</w:t>
            </w:r>
          </w:p>
        </w:tc>
        <w:tc>
          <w:tcPr>
            <w:tcW w:w="423" w:type="pct"/>
            <w:vMerge w:val="continue"/>
            <w:tcBorders>
              <w:right w:val="single" w:color="auto" w:sz="4" w:space="0"/>
            </w:tcBorders>
            <w:vAlign w:val="center"/>
          </w:tcPr>
          <w:p w14:paraId="2E61F9C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82" w:type="pct"/>
            <w:vMerge w:val="continue"/>
            <w:tcBorders>
              <w:right w:val="single" w:color="auto" w:sz="4" w:space="0"/>
            </w:tcBorders>
            <w:vAlign w:val="center"/>
          </w:tcPr>
          <w:p w14:paraId="33D2A20F">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554" w:type="pct"/>
            <w:vMerge w:val="continue"/>
            <w:tcBorders>
              <w:right w:val="single" w:color="auto" w:sz="12" w:space="0"/>
            </w:tcBorders>
            <w:vAlign w:val="center"/>
          </w:tcPr>
          <w:p w14:paraId="38F7A287">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508943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restart"/>
            <w:tcBorders>
              <w:left w:val="single" w:color="auto" w:sz="12" w:space="0"/>
            </w:tcBorders>
            <w:vAlign w:val="center"/>
          </w:tcPr>
          <w:p w14:paraId="058A1C9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W5</w:t>
            </w:r>
          </w:p>
          <w:p w14:paraId="0F8AB3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松木污水处理厂排放口下游3000m</w:t>
            </w:r>
          </w:p>
        </w:tc>
        <w:tc>
          <w:tcPr>
            <w:tcW w:w="635" w:type="pct"/>
            <w:tcBorders>
              <w:left w:val="single" w:color="auto" w:sz="4" w:space="0"/>
            </w:tcBorders>
            <w:vAlign w:val="center"/>
          </w:tcPr>
          <w:p w14:paraId="2E64E8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pH</w:t>
            </w:r>
          </w:p>
        </w:tc>
        <w:tc>
          <w:tcPr>
            <w:tcW w:w="368" w:type="pct"/>
            <w:tcBorders>
              <w:left w:val="single" w:color="auto" w:sz="4" w:space="0"/>
            </w:tcBorders>
            <w:vAlign w:val="center"/>
          </w:tcPr>
          <w:p w14:paraId="02AFA68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无量纲</w:t>
            </w:r>
          </w:p>
        </w:tc>
        <w:tc>
          <w:tcPr>
            <w:tcW w:w="702" w:type="pct"/>
            <w:vAlign w:val="center"/>
          </w:tcPr>
          <w:p w14:paraId="5D1F1DCE">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7.44</w:t>
            </w:r>
          </w:p>
        </w:tc>
        <w:tc>
          <w:tcPr>
            <w:tcW w:w="702" w:type="pct"/>
            <w:tcBorders>
              <w:right w:val="single" w:color="auto" w:sz="4" w:space="0"/>
            </w:tcBorders>
            <w:vAlign w:val="center"/>
          </w:tcPr>
          <w:p w14:paraId="2E367AF5">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7.59</w:t>
            </w:r>
          </w:p>
        </w:tc>
        <w:tc>
          <w:tcPr>
            <w:tcW w:w="702" w:type="pct"/>
            <w:tcBorders>
              <w:right w:val="single" w:color="auto" w:sz="4" w:space="0"/>
            </w:tcBorders>
            <w:vAlign w:val="center"/>
          </w:tcPr>
          <w:p w14:paraId="07B695D3">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7.56</w:t>
            </w:r>
          </w:p>
        </w:tc>
        <w:tc>
          <w:tcPr>
            <w:tcW w:w="423" w:type="pct"/>
            <w:tcBorders>
              <w:right w:val="single" w:color="auto" w:sz="4" w:space="0"/>
            </w:tcBorders>
            <w:vAlign w:val="center"/>
          </w:tcPr>
          <w:p w14:paraId="237792D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382" w:type="pct"/>
            <w:tcBorders>
              <w:right w:val="single" w:color="auto" w:sz="4" w:space="0"/>
            </w:tcBorders>
            <w:vAlign w:val="center"/>
          </w:tcPr>
          <w:p w14:paraId="357A0D9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5A650D5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4156F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7B6CB6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102A23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溶解氧</w:t>
            </w:r>
          </w:p>
        </w:tc>
        <w:tc>
          <w:tcPr>
            <w:tcW w:w="368" w:type="pct"/>
            <w:tcBorders>
              <w:left w:val="single" w:color="auto" w:sz="4" w:space="0"/>
            </w:tcBorders>
            <w:vAlign w:val="center"/>
          </w:tcPr>
          <w:p w14:paraId="6E0A61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244FB9DE">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7.45</w:t>
            </w:r>
          </w:p>
        </w:tc>
        <w:tc>
          <w:tcPr>
            <w:tcW w:w="702" w:type="pct"/>
            <w:tcBorders>
              <w:right w:val="single" w:color="auto" w:sz="4" w:space="0"/>
            </w:tcBorders>
            <w:vAlign w:val="center"/>
          </w:tcPr>
          <w:p w14:paraId="7BCC9E13">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7.40</w:t>
            </w:r>
          </w:p>
        </w:tc>
        <w:tc>
          <w:tcPr>
            <w:tcW w:w="702" w:type="pct"/>
            <w:tcBorders>
              <w:right w:val="single" w:color="auto" w:sz="4" w:space="0"/>
            </w:tcBorders>
            <w:vAlign w:val="center"/>
          </w:tcPr>
          <w:p w14:paraId="1AC2D2F7">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7.28</w:t>
            </w:r>
          </w:p>
        </w:tc>
        <w:tc>
          <w:tcPr>
            <w:tcW w:w="423" w:type="pct"/>
            <w:tcBorders>
              <w:right w:val="single" w:color="auto" w:sz="4" w:space="0"/>
            </w:tcBorders>
            <w:vAlign w:val="center"/>
          </w:tcPr>
          <w:p w14:paraId="394396C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382" w:type="pct"/>
            <w:tcBorders>
              <w:right w:val="single" w:color="auto" w:sz="4" w:space="0"/>
            </w:tcBorders>
            <w:vAlign w:val="center"/>
          </w:tcPr>
          <w:p w14:paraId="1F569CA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238599B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90E77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532" w:type="pct"/>
            <w:vMerge w:val="continue"/>
            <w:tcBorders>
              <w:left w:val="single" w:color="auto" w:sz="12" w:space="0"/>
            </w:tcBorders>
            <w:vAlign w:val="center"/>
          </w:tcPr>
          <w:p w14:paraId="2E1BC48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2905585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水温</w:t>
            </w:r>
          </w:p>
        </w:tc>
        <w:tc>
          <w:tcPr>
            <w:tcW w:w="368" w:type="pct"/>
            <w:tcBorders>
              <w:left w:val="single" w:color="auto" w:sz="4" w:space="0"/>
            </w:tcBorders>
            <w:vAlign w:val="center"/>
          </w:tcPr>
          <w:p w14:paraId="43CD2C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702" w:type="pct"/>
            <w:vAlign w:val="center"/>
          </w:tcPr>
          <w:p w14:paraId="3BADB94E">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8.4</w:t>
            </w:r>
          </w:p>
        </w:tc>
        <w:tc>
          <w:tcPr>
            <w:tcW w:w="702" w:type="pct"/>
            <w:tcBorders>
              <w:right w:val="single" w:color="auto" w:sz="4" w:space="0"/>
            </w:tcBorders>
            <w:vAlign w:val="center"/>
          </w:tcPr>
          <w:p w14:paraId="09E0893F">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7.9</w:t>
            </w:r>
          </w:p>
        </w:tc>
        <w:tc>
          <w:tcPr>
            <w:tcW w:w="702" w:type="pct"/>
            <w:tcBorders>
              <w:right w:val="single" w:color="auto" w:sz="4" w:space="0"/>
            </w:tcBorders>
            <w:vAlign w:val="center"/>
          </w:tcPr>
          <w:p w14:paraId="1B83E5CD">
            <w:pPr>
              <w:tabs>
                <w:tab w:val="center" w:pos="1654"/>
              </w:tabs>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7.8</w:t>
            </w:r>
          </w:p>
        </w:tc>
        <w:tc>
          <w:tcPr>
            <w:tcW w:w="423" w:type="pct"/>
            <w:tcBorders>
              <w:right w:val="single" w:color="auto" w:sz="4" w:space="0"/>
            </w:tcBorders>
            <w:vAlign w:val="center"/>
          </w:tcPr>
          <w:p w14:paraId="654EB1F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382" w:type="pct"/>
            <w:tcBorders>
              <w:right w:val="single" w:color="auto" w:sz="4" w:space="0"/>
            </w:tcBorders>
            <w:vAlign w:val="center"/>
          </w:tcPr>
          <w:p w14:paraId="6FAFCFE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6038CD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2A80FD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7B3CA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594776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368" w:type="pct"/>
            <w:tcBorders>
              <w:left w:val="single" w:color="auto" w:sz="4" w:space="0"/>
              <w:bottom w:val="single" w:color="000000" w:sz="4" w:space="0"/>
            </w:tcBorders>
            <w:vAlign w:val="center"/>
          </w:tcPr>
          <w:p w14:paraId="0D17194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588C639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702" w:type="pct"/>
            <w:tcBorders>
              <w:right w:val="single" w:color="auto" w:sz="4" w:space="0"/>
            </w:tcBorders>
            <w:vAlign w:val="center"/>
          </w:tcPr>
          <w:p w14:paraId="3446FC5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w:t>
            </w:r>
          </w:p>
        </w:tc>
        <w:tc>
          <w:tcPr>
            <w:tcW w:w="702" w:type="pct"/>
            <w:tcBorders>
              <w:right w:val="single" w:color="auto" w:sz="4" w:space="0"/>
            </w:tcBorders>
            <w:vAlign w:val="center"/>
          </w:tcPr>
          <w:p w14:paraId="3E92671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423" w:type="pct"/>
            <w:tcBorders>
              <w:right w:val="single" w:color="auto" w:sz="4" w:space="0"/>
            </w:tcBorders>
            <w:vAlign w:val="center"/>
          </w:tcPr>
          <w:p w14:paraId="55B4BD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382" w:type="pct"/>
            <w:tcBorders>
              <w:right w:val="single" w:color="auto" w:sz="4" w:space="0"/>
            </w:tcBorders>
            <w:vAlign w:val="center"/>
          </w:tcPr>
          <w:p w14:paraId="53B305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7B51EE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821E5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9EE52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0EAAFB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五日生化需氧量</w:t>
            </w:r>
          </w:p>
        </w:tc>
        <w:tc>
          <w:tcPr>
            <w:tcW w:w="368" w:type="pct"/>
            <w:tcBorders>
              <w:top w:val="single" w:color="000000" w:sz="4" w:space="0"/>
              <w:left w:val="single" w:color="auto" w:sz="4" w:space="0"/>
            </w:tcBorders>
            <w:vAlign w:val="center"/>
          </w:tcPr>
          <w:p w14:paraId="16AF741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27C65BF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w:t>
            </w:r>
          </w:p>
        </w:tc>
        <w:tc>
          <w:tcPr>
            <w:tcW w:w="702" w:type="pct"/>
            <w:tcBorders>
              <w:right w:val="single" w:color="auto" w:sz="4" w:space="0"/>
            </w:tcBorders>
            <w:vAlign w:val="center"/>
          </w:tcPr>
          <w:p w14:paraId="6E1A2C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1.8</w:t>
            </w:r>
          </w:p>
        </w:tc>
        <w:tc>
          <w:tcPr>
            <w:tcW w:w="702" w:type="pct"/>
            <w:tcBorders>
              <w:right w:val="single" w:color="auto" w:sz="4" w:space="0"/>
            </w:tcBorders>
            <w:vAlign w:val="center"/>
          </w:tcPr>
          <w:p w14:paraId="2F95ED4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2.1</w:t>
            </w:r>
          </w:p>
        </w:tc>
        <w:tc>
          <w:tcPr>
            <w:tcW w:w="423" w:type="pct"/>
            <w:tcBorders>
              <w:right w:val="single" w:color="auto" w:sz="4" w:space="0"/>
            </w:tcBorders>
            <w:vAlign w:val="center"/>
          </w:tcPr>
          <w:p w14:paraId="5D95DDC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382" w:type="pct"/>
            <w:tcBorders>
              <w:right w:val="single" w:color="auto" w:sz="4" w:space="0"/>
            </w:tcBorders>
            <w:vAlign w:val="center"/>
          </w:tcPr>
          <w:p w14:paraId="06EE864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6C42DA4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83214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E22860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3D7B2D4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总磷</w:t>
            </w:r>
          </w:p>
        </w:tc>
        <w:tc>
          <w:tcPr>
            <w:tcW w:w="368" w:type="pct"/>
            <w:tcBorders>
              <w:left w:val="single" w:color="auto" w:sz="4" w:space="0"/>
            </w:tcBorders>
            <w:vAlign w:val="center"/>
          </w:tcPr>
          <w:p w14:paraId="31B8BB6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0808081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702" w:type="pct"/>
            <w:tcBorders>
              <w:right w:val="single" w:color="auto" w:sz="4" w:space="0"/>
            </w:tcBorders>
            <w:vAlign w:val="center"/>
          </w:tcPr>
          <w:p w14:paraId="4909E9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0.04</w:t>
            </w:r>
          </w:p>
        </w:tc>
        <w:tc>
          <w:tcPr>
            <w:tcW w:w="702" w:type="pct"/>
            <w:tcBorders>
              <w:right w:val="single" w:color="auto" w:sz="4" w:space="0"/>
            </w:tcBorders>
            <w:vAlign w:val="center"/>
          </w:tcPr>
          <w:p w14:paraId="278E19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423" w:type="pct"/>
            <w:tcBorders>
              <w:right w:val="single" w:color="auto" w:sz="4" w:space="0"/>
            </w:tcBorders>
            <w:vAlign w:val="center"/>
          </w:tcPr>
          <w:p w14:paraId="3205938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4358E51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32BD923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61423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6E40CB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7E57276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368" w:type="pct"/>
            <w:tcBorders>
              <w:left w:val="single" w:color="auto" w:sz="4" w:space="0"/>
              <w:bottom w:val="single" w:color="auto" w:sz="4" w:space="0"/>
            </w:tcBorders>
            <w:vAlign w:val="center"/>
          </w:tcPr>
          <w:p w14:paraId="7A9F35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6A38BC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0.556</w:t>
            </w:r>
          </w:p>
        </w:tc>
        <w:tc>
          <w:tcPr>
            <w:tcW w:w="702" w:type="pct"/>
            <w:tcBorders>
              <w:right w:val="single" w:color="auto" w:sz="4" w:space="0"/>
            </w:tcBorders>
            <w:vAlign w:val="center"/>
          </w:tcPr>
          <w:p w14:paraId="609BCA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0.559</w:t>
            </w:r>
          </w:p>
        </w:tc>
        <w:tc>
          <w:tcPr>
            <w:tcW w:w="702" w:type="pct"/>
            <w:tcBorders>
              <w:right w:val="single" w:color="auto" w:sz="4" w:space="0"/>
            </w:tcBorders>
            <w:vAlign w:val="center"/>
          </w:tcPr>
          <w:p w14:paraId="0F6CC6B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0.545</w:t>
            </w:r>
          </w:p>
        </w:tc>
        <w:tc>
          <w:tcPr>
            <w:tcW w:w="423" w:type="pct"/>
            <w:tcBorders>
              <w:right w:val="single" w:color="auto" w:sz="4" w:space="0"/>
            </w:tcBorders>
            <w:vAlign w:val="center"/>
          </w:tcPr>
          <w:p w14:paraId="4C035C1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5F7F1BA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1507C4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D123D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9A745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77C9C5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w:t>
            </w:r>
          </w:p>
        </w:tc>
        <w:tc>
          <w:tcPr>
            <w:tcW w:w="368" w:type="pct"/>
            <w:tcBorders>
              <w:left w:val="single" w:color="auto" w:sz="4" w:space="0"/>
              <w:bottom w:val="single" w:color="000000" w:sz="4" w:space="0"/>
            </w:tcBorders>
            <w:vAlign w:val="center"/>
          </w:tcPr>
          <w:p w14:paraId="3EB7DD3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bottom w:val="single" w:color="auto" w:sz="4" w:space="0"/>
            </w:tcBorders>
            <w:vAlign w:val="center"/>
          </w:tcPr>
          <w:p w14:paraId="4200966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055337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011523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5A84B19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05B1EA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7D4007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8A170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027F6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0D5E6F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氟化物</w:t>
            </w:r>
          </w:p>
        </w:tc>
        <w:tc>
          <w:tcPr>
            <w:tcW w:w="368" w:type="pct"/>
            <w:tcBorders>
              <w:top w:val="single" w:color="000000" w:sz="4" w:space="0"/>
              <w:left w:val="single" w:color="auto" w:sz="4" w:space="0"/>
            </w:tcBorders>
            <w:vAlign w:val="center"/>
          </w:tcPr>
          <w:p w14:paraId="7B7F01C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2E10E43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0.386</w:t>
            </w:r>
          </w:p>
        </w:tc>
        <w:tc>
          <w:tcPr>
            <w:tcW w:w="702" w:type="pct"/>
            <w:tcBorders>
              <w:right w:val="single" w:color="auto" w:sz="4" w:space="0"/>
            </w:tcBorders>
          </w:tcPr>
          <w:p w14:paraId="046A46B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0.356</w:t>
            </w:r>
          </w:p>
        </w:tc>
        <w:tc>
          <w:tcPr>
            <w:tcW w:w="702" w:type="pct"/>
            <w:tcBorders>
              <w:right w:val="single" w:color="auto" w:sz="4" w:space="0"/>
            </w:tcBorders>
          </w:tcPr>
          <w:p w14:paraId="21D209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0.360</w:t>
            </w:r>
          </w:p>
        </w:tc>
        <w:tc>
          <w:tcPr>
            <w:tcW w:w="423" w:type="pct"/>
            <w:tcBorders>
              <w:right w:val="single" w:color="auto" w:sz="4" w:space="0"/>
            </w:tcBorders>
            <w:vAlign w:val="center"/>
          </w:tcPr>
          <w:p w14:paraId="1BC3046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425B10D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585E024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3E93B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CF17A7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26D5F5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氯化物</w:t>
            </w:r>
          </w:p>
        </w:tc>
        <w:tc>
          <w:tcPr>
            <w:tcW w:w="368" w:type="pct"/>
            <w:tcBorders>
              <w:left w:val="single" w:color="auto" w:sz="4" w:space="0"/>
            </w:tcBorders>
            <w:vAlign w:val="center"/>
          </w:tcPr>
          <w:p w14:paraId="294B09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06C3CF6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14.6</w:t>
            </w:r>
          </w:p>
        </w:tc>
        <w:tc>
          <w:tcPr>
            <w:tcW w:w="702" w:type="pct"/>
            <w:tcBorders>
              <w:right w:val="single" w:color="auto" w:sz="4" w:space="0"/>
            </w:tcBorders>
          </w:tcPr>
          <w:p w14:paraId="278014F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15.0</w:t>
            </w:r>
          </w:p>
        </w:tc>
        <w:tc>
          <w:tcPr>
            <w:tcW w:w="702" w:type="pct"/>
            <w:tcBorders>
              <w:right w:val="single" w:color="auto" w:sz="4" w:space="0"/>
            </w:tcBorders>
          </w:tcPr>
          <w:p w14:paraId="642C0A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15.2</w:t>
            </w:r>
          </w:p>
        </w:tc>
        <w:tc>
          <w:tcPr>
            <w:tcW w:w="423" w:type="pct"/>
            <w:tcBorders>
              <w:right w:val="single" w:color="auto" w:sz="4" w:space="0"/>
            </w:tcBorders>
            <w:vAlign w:val="center"/>
          </w:tcPr>
          <w:p w14:paraId="57219D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7F266E9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26AE93F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A85D4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591F2D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49D36F9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硫酸盐</w:t>
            </w:r>
          </w:p>
        </w:tc>
        <w:tc>
          <w:tcPr>
            <w:tcW w:w="368" w:type="pct"/>
            <w:tcBorders>
              <w:left w:val="single" w:color="auto" w:sz="4" w:space="0"/>
            </w:tcBorders>
            <w:vAlign w:val="center"/>
          </w:tcPr>
          <w:p w14:paraId="70E9376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440178A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24.7</w:t>
            </w:r>
          </w:p>
        </w:tc>
        <w:tc>
          <w:tcPr>
            <w:tcW w:w="702" w:type="pct"/>
            <w:tcBorders>
              <w:right w:val="single" w:color="auto" w:sz="4" w:space="0"/>
            </w:tcBorders>
          </w:tcPr>
          <w:p w14:paraId="2EA6E6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25.4</w:t>
            </w:r>
          </w:p>
        </w:tc>
        <w:tc>
          <w:tcPr>
            <w:tcW w:w="702" w:type="pct"/>
            <w:tcBorders>
              <w:right w:val="single" w:color="auto" w:sz="4" w:space="0"/>
            </w:tcBorders>
          </w:tcPr>
          <w:p w14:paraId="44F3BB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25.7</w:t>
            </w:r>
          </w:p>
        </w:tc>
        <w:tc>
          <w:tcPr>
            <w:tcW w:w="423" w:type="pct"/>
            <w:tcBorders>
              <w:right w:val="single" w:color="auto" w:sz="4" w:space="0"/>
            </w:tcBorders>
            <w:vAlign w:val="center"/>
          </w:tcPr>
          <w:p w14:paraId="38ADB2A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207591B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67652D7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DB62A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009B76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1216DB8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硫化物</w:t>
            </w:r>
          </w:p>
        </w:tc>
        <w:tc>
          <w:tcPr>
            <w:tcW w:w="368" w:type="pct"/>
            <w:tcBorders>
              <w:left w:val="single" w:color="auto" w:sz="4" w:space="0"/>
            </w:tcBorders>
            <w:vAlign w:val="center"/>
          </w:tcPr>
          <w:p w14:paraId="7D0B67E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1F6FA1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41806E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4796276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5C6E53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7FA1F16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780F1A1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ADB56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226B2F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3C86EA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挥发酚</w:t>
            </w:r>
          </w:p>
        </w:tc>
        <w:tc>
          <w:tcPr>
            <w:tcW w:w="368" w:type="pct"/>
            <w:tcBorders>
              <w:left w:val="single" w:color="auto" w:sz="4" w:space="0"/>
            </w:tcBorders>
            <w:vAlign w:val="center"/>
          </w:tcPr>
          <w:p w14:paraId="6532B5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297FB03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w:t>
            </w:r>
          </w:p>
        </w:tc>
        <w:tc>
          <w:tcPr>
            <w:tcW w:w="702" w:type="pct"/>
            <w:tcBorders>
              <w:right w:val="single" w:color="auto" w:sz="4" w:space="0"/>
            </w:tcBorders>
          </w:tcPr>
          <w:p w14:paraId="023E341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w:t>
            </w:r>
          </w:p>
        </w:tc>
        <w:tc>
          <w:tcPr>
            <w:tcW w:w="702" w:type="pct"/>
            <w:tcBorders>
              <w:right w:val="single" w:color="auto" w:sz="4" w:space="0"/>
            </w:tcBorders>
          </w:tcPr>
          <w:p w14:paraId="1ACA2A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w:t>
            </w:r>
          </w:p>
        </w:tc>
        <w:tc>
          <w:tcPr>
            <w:tcW w:w="423" w:type="pct"/>
            <w:tcBorders>
              <w:right w:val="single" w:color="auto" w:sz="4" w:space="0"/>
            </w:tcBorders>
            <w:vAlign w:val="center"/>
          </w:tcPr>
          <w:p w14:paraId="4DF7DBB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468B41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30FA29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DFFF3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DE060F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6F98D92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粪大肠菌群</w:t>
            </w:r>
          </w:p>
        </w:tc>
        <w:tc>
          <w:tcPr>
            <w:tcW w:w="368" w:type="pct"/>
            <w:tcBorders>
              <w:left w:val="single" w:color="auto" w:sz="4" w:space="0"/>
            </w:tcBorders>
            <w:vAlign w:val="center"/>
          </w:tcPr>
          <w:p w14:paraId="001176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MPN/L</w:t>
            </w:r>
          </w:p>
        </w:tc>
        <w:tc>
          <w:tcPr>
            <w:tcW w:w="702" w:type="pct"/>
          </w:tcPr>
          <w:p w14:paraId="69CDB4E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w:t>
            </w:r>
          </w:p>
        </w:tc>
        <w:tc>
          <w:tcPr>
            <w:tcW w:w="702" w:type="pct"/>
            <w:tcBorders>
              <w:right w:val="single" w:color="auto" w:sz="4" w:space="0"/>
            </w:tcBorders>
          </w:tcPr>
          <w:p w14:paraId="19856AF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w:t>
            </w:r>
          </w:p>
        </w:tc>
        <w:tc>
          <w:tcPr>
            <w:tcW w:w="702" w:type="pct"/>
            <w:tcBorders>
              <w:right w:val="single" w:color="auto" w:sz="4" w:space="0"/>
            </w:tcBorders>
          </w:tcPr>
          <w:p w14:paraId="6C78327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w:t>
            </w:r>
          </w:p>
        </w:tc>
        <w:tc>
          <w:tcPr>
            <w:tcW w:w="423" w:type="pct"/>
            <w:tcBorders>
              <w:right w:val="single" w:color="auto" w:sz="4" w:space="0"/>
            </w:tcBorders>
            <w:vAlign w:val="center"/>
          </w:tcPr>
          <w:p w14:paraId="544C57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10000</w:t>
            </w:r>
          </w:p>
        </w:tc>
        <w:tc>
          <w:tcPr>
            <w:tcW w:w="382" w:type="pct"/>
            <w:tcBorders>
              <w:right w:val="single" w:color="auto" w:sz="4" w:space="0"/>
            </w:tcBorders>
            <w:vAlign w:val="center"/>
          </w:tcPr>
          <w:p w14:paraId="2E05E88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3969B0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E4FF4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EA6803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083BB80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氯乙烯</w:t>
            </w:r>
          </w:p>
        </w:tc>
        <w:tc>
          <w:tcPr>
            <w:tcW w:w="368" w:type="pct"/>
            <w:tcBorders>
              <w:left w:val="single" w:color="auto" w:sz="4" w:space="0"/>
            </w:tcBorders>
            <w:vAlign w:val="center"/>
          </w:tcPr>
          <w:p w14:paraId="14C0611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71C2A0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334F7F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12A709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07F98E4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21EBDC5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54F6AC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B5895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78E7FC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0C6F42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六价铬</w:t>
            </w:r>
          </w:p>
        </w:tc>
        <w:tc>
          <w:tcPr>
            <w:tcW w:w="368" w:type="pct"/>
            <w:tcBorders>
              <w:left w:val="single" w:color="auto" w:sz="4" w:space="0"/>
              <w:bottom w:val="single" w:color="000000" w:sz="4" w:space="0"/>
            </w:tcBorders>
            <w:vAlign w:val="center"/>
          </w:tcPr>
          <w:p w14:paraId="24D0C9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vAlign w:val="center"/>
          </w:tcPr>
          <w:p w14:paraId="48C2F4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42D4F0A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vAlign w:val="center"/>
          </w:tcPr>
          <w:p w14:paraId="72B272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4A07AF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30A8AC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7AFE82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10E84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EF4AF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46938A6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w:t>
            </w:r>
          </w:p>
        </w:tc>
        <w:tc>
          <w:tcPr>
            <w:tcW w:w="368" w:type="pct"/>
            <w:tcBorders>
              <w:top w:val="single" w:color="000000" w:sz="4" w:space="0"/>
              <w:left w:val="single" w:color="auto" w:sz="4" w:space="0"/>
            </w:tcBorders>
            <w:vAlign w:val="center"/>
          </w:tcPr>
          <w:p w14:paraId="24491B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Pr>
          <w:p w14:paraId="7DFA946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0.00017</w:t>
            </w:r>
          </w:p>
        </w:tc>
        <w:tc>
          <w:tcPr>
            <w:tcW w:w="702" w:type="pct"/>
            <w:tcBorders>
              <w:right w:val="single" w:color="auto" w:sz="4" w:space="0"/>
            </w:tcBorders>
          </w:tcPr>
          <w:p w14:paraId="15E4A97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right w:val="single" w:color="auto" w:sz="4" w:space="0"/>
            </w:tcBorders>
          </w:tcPr>
          <w:p w14:paraId="2675C90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29FACA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2A664DE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right w:val="single" w:color="auto" w:sz="12" w:space="0"/>
            </w:tcBorders>
            <w:vAlign w:val="center"/>
          </w:tcPr>
          <w:p w14:paraId="7033CD0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E7930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B92D80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auto" w:sz="4" w:space="0"/>
            </w:tcBorders>
            <w:vAlign w:val="center"/>
          </w:tcPr>
          <w:p w14:paraId="4628012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368" w:type="pct"/>
            <w:tcBorders>
              <w:left w:val="single" w:color="auto" w:sz="4" w:space="0"/>
              <w:bottom w:val="single" w:color="auto" w:sz="4" w:space="0"/>
            </w:tcBorders>
            <w:vAlign w:val="center"/>
          </w:tcPr>
          <w:p w14:paraId="72D0ED0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bottom w:val="single" w:color="auto" w:sz="4" w:space="0"/>
            </w:tcBorders>
          </w:tcPr>
          <w:p w14:paraId="1D52028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0.00655</w:t>
            </w:r>
          </w:p>
        </w:tc>
        <w:tc>
          <w:tcPr>
            <w:tcW w:w="702" w:type="pct"/>
            <w:tcBorders>
              <w:bottom w:val="single" w:color="auto" w:sz="4" w:space="0"/>
              <w:right w:val="single" w:color="auto" w:sz="4" w:space="0"/>
            </w:tcBorders>
          </w:tcPr>
          <w:p w14:paraId="523ACC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0.00698</w:t>
            </w:r>
          </w:p>
        </w:tc>
        <w:tc>
          <w:tcPr>
            <w:tcW w:w="702" w:type="pct"/>
            <w:tcBorders>
              <w:bottom w:val="single" w:color="auto" w:sz="4" w:space="0"/>
              <w:right w:val="single" w:color="auto" w:sz="4" w:space="0"/>
            </w:tcBorders>
          </w:tcPr>
          <w:p w14:paraId="4C26E5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0.00646</w:t>
            </w:r>
          </w:p>
        </w:tc>
        <w:tc>
          <w:tcPr>
            <w:tcW w:w="423" w:type="pct"/>
            <w:tcBorders>
              <w:bottom w:val="single" w:color="auto" w:sz="4" w:space="0"/>
              <w:right w:val="single" w:color="auto" w:sz="4" w:space="0"/>
            </w:tcBorders>
            <w:vAlign w:val="center"/>
          </w:tcPr>
          <w:p w14:paraId="6A0B218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bottom w:val="single" w:color="auto" w:sz="4" w:space="0"/>
              <w:right w:val="single" w:color="auto" w:sz="4" w:space="0"/>
            </w:tcBorders>
            <w:vAlign w:val="center"/>
          </w:tcPr>
          <w:p w14:paraId="31E58B2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bottom w:val="single" w:color="auto" w:sz="4" w:space="0"/>
              <w:right w:val="single" w:color="auto" w:sz="12" w:space="0"/>
            </w:tcBorders>
            <w:vAlign w:val="center"/>
          </w:tcPr>
          <w:p w14:paraId="625ECFC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0523C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CD4A9F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253CBBB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镉</w:t>
            </w:r>
          </w:p>
        </w:tc>
        <w:tc>
          <w:tcPr>
            <w:tcW w:w="368" w:type="pct"/>
            <w:tcBorders>
              <w:top w:val="single" w:color="auto" w:sz="4" w:space="0"/>
              <w:left w:val="single" w:color="auto" w:sz="4" w:space="0"/>
            </w:tcBorders>
            <w:vAlign w:val="center"/>
          </w:tcPr>
          <w:p w14:paraId="2C65689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19230F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0.00044</w:t>
            </w:r>
          </w:p>
        </w:tc>
        <w:tc>
          <w:tcPr>
            <w:tcW w:w="702" w:type="pct"/>
            <w:tcBorders>
              <w:top w:val="single" w:color="auto" w:sz="4" w:space="0"/>
              <w:right w:val="single" w:color="auto" w:sz="4" w:space="0"/>
            </w:tcBorders>
          </w:tcPr>
          <w:p w14:paraId="0505A6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0.00047</w:t>
            </w:r>
          </w:p>
        </w:tc>
        <w:tc>
          <w:tcPr>
            <w:tcW w:w="702" w:type="pct"/>
            <w:tcBorders>
              <w:top w:val="single" w:color="auto" w:sz="4" w:space="0"/>
              <w:right w:val="single" w:color="auto" w:sz="4" w:space="0"/>
            </w:tcBorders>
          </w:tcPr>
          <w:p w14:paraId="1E53E07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0.00040</w:t>
            </w:r>
          </w:p>
        </w:tc>
        <w:tc>
          <w:tcPr>
            <w:tcW w:w="423" w:type="pct"/>
            <w:tcBorders>
              <w:top w:val="single" w:color="auto" w:sz="4" w:space="0"/>
              <w:right w:val="single" w:color="auto" w:sz="4" w:space="0"/>
            </w:tcBorders>
            <w:vAlign w:val="center"/>
          </w:tcPr>
          <w:p w14:paraId="12B12AB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top w:val="single" w:color="auto" w:sz="4" w:space="0"/>
              <w:right w:val="single" w:color="auto" w:sz="4" w:space="0"/>
            </w:tcBorders>
            <w:vAlign w:val="center"/>
          </w:tcPr>
          <w:p w14:paraId="45CDCB8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0AB3CF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76F95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2DFCA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7D5E89C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368" w:type="pct"/>
            <w:tcBorders>
              <w:top w:val="single" w:color="auto" w:sz="4" w:space="0"/>
              <w:left w:val="single" w:color="auto" w:sz="4" w:space="0"/>
            </w:tcBorders>
            <w:vAlign w:val="center"/>
          </w:tcPr>
          <w:p w14:paraId="0742F66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5224B8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0.000132</w:t>
            </w:r>
          </w:p>
        </w:tc>
        <w:tc>
          <w:tcPr>
            <w:tcW w:w="702" w:type="pct"/>
            <w:tcBorders>
              <w:top w:val="single" w:color="auto" w:sz="4" w:space="0"/>
              <w:right w:val="single" w:color="auto" w:sz="4" w:space="0"/>
            </w:tcBorders>
          </w:tcPr>
          <w:p w14:paraId="5B73045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0.00112</w:t>
            </w:r>
          </w:p>
        </w:tc>
        <w:tc>
          <w:tcPr>
            <w:tcW w:w="702" w:type="pct"/>
            <w:tcBorders>
              <w:top w:val="single" w:color="auto" w:sz="4" w:space="0"/>
              <w:right w:val="single" w:color="auto" w:sz="4" w:space="0"/>
            </w:tcBorders>
          </w:tcPr>
          <w:p w14:paraId="49D3768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0.00113</w:t>
            </w:r>
          </w:p>
        </w:tc>
        <w:tc>
          <w:tcPr>
            <w:tcW w:w="423" w:type="pct"/>
            <w:tcBorders>
              <w:top w:val="single" w:color="auto" w:sz="4" w:space="0"/>
              <w:right w:val="single" w:color="auto" w:sz="4" w:space="0"/>
            </w:tcBorders>
            <w:vAlign w:val="center"/>
          </w:tcPr>
          <w:p w14:paraId="24E169C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526EF48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04F873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15408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8081C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23E571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368" w:type="pct"/>
            <w:tcBorders>
              <w:top w:val="single" w:color="auto" w:sz="4" w:space="0"/>
              <w:left w:val="single" w:color="auto" w:sz="4" w:space="0"/>
            </w:tcBorders>
            <w:vAlign w:val="center"/>
          </w:tcPr>
          <w:p w14:paraId="4ECE36C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6B3CB2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0.0106</w:t>
            </w:r>
          </w:p>
        </w:tc>
        <w:tc>
          <w:tcPr>
            <w:tcW w:w="702" w:type="pct"/>
            <w:tcBorders>
              <w:top w:val="single" w:color="auto" w:sz="4" w:space="0"/>
              <w:right w:val="single" w:color="auto" w:sz="4" w:space="0"/>
            </w:tcBorders>
          </w:tcPr>
          <w:p w14:paraId="7D91D5D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0.00909</w:t>
            </w:r>
          </w:p>
        </w:tc>
        <w:tc>
          <w:tcPr>
            <w:tcW w:w="702" w:type="pct"/>
            <w:tcBorders>
              <w:top w:val="single" w:color="auto" w:sz="4" w:space="0"/>
              <w:right w:val="single" w:color="auto" w:sz="4" w:space="0"/>
            </w:tcBorders>
          </w:tcPr>
          <w:p w14:paraId="2F3B22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0.00778</w:t>
            </w:r>
          </w:p>
        </w:tc>
        <w:tc>
          <w:tcPr>
            <w:tcW w:w="423" w:type="pct"/>
            <w:tcBorders>
              <w:top w:val="single" w:color="auto" w:sz="4" w:space="0"/>
              <w:right w:val="single" w:color="auto" w:sz="4" w:space="0"/>
            </w:tcBorders>
            <w:vAlign w:val="center"/>
          </w:tcPr>
          <w:p w14:paraId="2AE536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556B2AC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62774C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6A7B99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16BA4A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3B779CC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368" w:type="pct"/>
            <w:tcBorders>
              <w:top w:val="single" w:color="auto" w:sz="4" w:space="0"/>
              <w:left w:val="single" w:color="auto" w:sz="4" w:space="0"/>
            </w:tcBorders>
            <w:vAlign w:val="center"/>
          </w:tcPr>
          <w:p w14:paraId="37C759B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054584A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0.00079</w:t>
            </w:r>
          </w:p>
        </w:tc>
        <w:tc>
          <w:tcPr>
            <w:tcW w:w="702" w:type="pct"/>
            <w:tcBorders>
              <w:top w:val="single" w:color="auto" w:sz="4" w:space="0"/>
              <w:right w:val="single" w:color="auto" w:sz="4" w:space="0"/>
            </w:tcBorders>
          </w:tcPr>
          <w:p w14:paraId="7207030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0.00077</w:t>
            </w:r>
          </w:p>
        </w:tc>
        <w:tc>
          <w:tcPr>
            <w:tcW w:w="702" w:type="pct"/>
            <w:tcBorders>
              <w:top w:val="single" w:color="auto" w:sz="4" w:space="0"/>
              <w:right w:val="single" w:color="auto" w:sz="4" w:space="0"/>
            </w:tcBorders>
          </w:tcPr>
          <w:p w14:paraId="4B7E292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0.00072</w:t>
            </w:r>
          </w:p>
        </w:tc>
        <w:tc>
          <w:tcPr>
            <w:tcW w:w="423" w:type="pct"/>
            <w:tcBorders>
              <w:top w:val="single" w:color="auto" w:sz="4" w:space="0"/>
              <w:right w:val="single" w:color="auto" w:sz="4" w:space="0"/>
            </w:tcBorders>
            <w:vAlign w:val="center"/>
          </w:tcPr>
          <w:p w14:paraId="599DA8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2" w:type="pct"/>
            <w:tcBorders>
              <w:top w:val="single" w:color="auto" w:sz="4" w:space="0"/>
              <w:right w:val="single" w:color="auto" w:sz="4" w:space="0"/>
            </w:tcBorders>
            <w:vAlign w:val="center"/>
          </w:tcPr>
          <w:p w14:paraId="59CB0C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75DD8D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E0744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C64727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55BBB9E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铊</w:t>
            </w:r>
          </w:p>
        </w:tc>
        <w:tc>
          <w:tcPr>
            <w:tcW w:w="368" w:type="pct"/>
            <w:tcBorders>
              <w:top w:val="single" w:color="auto" w:sz="4" w:space="0"/>
              <w:left w:val="single" w:color="auto" w:sz="4" w:space="0"/>
            </w:tcBorders>
            <w:vAlign w:val="center"/>
          </w:tcPr>
          <w:p w14:paraId="14FD2E1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tcBorders>
          </w:tcPr>
          <w:p w14:paraId="17F70C7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702" w:type="pct"/>
            <w:tcBorders>
              <w:top w:val="single" w:color="auto" w:sz="4" w:space="0"/>
              <w:right w:val="single" w:color="auto" w:sz="4" w:space="0"/>
            </w:tcBorders>
          </w:tcPr>
          <w:p w14:paraId="3A67B3A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702" w:type="pct"/>
            <w:tcBorders>
              <w:top w:val="single" w:color="auto" w:sz="4" w:space="0"/>
              <w:right w:val="single" w:color="auto" w:sz="4" w:space="0"/>
            </w:tcBorders>
          </w:tcPr>
          <w:p w14:paraId="470D5E3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423" w:type="pct"/>
            <w:tcBorders>
              <w:top w:val="single" w:color="auto" w:sz="4" w:space="0"/>
              <w:right w:val="single" w:color="auto" w:sz="4" w:space="0"/>
            </w:tcBorders>
            <w:vAlign w:val="center"/>
          </w:tcPr>
          <w:p w14:paraId="6C9D941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right w:val="single" w:color="auto" w:sz="4" w:space="0"/>
            </w:tcBorders>
            <w:vAlign w:val="center"/>
          </w:tcPr>
          <w:p w14:paraId="384D3C9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right w:val="single" w:color="auto" w:sz="12" w:space="0"/>
            </w:tcBorders>
            <w:vAlign w:val="center"/>
          </w:tcPr>
          <w:p w14:paraId="3599A4D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FA720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78827F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bottom w:val="single" w:color="auto" w:sz="4" w:space="0"/>
            </w:tcBorders>
            <w:vAlign w:val="center"/>
          </w:tcPr>
          <w:p w14:paraId="7582C48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汞</w:t>
            </w:r>
          </w:p>
        </w:tc>
        <w:tc>
          <w:tcPr>
            <w:tcW w:w="368" w:type="pct"/>
            <w:tcBorders>
              <w:top w:val="single" w:color="auto" w:sz="4" w:space="0"/>
              <w:left w:val="single" w:color="auto" w:sz="4" w:space="0"/>
              <w:bottom w:val="single" w:color="auto" w:sz="4" w:space="0"/>
            </w:tcBorders>
            <w:vAlign w:val="center"/>
          </w:tcPr>
          <w:p w14:paraId="737F1E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702" w:type="pct"/>
            <w:tcBorders>
              <w:top w:val="single" w:color="auto" w:sz="4" w:space="0"/>
              <w:bottom w:val="single" w:color="auto" w:sz="4" w:space="0"/>
            </w:tcBorders>
          </w:tcPr>
          <w:p w14:paraId="5F837E7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top w:val="single" w:color="auto" w:sz="4" w:space="0"/>
              <w:bottom w:val="single" w:color="auto" w:sz="4" w:space="0"/>
              <w:right w:val="single" w:color="auto" w:sz="4" w:space="0"/>
            </w:tcBorders>
          </w:tcPr>
          <w:p w14:paraId="0DC3735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702" w:type="pct"/>
            <w:tcBorders>
              <w:top w:val="single" w:color="auto" w:sz="4" w:space="0"/>
              <w:bottom w:val="single" w:color="auto" w:sz="4" w:space="0"/>
              <w:right w:val="single" w:color="auto" w:sz="4" w:space="0"/>
            </w:tcBorders>
          </w:tcPr>
          <w:p w14:paraId="372B36C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top w:val="single" w:color="auto" w:sz="4" w:space="0"/>
              <w:bottom w:val="single" w:color="auto" w:sz="4" w:space="0"/>
              <w:right w:val="single" w:color="auto" w:sz="4" w:space="0"/>
            </w:tcBorders>
            <w:vAlign w:val="center"/>
          </w:tcPr>
          <w:p w14:paraId="4D0066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bottom w:val="single" w:color="auto" w:sz="4" w:space="0"/>
              <w:right w:val="single" w:color="auto" w:sz="4" w:space="0"/>
            </w:tcBorders>
            <w:vAlign w:val="center"/>
          </w:tcPr>
          <w:p w14:paraId="09E6408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4" w:type="pct"/>
            <w:tcBorders>
              <w:top w:val="single" w:color="auto" w:sz="4" w:space="0"/>
              <w:bottom w:val="single" w:color="auto" w:sz="4" w:space="0"/>
              <w:right w:val="single" w:color="auto" w:sz="12" w:space="0"/>
            </w:tcBorders>
            <w:vAlign w:val="center"/>
          </w:tcPr>
          <w:p w14:paraId="52D43CF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EA209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9"/>
            <w:tcBorders>
              <w:left w:val="single" w:color="auto" w:sz="12" w:space="0"/>
              <w:bottom w:val="single" w:color="auto" w:sz="12" w:space="0"/>
              <w:right w:val="single" w:color="auto" w:sz="12" w:space="0"/>
            </w:tcBorders>
            <w:vAlign w:val="center"/>
          </w:tcPr>
          <w:p w14:paraId="10BE2261">
            <w:pPr>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注：ND=未检出</w:t>
            </w:r>
          </w:p>
        </w:tc>
      </w:tr>
    </w:tbl>
    <w:p w14:paraId="4CA8FC7D">
      <w:pPr>
        <w:rPr>
          <w:rFonts w:hint="default" w:ascii="Times New Roman" w:hAnsi="Times New Roman" w:eastAsia="宋体" w:cs="Times New Roman"/>
          <w:color w:val="auto"/>
          <w:sz w:val="21"/>
          <w:szCs w:val="21"/>
          <w:highlight w:val="none"/>
          <w:u w:val="none" w:color="auto"/>
        </w:rPr>
        <w:sectPr>
          <w:pgSz w:w="16838" w:h="11906" w:orient="landscape"/>
          <w:pgMar w:top="1440" w:right="1502" w:bottom="1440" w:left="1502" w:header="851" w:footer="680" w:gutter="0"/>
          <w:pgBorders>
            <w:top w:val="none" w:sz="0" w:space="0"/>
            <w:left w:val="none" w:sz="0" w:space="0"/>
            <w:bottom w:val="none" w:sz="0" w:space="0"/>
            <w:right w:val="none" w:sz="0" w:space="0"/>
          </w:pgBorders>
          <w:cols w:space="0" w:num="1"/>
          <w:docGrid w:type="lines" w:linePitch="326" w:charSpace="0"/>
        </w:sectPr>
      </w:pPr>
    </w:p>
    <w:p w14:paraId="4144C5B9">
      <w:pPr>
        <w:pStyle w:val="13"/>
        <w:jc w:val="center"/>
        <w:rPr>
          <w:rFonts w:hint="default" w:ascii="Times New Roman" w:hAnsi="Times New Roman" w:eastAsia="宋体" w:cs="Times New Roman"/>
          <w:b/>
          <w:bCs/>
          <w:i w:val="0"/>
          <w:iCs w:val="0"/>
          <w:color w:val="auto"/>
          <w:sz w:val="21"/>
          <w:szCs w:val="21"/>
          <w:highlight w:val="none"/>
          <w:u w:val="none" w:color="auto"/>
          <w:lang w:val="en-US" w:eastAsia="zh-CN"/>
        </w:rPr>
      </w:pPr>
      <w:r>
        <w:rPr>
          <w:rFonts w:hint="default" w:ascii="Times New Roman" w:hAnsi="Times New Roman" w:eastAsia="宋体" w:cs="Times New Roman"/>
          <w:b/>
          <w:bCs/>
          <w:i w:val="0"/>
          <w:iCs w:val="0"/>
          <w:color w:val="auto"/>
          <w:sz w:val="21"/>
          <w:szCs w:val="21"/>
          <w:highlight w:val="none"/>
          <w:u w:val="none" w:color="auto"/>
          <w:lang w:val="en-US" w:eastAsia="zh-CN"/>
        </w:rPr>
        <w:t>表6.2-2（6）  地表水监测与评价结果一览表（W6湘江栗山港汇入口上游200m处）</w:t>
      </w: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882"/>
        <w:gridCol w:w="1063"/>
        <w:gridCol w:w="1063"/>
        <w:gridCol w:w="1063"/>
        <w:gridCol w:w="1063"/>
        <w:gridCol w:w="1063"/>
        <w:gridCol w:w="1063"/>
        <w:gridCol w:w="1063"/>
        <w:gridCol w:w="1063"/>
        <w:gridCol w:w="1027"/>
        <w:gridCol w:w="794"/>
        <w:gridCol w:w="848"/>
        <w:gridCol w:w="748"/>
      </w:tblGrid>
      <w:tr w14:paraId="3C2FC6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445" w:type="pct"/>
            <w:vMerge w:val="restart"/>
            <w:tcBorders>
              <w:top w:val="single" w:color="auto" w:sz="12" w:space="0"/>
              <w:left w:val="single" w:color="auto" w:sz="12" w:space="0"/>
            </w:tcBorders>
            <w:vAlign w:val="center"/>
          </w:tcPr>
          <w:p w14:paraId="132C398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监测项目</w:t>
            </w:r>
          </w:p>
        </w:tc>
        <w:tc>
          <w:tcPr>
            <w:tcW w:w="315" w:type="pct"/>
            <w:vMerge w:val="restart"/>
            <w:tcBorders>
              <w:top w:val="single" w:color="auto" w:sz="12" w:space="0"/>
              <w:left w:val="single" w:color="auto" w:sz="4" w:space="0"/>
            </w:tcBorders>
            <w:vAlign w:val="center"/>
          </w:tcPr>
          <w:p w14:paraId="2703197B">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单位</w:t>
            </w:r>
          </w:p>
        </w:tc>
        <w:tc>
          <w:tcPr>
            <w:tcW w:w="3393" w:type="pct"/>
            <w:gridSpan w:val="9"/>
            <w:tcBorders>
              <w:top w:val="single" w:color="auto" w:sz="12" w:space="0"/>
              <w:right w:val="single" w:color="auto" w:sz="4" w:space="0"/>
            </w:tcBorders>
            <w:vAlign w:val="center"/>
          </w:tcPr>
          <w:p w14:paraId="0A491ECF">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监测时间及监测结果</w:t>
            </w:r>
          </w:p>
        </w:tc>
        <w:tc>
          <w:tcPr>
            <w:tcW w:w="280" w:type="pct"/>
            <w:vMerge w:val="restart"/>
            <w:tcBorders>
              <w:top w:val="single" w:color="auto" w:sz="12" w:space="0"/>
              <w:right w:val="single" w:color="auto" w:sz="4" w:space="0"/>
            </w:tcBorders>
            <w:vAlign w:val="center"/>
          </w:tcPr>
          <w:p w14:paraId="0747562F">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执行标准</w:t>
            </w:r>
          </w:p>
        </w:tc>
        <w:tc>
          <w:tcPr>
            <w:tcW w:w="299" w:type="pct"/>
            <w:vMerge w:val="restart"/>
            <w:tcBorders>
              <w:top w:val="single" w:color="auto" w:sz="12" w:space="0"/>
              <w:right w:val="single" w:color="auto" w:sz="4" w:space="0"/>
            </w:tcBorders>
            <w:vAlign w:val="center"/>
          </w:tcPr>
          <w:p w14:paraId="59FB435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超标率（%）</w:t>
            </w:r>
          </w:p>
        </w:tc>
        <w:tc>
          <w:tcPr>
            <w:tcW w:w="267" w:type="pct"/>
            <w:vMerge w:val="restart"/>
            <w:tcBorders>
              <w:top w:val="single" w:color="auto" w:sz="12" w:space="0"/>
              <w:right w:val="single" w:color="auto" w:sz="12" w:space="0"/>
            </w:tcBorders>
            <w:vAlign w:val="center"/>
          </w:tcPr>
          <w:p w14:paraId="278779D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最大超标倍数</w:t>
            </w:r>
          </w:p>
        </w:tc>
      </w:tr>
      <w:tr w14:paraId="560FE8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445" w:type="pct"/>
            <w:vMerge w:val="continue"/>
            <w:tcBorders>
              <w:left w:val="single" w:color="auto" w:sz="12" w:space="0"/>
            </w:tcBorders>
            <w:vAlign w:val="center"/>
          </w:tcPr>
          <w:p w14:paraId="2AFEE1E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15" w:type="pct"/>
            <w:vMerge w:val="continue"/>
            <w:tcBorders>
              <w:left w:val="single" w:color="auto" w:sz="4" w:space="0"/>
            </w:tcBorders>
            <w:vAlign w:val="center"/>
          </w:tcPr>
          <w:p w14:paraId="37A7C97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1137" w:type="pct"/>
            <w:gridSpan w:val="3"/>
            <w:tcBorders>
              <w:top w:val="single" w:color="auto" w:sz="4" w:space="0"/>
            </w:tcBorders>
            <w:vAlign w:val="center"/>
          </w:tcPr>
          <w:p w14:paraId="562E1341">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2021年7月7日</w:t>
            </w:r>
          </w:p>
        </w:tc>
        <w:tc>
          <w:tcPr>
            <w:tcW w:w="1137" w:type="pct"/>
            <w:gridSpan w:val="3"/>
            <w:tcBorders>
              <w:top w:val="single" w:color="auto" w:sz="4" w:space="0"/>
              <w:right w:val="single" w:color="auto" w:sz="4" w:space="0"/>
            </w:tcBorders>
            <w:vAlign w:val="center"/>
          </w:tcPr>
          <w:p w14:paraId="1FC4F46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2021年7月8日</w:t>
            </w:r>
          </w:p>
        </w:tc>
        <w:tc>
          <w:tcPr>
            <w:tcW w:w="1120" w:type="pct"/>
            <w:gridSpan w:val="3"/>
            <w:tcBorders>
              <w:top w:val="single" w:color="auto" w:sz="4" w:space="0"/>
              <w:right w:val="single" w:color="auto" w:sz="4" w:space="0"/>
            </w:tcBorders>
            <w:vAlign w:val="center"/>
          </w:tcPr>
          <w:p w14:paraId="12776CB7">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2021年7月9日</w:t>
            </w:r>
          </w:p>
        </w:tc>
        <w:tc>
          <w:tcPr>
            <w:tcW w:w="280" w:type="pct"/>
            <w:vMerge w:val="continue"/>
            <w:tcBorders>
              <w:right w:val="single" w:color="auto" w:sz="4" w:space="0"/>
            </w:tcBorders>
            <w:vAlign w:val="center"/>
          </w:tcPr>
          <w:p w14:paraId="6C5D086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99" w:type="pct"/>
            <w:vMerge w:val="continue"/>
            <w:tcBorders>
              <w:right w:val="single" w:color="auto" w:sz="4" w:space="0"/>
            </w:tcBorders>
            <w:vAlign w:val="center"/>
          </w:tcPr>
          <w:p w14:paraId="115E8C26">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67" w:type="pct"/>
            <w:vMerge w:val="continue"/>
            <w:tcBorders>
              <w:right w:val="single" w:color="auto" w:sz="12" w:space="0"/>
            </w:tcBorders>
            <w:vAlign w:val="center"/>
          </w:tcPr>
          <w:p w14:paraId="26AED670">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3CAA9D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445" w:type="pct"/>
            <w:vMerge w:val="continue"/>
            <w:tcBorders>
              <w:left w:val="single" w:color="auto" w:sz="12" w:space="0"/>
            </w:tcBorders>
            <w:vAlign w:val="center"/>
          </w:tcPr>
          <w:p w14:paraId="4293627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15" w:type="pct"/>
            <w:vMerge w:val="continue"/>
            <w:tcBorders>
              <w:left w:val="single" w:color="auto" w:sz="4" w:space="0"/>
            </w:tcBorders>
            <w:vAlign w:val="center"/>
          </w:tcPr>
          <w:p w14:paraId="579B4591">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79" w:type="pct"/>
            <w:tcBorders>
              <w:top w:val="single" w:color="auto" w:sz="4" w:space="0"/>
            </w:tcBorders>
            <w:vAlign w:val="center"/>
          </w:tcPr>
          <w:p w14:paraId="4100189B">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左</w:t>
            </w:r>
          </w:p>
        </w:tc>
        <w:tc>
          <w:tcPr>
            <w:tcW w:w="379" w:type="pct"/>
            <w:tcBorders>
              <w:top w:val="single" w:color="auto" w:sz="4" w:space="0"/>
            </w:tcBorders>
            <w:vAlign w:val="center"/>
          </w:tcPr>
          <w:p w14:paraId="5F19654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中</w:t>
            </w:r>
          </w:p>
        </w:tc>
        <w:tc>
          <w:tcPr>
            <w:tcW w:w="379" w:type="pct"/>
            <w:tcBorders>
              <w:top w:val="single" w:color="auto" w:sz="4" w:space="0"/>
            </w:tcBorders>
            <w:vAlign w:val="center"/>
          </w:tcPr>
          <w:p w14:paraId="3103CC06">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右</w:t>
            </w:r>
          </w:p>
        </w:tc>
        <w:tc>
          <w:tcPr>
            <w:tcW w:w="379" w:type="pct"/>
            <w:tcBorders>
              <w:top w:val="single" w:color="auto" w:sz="4" w:space="0"/>
              <w:right w:val="single" w:color="auto" w:sz="4" w:space="0"/>
            </w:tcBorders>
            <w:vAlign w:val="center"/>
          </w:tcPr>
          <w:p w14:paraId="5F3EFF7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左</w:t>
            </w:r>
          </w:p>
        </w:tc>
        <w:tc>
          <w:tcPr>
            <w:tcW w:w="379" w:type="pct"/>
            <w:tcBorders>
              <w:top w:val="single" w:color="auto" w:sz="4" w:space="0"/>
              <w:right w:val="single" w:color="auto" w:sz="4" w:space="0"/>
            </w:tcBorders>
            <w:vAlign w:val="center"/>
          </w:tcPr>
          <w:p w14:paraId="3A4765E1">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中</w:t>
            </w:r>
          </w:p>
        </w:tc>
        <w:tc>
          <w:tcPr>
            <w:tcW w:w="379" w:type="pct"/>
            <w:tcBorders>
              <w:top w:val="single" w:color="auto" w:sz="4" w:space="0"/>
              <w:right w:val="single" w:color="auto" w:sz="4" w:space="0"/>
            </w:tcBorders>
            <w:vAlign w:val="center"/>
          </w:tcPr>
          <w:p w14:paraId="2F49D74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右</w:t>
            </w:r>
          </w:p>
        </w:tc>
        <w:tc>
          <w:tcPr>
            <w:tcW w:w="379" w:type="pct"/>
            <w:tcBorders>
              <w:top w:val="single" w:color="auto" w:sz="4" w:space="0"/>
              <w:right w:val="single" w:color="auto" w:sz="4" w:space="0"/>
            </w:tcBorders>
            <w:vAlign w:val="center"/>
          </w:tcPr>
          <w:p w14:paraId="2056118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左</w:t>
            </w:r>
          </w:p>
        </w:tc>
        <w:tc>
          <w:tcPr>
            <w:tcW w:w="379" w:type="pct"/>
            <w:tcBorders>
              <w:top w:val="single" w:color="auto" w:sz="4" w:space="0"/>
              <w:right w:val="single" w:color="auto" w:sz="4" w:space="0"/>
            </w:tcBorders>
            <w:vAlign w:val="center"/>
          </w:tcPr>
          <w:p w14:paraId="5D2F2E6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中</w:t>
            </w:r>
          </w:p>
        </w:tc>
        <w:tc>
          <w:tcPr>
            <w:tcW w:w="362" w:type="pct"/>
            <w:tcBorders>
              <w:top w:val="single" w:color="auto" w:sz="4" w:space="0"/>
              <w:right w:val="single" w:color="auto" w:sz="4" w:space="0"/>
            </w:tcBorders>
            <w:vAlign w:val="center"/>
          </w:tcPr>
          <w:p w14:paraId="20A6788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右</w:t>
            </w:r>
          </w:p>
        </w:tc>
        <w:tc>
          <w:tcPr>
            <w:tcW w:w="280" w:type="pct"/>
            <w:vMerge w:val="continue"/>
            <w:tcBorders>
              <w:right w:val="single" w:color="auto" w:sz="4" w:space="0"/>
            </w:tcBorders>
            <w:vAlign w:val="center"/>
          </w:tcPr>
          <w:p w14:paraId="1736096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99" w:type="pct"/>
            <w:vMerge w:val="continue"/>
            <w:tcBorders>
              <w:right w:val="single" w:color="auto" w:sz="4" w:space="0"/>
            </w:tcBorders>
            <w:vAlign w:val="center"/>
          </w:tcPr>
          <w:p w14:paraId="69AD87F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67" w:type="pct"/>
            <w:vMerge w:val="continue"/>
            <w:tcBorders>
              <w:right w:val="single" w:color="auto" w:sz="12" w:space="0"/>
            </w:tcBorders>
            <w:vAlign w:val="center"/>
          </w:tcPr>
          <w:p w14:paraId="1AD8C26C">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45247B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tcBorders>
            <w:vAlign w:val="center"/>
          </w:tcPr>
          <w:p w14:paraId="42F7BC8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pH</w:t>
            </w:r>
          </w:p>
        </w:tc>
        <w:tc>
          <w:tcPr>
            <w:tcW w:w="315" w:type="pct"/>
            <w:tcBorders>
              <w:left w:val="single" w:color="auto" w:sz="4" w:space="0"/>
            </w:tcBorders>
            <w:vAlign w:val="center"/>
          </w:tcPr>
          <w:p w14:paraId="37496BD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无量纲</w:t>
            </w:r>
          </w:p>
        </w:tc>
        <w:tc>
          <w:tcPr>
            <w:tcW w:w="379" w:type="pct"/>
            <w:vAlign w:val="center"/>
          </w:tcPr>
          <w:p w14:paraId="37F4199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8.42</w:t>
            </w:r>
          </w:p>
        </w:tc>
        <w:tc>
          <w:tcPr>
            <w:tcW w:w="379" w:type="pct"/>
            <w:vAlign w:val="center"/>
          </w:tcPr>
          <w:p w14:paraId="122A92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8.21</w:t>
            </w:r>
          </w:p>
        </w:tc>
        <w:tc>
          <w:tcPr>
            <w:tcW w:w="379" w:type="pct"/>
            <w:vAlign w:val="center"/>
          </w:tcPr>
          <w:p w14:paraId="797873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8.12</w:t>
            </w:r>
          </w:p>
        </w:tc>
        <w:tc>
          <w:tcPr>
            <w:tcW w:w="379" w:type="pct"/>
            <w:tcBorders>
              <w:right w:val="single" w:color="auto" w:sz="4" w:space="0"/>
            </w:tcBorders>
            <w:vAlign w:val="center"/>
          </w:tcPr>
          <w:p w14:paraId="074CDF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8.06</w:t>
            </w:r>
          </w:p>
        </w:tc>
        <w:tc>
          <w:tcPr>
            <w:tcW w:w="379" w:type="pct"/>
            <w:tcBorders>
              <w:right w:val="single" w:color="auto" w:sz="4" w:space="0"/>
            </w:tcBorders>
            <w:vAlign w:val="center"/>
          </w:tcPr>
          <w:p w14:paraId="6C589D6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8.02</w:t>
            </w:r>
          </w:p>
        </w:tc>
        <w:tc>
          <w:tcPr>
            <w:tcW w:w="379" w:type="pct"/>
            <w:tcBorders>
              <w:right w:val="single" w:color="auto" w:sz="4" w:space="0"/>
            </w:tcBorders>
            <w:vAlign w:val="center"/>
          </w:tcPr>
          <w:p w14:paraId="3CE5BB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8.01</w:t>
            </w:r>
          </w:p>
        </w:tc>
        <w:tc>
          <w:tcPr>
            <w:tcW w:w="379" w:type="pct"/>
            <w:tcBorders>
              <w:right w:val="single" w:color="auto" w:sz="4" w:space="0"/>
            </w:tcBorders>
            <w:vAlign w:val="center"/>
          </w:tcPr>
          <w:p w14:paraId="5B552C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8.05</w:t>
            </w:r>
          </w:p>
        </w:tc>
        <w:tc>
          <w:tcPr>
            <w:tcW w:w="379" w:type="pct"/>
            <w:tcBorders>
              <w:right w:val="single" w:color="auto" w:sz="4" w:space="0"/>
            </w:tcBorders>
            <w:vAlign w:val="center"/>
          </w:tcPr>
          <w:p w14:paraId="4AACB4B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8.03</w:t>
            </w:r>
          </w:p>
        </w:tc>
        <w:tc>
          <w:tcPr>
            <w:tcW w:w="362" w:type="pct"/>
            <w:tcBorders>
              <w:right w:val="single" w:color="auto" w:sz="4" w:space="0"/>
            </w:tcBorders>
            <w:vAlign w:val="center"/>
          </w:tcPr>
          <w:p w14:paraId="1246753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8.06</w:t>
            </w:r>
          </w:p>
        </w:tc>
        <w:tc>
          <w:tcPr>
            <w:tcW w:w="280" w:type="pct"/>
            <w:tcBorders>
              <w:right w:val="single" w:color="auto" w:sz="4" w:space="0"/>
            </w:tcBorders>
            <w:vAlign w:val="center"/>
          </w:tcPr>
          <w:p w14:paraId="487755A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299" w:type="pct"/>
            <w:tcBorders>
              <w:right w:val="single" w:color="auto" w:sz="4" w:space="0"/>
            </w:tcBorders>
            <w:vAlign w:val="center"/>
          </w:tcPr>
          <w:p w14:paraId="47EE9A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5E90781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5E8FC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tcBorders>
            <w:vAlign w:val="center"/>
          </w:tcPr>
          <w:p w14:paraId="6DF1A13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溶解氧</w:t>
            </w:r>
          </w:p>
        </w:tc>
        <w:tc>
          <w:tcPr>
            <w:tcW w:w="315" w:type="pct"/>
            <w:tcBorders>
              <w:left w:val="single" w:color="auto" w:sz="4" w:space="0"/>
            </w:tcBorders>
            <w:vAlign w:val="center"/>
          </w:tcPr>
          <w:p w14:paraId="320A2A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67BA3D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379" w:type="pct"/>
            <w:vAlign w:val="center"/>
          </w:tcPr>
          <w:p w14:paraId="7AF13E0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5.6</w:t>
            </w:r>
          </w:p>
        </w:tc>
        <w:tc>
          <w:tcPr>
            <w:tcW w:w="379" w:type="pct"/>
            <w:vAlign w:val="center"/>
          </w:tcPr>
          <w:p w14:paraId="61F98EF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379" w:type="pct"/>
            <w:tcBorders>
              <w:right w:val="single" w:color="auto" w:sz="4" w:space="0"/>
            </w:tcBorders>
            <w:vAlign w:val="center"/>
          </w:tcPr>
          <w:p w14:paraId="139B185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6.6</w:t>
            </w:r>
          </w:p>
        </w:tc>
        <w:tc>
          <w:tcPr>
            <w:tcW w:w="379" w:type="pct"/>
            <w:tcBorders>
              <w:right w:val="single" w:color="auto" w:sz="4" w:space="0"/>
            </w:tcBorders>
            <w:vAlign w:val="center"/>
          </w:tcPr>
          <w:p w14:paraId="01C3EF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6.1</w:t>
            </w:r>
          </w:p>
        </w:tc>
        <w:tc>
          <w:tcPr>
            <w:tcW w:w="379" w:type="pct"/>
            <w:tcBorders>
              <w:right w:val="single" w:color="auto" w:sz="4" w:space="0"/>
            </w:tcBorders>
            <w:vAlign w:val="center"/>
          </w:tcPr>
          <w:p w14:paraId="31600F8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5.8</w:t>
            </w:r>
          </w:p>
        </w:tc>
        <w:tc>
          <w:tcPr>
            <w:tcW w:w="379" w:type="pct"/>
            <w:tcBorders>
              <w:right w:val="single" w:color="auto" w:sz="4" w:space="0"/>
            </w:tcBorders>
            <w:vAlign w:val="center"/>
          </w:tcPr>
          <w:p w14:paraId="535DD60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7.1</w:t>
            </w:r>
          </w:p>
        </w:tc>
        <w:tc>
          <w:tcPr>
            <w:tcW w:w="379" w:type="pct"/>
            <w:tcBorders>
              <w:right w:val="single" w:color="auto" w:sz="4" w:space="0"/>
            </w:tcBorders>
            <w:vAlign w:val="center"/>
          </w:tcPr>
          <w:p w14:paraId="7F4D3A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6.4</w:t>
            </w:r>
          </w:p>
        </w:tc>
        <w:tc>
          <w:tcPr>
            <w:tcW w:w="362" w:type="pct"/>
            <w:tcBorders>
              <w:right w:val="single" w:color="auto" w:sz="4" w:space="0"/>
            </w:tcBorders>
            <w:vAlign w:val="center"/>
          </w:tcPr>
          <w:p w14:paraId="72C76D1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6.0</w:t>
            </w:r>
          </w:p>
        </w:tc>
        <w:tc>
          <w:tcPr>
            <w:tcW w:w="280" w:type="pct"/>
            <w:tcBorders>
              <w:right w:val="single" w:color="auto" w:sz="4" w:space="0"/>
            </w:tcBorders>
            <w:vAlign w:val="center"/>
          </w:tcPr>
          <w:p w14:paraId="6A08FC1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299" w:type="pct"/>
            <w:tcBorders>
              <w:right w:val="single" w:color="auto" w:sz="4" w:space="0"/>
            </w:tcBorders>
            <w:vAlign w:val="center"/>
          </w:tcPr>
          <w:p w14:paraId="3E83094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1646D88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9FD90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bottom w:val="single" w:color="000000" w:sz="4" w:space="0"/>
            </w:tcBorders>
            <w:vAlign w:val="center"/>
          </w:tcPr>
          <w:p w14:paraId="584A85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315" w:type="pct"/>
            <w:tcBorders>
              <w:left w:val="single" w:color="auto" w:sz="4" w:space="0"/>
              <w:bottom w:val="single" w:color="000000" w:sz="4" w:space="0"/>
            </w:tcBorders>
            <w:vAlign w:val="center"/>
          </w:tcPr>
          <w:p w14:paraId="1E7FFD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7DB4044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79" w:type="pct"/>
            <w:vAlign w:val="center"/>
          </w:tcPr>
          <w:p w14:paraId="5DC381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379" w:type="pct"/>
            <w:vAlign w:val="center"/>
          </w:tcPr>
          <w:p w14:paraId="3C4DBE9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379" w:type="pct"/>
            <w:tcBorders>
              <w:right w:val="single" w:color="auto" w:sz="4" w:space="0"/>
            </w:tcBorders>
            <w:vAlign w:val="center"/>
          </w:tcPr>
          <w:p w14:paraId="4C80E21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379" w:type="pct"/>
            <w:tcBorders>
              <w:right w:val="single" w:color="auto" w:sz="4" w:space="0"/>
            </w:tcBorders>
            <w:vAlign w:val="center"/>
          </w:tcPr>
          <w:p w14:paraId="4C8A93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379" w:type="pct"/>
            <w:tcBorders>
              <w:right w:val="single" w:color="auto" w:sz="4" w:space="0"/>
            </w:tcBorders>
            <w:vAlign w:val="center"/>
          </w:tcPr>
          <w:p w14:paraId="18FCEC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379" w:type="pct"/>
            <w:tcBorders>
              <w:right w:val="single" w:color="auto" w:sz="4" w:space="0"/>
            </w:tcBorders>
            <w:vAlign w:val="center"/>
          </w:tcPr>
          <w:p w14:paraId="636212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w:t>
            </w:r>
          </w:p>
        </w:tc>
        <w:tc>
          <w:tcPr>
            <w:tcW w:w="379" w:type="pct"/>
            <w:tcBorders>
              <w:right w:val="single" w:color="auto" w:sz="4" w:space="0"/>
            </w:tcBorders>
            <w:vAlign w:val="center"/>
          </w:tcPr>
          <w:p w14:paraId="0817AF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362" w:type="pct"/>
            <w:tcBorders>
              <w:right w:val="single" w:color="auto" w:sz="4" w:space="0"/>
            </w:tcBorders>
            <w:vAlign w:val="center"/>
          </w:tcPr>
          <w:p w14:paraId="33A353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280" w:type="pct"/>
            <w:tcBorders>
              <w:right w:val="single" w:color="auto" w:sz="4" w:space="0"/>
            </w:tcBorders>
            <w:vAlign w:val="center"/>
          </w:tcPr>
          <w:p w14:paraId="649F311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299" w:type="pct"/>
            <w:tcBorders>
              <w:right w:val="single" w:color="auto" w:sz="4" w:space="0"/>
            </w:tcBorders>
            <w:vAlign w:val="center"/>
          </w:tcPr>
          <w:p w14:paraId="4FDF75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7221E43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C404C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000000" w:sz="4" w:space="0"/>
              <w:left w:val="single" w:color="auto" w:sz="12" w:space="0"/>
            </w:tcBorders>
            <w:vAlign w:val="center"/>
          </w:tcPr>
          <w:p w14:paraId="5523D81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五日生化需氧量</w:t>
            </w:r>
          </w:p>
        </w:tc>
        <w:tc>
          <w:tcPr>
            <w:tcW w:w="315" w:type="pct"/>
            <w:tcBorders>
              <w:top w:val="single" w:color="000000" w:sz="4" w:space="0"/>
              <w:left w:val="single" w:color="auto" w:sz="4" w:space="0"/>
            </w:tcBorders>
            <w:vAlign w:val="center"/>
          </w:tcPr>
          <w:p w14:paraId="6AD453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1A5997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0.6</w:t>
            </w:r>
          </w:p>
        </w:tc>
        <w:tc>
          <w:tcPr>
            <w:tcW w:w="379" w:type="pct"/>
            <w:vAlign w:val="center"/>
          </w:tcPr>
          <w:p w14:paraId="46DBE68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0.5L</w:t>
            </w:r>
          </w:p>
        </w:tc>
        <w:tc>
          <w:tcPr>
            <w:tcW w:w="379" w:type="pct"/>
            <w:vAlign w:val="center"/>
          </w:tcPr>
          <w:p w14:paraId="4A6F5A3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w:t>
            </w:r>
          </w:p>
        </w:tc>
        <w:tc>
          <w:tcPr>
            <w:tcW w:w="379" w:type="pct"/>
            <w:tcBorders>
              <w:right w:val="single" w:color="auto" w:sz="4" w:space="0"/>
            </w:tcBorders>
            <w:vAlign w:val="center"/>
          </w:tcPr>
          <w:p w14:paraId="1C62549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w:t>
            </w:r>
          </w:p>
        </w:tc>
        <w:tc>
          <w:tcPr>
            <w:tcW w:w="379" w:type="pct"/>
            <w:tcBorders>
              <w:right w:val="single" w:color="auto" w:sz="4" w:space="0"/>
            </w:tcBorders>
            <w:vAlign w:val="center"/>
          </w:tcPr>
          <w:p w14:paraId="45162E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0.6</w:t>
            </w:r>
          </w:p>
        </w:tc>
        <w:tc>
          <w:tcPr>
            <w:tcW w:w="379" w:type="pct"/>
            <w:tcBorders>
              <w:right w:val="single" w:color="auto" w:sz="4" w:space="0"/>
            </w:tcBorders>
            <w:vAlign w:val="center"/>
          </w:tcPr>
          <w:p w14:paraId="2807146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0.5L</w:t>
            </w:r>
          </w:p>
        </w:tc>
        <w:tc>
          <w:tcPr>
            <w:tcW w:w="379" w:type="pct"/>
            <w:tcBorders>
              <w:right w:val="single" w:color="auto" w:sz="4" w:space="0"/>
            </w:tcBorders>
            <w:vAlign w:val="center"/>
          </w:tcPr>
          <w:p w14:paraId="636E04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w:t>
            </w:r>
          </w:p>
        </w:tc>
        <w:tc>
          <w:tcPr>
            <w:tcW w:w="379" w:type="pct"/>
            <w:tcBorders>
              <w:right w:val="single" w:color="auto" w:sz="4" w:space="0"/>
            </w:tcBorders>
            <w:vAlign w:val="center"/>
          </w:tcPr>
          <w:p w14:paraId="4DD5190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0.6</w:t>
            </w:r>
          </w:p>
        </w:tc>
        <w:tc>
          <w:tcPr>
            <w:tcW w:w="362" w:type="pct"/>
            <w:tcBorders>
              <w:right w:val="single" w:color="auto" w:sz="4" w:space="0"/>
            </w:tcBorders>
            <w:vAlign w:val="center"/>
          </w:tcPr>
          <w:p w14:paraId="3B4DE9A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0.9</w:t>
            </w:r>
          </w:p>
        </w:tc>
        <w:tc>
          <w:tcPr>
            <w:tcW w:w="280" w:type="pct"/>
            <w:tcBorders>
              <w:right w:val="single" w:color="auto" w:sz="4" w:space="0"/>
            </w:tcBorders>
            <w:vAlign w:val="center"/>
          </w:tcPr>
          <w:p w14:paraId="069FF4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299" w:type="pct"/>
            <w:tcBorders>
              <w:right w:val="single" w:color="auto" w:sz="4" w:space="0"/>
            </w:tcBorders>
            <w:vAlign w:val="center"/>
          </w:tcPr>
          <w:p w14:paraId="3E461B3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0F034EA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1AC59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tcBorders>
            <w:vAlign w:val="center"/>
          </w:tcPr>
          <w:p w14:paraId="657440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总磷</w:t>
            </w:r>
          </w:p>
        </w:tc>
        <w:tc>
          <w:tcPr>
            <w:tcW w:w="315" w:type="pct"/>
            <w:tcBorders>
              <w:left w:val="single" w:color="auto" w:sz="4" w:space="0"/>
            </w:tcBorders>
            <w:vAlign w:val="center"/>
          </w:tcPr>
          <w:p w14:paraId="436ABC7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3784259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79" w:type="pct"/>
            <w:vAlign w:val="center"/>
          </w:tcPr>
          <w:p w14:paraId="561F42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w:t>
            </w:r>
          </w:p>
        </w:tc>
        <w:tc>
          <w:tcPr>
            <w:tcW w:w="379" w:type="pct"/>
            <w:vAlign w:val="center"/>
          </w:tcPr>
          <w:p w14:paraId="209C28E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w:t>
            </w:r>
          </w:p>
        </w:tc>
        <w:tc>
          <w:tcPr>
            <w:tcW w:w="379" w:type="pct"/>
            <w:tcBorders>
              <w:right w:val="single" w:color="auto" w:sz="4" w:space="0"/>
            </w:tcBorders>
            <w:vAlign w:val="center"/>
          </w:tcPr>
          <w:p w14:paraId="5D4CAA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w:t>
            </w:r>
          </w:p>
        </w:tc>
        <w:tc>
          <w:tcPr>
            <w:tcW w:w="379" w:type="pct"/>
            <w:tcBorders>
              <w:right w:val="single" w:color="auto" w:sz="4" w:space="0"/>
            </w:tcBorders>
            <w:vAlign w:val="center"/>
          </w:tcPr>
          <w:p w14:paraId="30DEA69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w:t>
            </w:r>
          </w:p>
        </w:tc>
        <w:tc>
          <w:tcPr>
            <w:tcW w:w="379" w:type="pct"/>
            <w:tcBorders>
              <w:right w:val="single" w:color="auto" w:sz="4" w:space="0"/>
            </w:tcBorders>
            <w:vAlign w:val="center"/>
          </w:tcPr>
          <w:p w14:paraId="5821FE0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w:t>
            </w:r>
          </w:p>
        </w:tc>
        <w:tc>
          <w:tcPr>
            <w:tcW w:w="379" w:type="pct"/>
            <w:tcBorders>
              <w:right w:val="single" w:color="auto" w:sz="4" w:space="0"/>
            </w:tcBorders>
            <w:vAlign w:val="center"/>
          </w:tcPr>
          <w:p w14:paraId="6DBA86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79" w:type="pct"/>
            <w:tcBorders>
              <w:right w:val="single" w:color="auto" w:sz="4" w:space="0"/>
            </w:tcBorders>
            <w:vAlign w:val="center"/>
          </w:tcPr>
          <w:p w14:paraId="34CEAE0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w:t>
            </w:r>
          </w:p>
        </w:tc>
        <w:tc>
          <w:tcPr>
            <w:tcW w:w="362" w:type="pct"/>
            <w:tcBorders>
              <w:right w:val="single" w:color="auto" w:sz="4" w:space="0"/>
            </w:tcBorders>
            <w:vAlign w:val="center"/>
          </w:tcPr>
          <w:p w14:paraId="1B37C4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280" w:type="pct"/>
            <w:tcBorders>
              <w:right w:val="single" w:color="auto" w:sz="4" w:space="0"/>
            </w:tcBorders>
            <w:vAlign w:val="center"/>
          </w:tcPr>
          <w:p w14:paraId="0A46BA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299" w:type="pct"/>
            <w:tcBorders>
              <w:right w:val="single" w:color="auto" w:sz="4" w:space="0"/>
            </w:tcBorders>
            <w:vAlign w:val="center"/>
          </w:tcPr>
          <w:p w14:paraId="76CF0E4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03831FE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1FB87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tcBorders>
            <w:vAlign w:val="center"/>
          </w:tcPr>
          <w:p w14:paraId="02BAB8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315" w:type="pct"/>
            <w:tcBorders>
              <w:left w:val="single" w:color="auto" w:sz="4" w:space="0"/>
              <w:bottom w:val="single" w:color="auto" w:sz="4" w:space="0"/>
            </w:tcBorders>
            <w:vAlign w:val="center"/>
          </w:tcPr>
          <w:p w14:paraId="09EA287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0110829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0.057</w:t>
            </w:r>
          </w:p>
        </w:tc>
        <w:tc>
          <w:tcPr>
            <w:tcW w:w="379" w:type="pct"/>
            <w:vAlign w:val="center"/>
          </w:tcPr>
          <w:p w14:paraId="759656C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0.063</w:t>
            </w:r>
          </w:p>
        </w:tc>
        <w:tc>
          <w:tcPr>
            <w:tcW w:w="379" w:type="pct"/>
            <w:vAlign w:val="center"/>
          </w:tcPr>
          <w:p w14:paraId="4D361A2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0.047</w:t>
            </w:r>
          </w:p>
        </w:tc>
        <w:tc>
          <w:tcPr>
            <w:tcW w:w="379" w:type="pct"/>
            <w:tcBorders>
              <w:right w:val="single" w:color="auto" w:sz="4" w:space="0"/>
            </w:tcBorders>
            <w:vAlign w:val="center"/>
          </w:tcPr>
          <w:p w14:paraId="170F40E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0.042</w:t>
            </w:r>
          </w:p>
        </w:tc>
        <w:tc>
          <w:tcPr>
            <w:tcW w:w="379" w:type="pct"/>
            <w:tcBorders>
              <w:right w:val="single" w:color="auto" w:sz="4" w:space="0"/>
            </w:tcBorders>
            <w:vAlign w:val="center"/>
          </w:tcPr>
          <w:p w14:paraId="4DC8DBC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0.050</w:t>
            </w:r>
          </w:p>
        </w:tc>
        <w:tc>
          <w:tcPr>
            <w:tcW w:w="379" w:type="pct"/>
            <w:tcBorders>
              <w:right w:val="single" w:color="auto" w:sz="4" w:space="0"/>
            </w:tcBorders>
            <w:vAlign w:val="center"/>
          </w:tcPr>
          <w:p w14:paraId="3191646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0.063</w:t>
            </w:r>
          </w:p>
        </w:tc>
        <w:tc>
          <w:tcPr>
            <w:tcW w:w="379" w:type="pct"/>
            <w:tcBorders>
              <w:right w:val="single" w:color="auto" w:sz="4" w:space="0"/>
            </w:tcBorders>
            <w:vAlign w:val="center"/>
          </w:tcPr>
          <w:p w14:paraId="6235F91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0.045</w:t>
            </w:r>
          </w:p>
        </w:tc>
        <w:tc>
          <w:tcPr>
            <w:tcW w:w="379" w:type="pct"/>
            <w:tcBorders>
              <w:right w:val="single" w:color="auto" w:sz="4" w:space="0"/>
            </w:tcBorders>
            <w:vAlign w:val="center"/>
          </w:tcPr>
          <w:p w14:paraId="2D33092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0.052</w:t>
            </w:r>
          </w:p>
        </w:tc>
        <w:tc>
          <w:tcPr>
            <w:tcW w:w="362" w:type="pct"/>
            <w:tcBorders>
              <w:right w:val="single" w:color="auto" w:sz="4" w:space="0"/>
            </w:tcBorders>
            <w:vAlign w:val="center"/>
          </w:tcPr>
          <w:p w14:paraId="31B50D4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0.042</w:t>
            </w:r>
          </w:p>
        </w:tc>
        <w:tc>
          <w:tcPr>
            <w:tcW w:w="280" w:type="pct"/>
            <w:tcBorders>
              <w:right w:val="single" w:color="auto" w:sz="4" w:space="0"/>
            </w:tcBorders>
            <w:vAlign w:val="center"/>
          </w:tcPr>
          <w:p w14:paraId="2A0857E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299" w:type="pct"/>
            <w:tcBorders>
              <w:right w:val="single" w:color="auto" w:sz="4" w:space="0"/>
            </w:tcBorders>
            <w:vAlign w:val="center"/>
          </w:tcPr>
          <w:p w14:paraId="546F28B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02C945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92D01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bottom w:val="single" w:color="000000" w:sz="4" w:space="0"/>
            </w:tcBorders>
            <w:vAlign w:val="center"/>
          </w:tcPr>
          <w:p w14:paraId="321174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w:t>
            </w:r>
          </w:p>
        </w:tc>
        <w:tc>
          <w:tcPr>
            <w:tcW w:w="315" w:type="pct"/>
            <w:tcBorders>
              <w:left w:val="single" w:color="auto" w:sz="4" w:space="0"/>
              <w:bottom w:val="single" w:color="000000" w:sz="4" w:space="0"/>
            </w:tcBorders>
            <w:vAlign w:val="center"/>
          </w:tcPr>
          <w:p w14:paraId="70650D7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tcBorders>
              <w:bottom w:val="single" w:color="auto" w:sz="4" w:space="0"/>
            </w:tcBorders>
            <w:vAlign w:val="center"/>
          </w:tcPr>
          <w:p w14:paraId="64B1DD3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79" w:type="pct"/>
            <w:tcBorders>
              <w:bottom w:val="single" w:color="auto" w:sz="4" w:space="0"/>
            </w:tcBorders>
            <w:vAlign w:val="center"/>
          </w:tcPr>
          <w:p w14:paraId="3210AF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79" w:type="pct"/>
            <w:tcBorders>
              <w:bottom w:val="single" w:color="auto" w:sz="4" w:space="0"/>
            </w:tcBorders>
            <w:vAlign w:val="center"/>
          </w:tcPr>
          <w:p w14:paraId="14CD7E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79" w:type="pct"/>
            <w:tcBorders>
              <w:right w:val="single" w:color="auto" w:sz="4" w:space="0"/>
            </w:tcBorders>
            <w:vAlign w:val="center"/>
          </w:tcPr>
          <w:p w14:paraId="79EC5D0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79" w:type="pct"/>
            <w:tcBorders>
              <w:right w:val="single" w:color="auto" w:sz="4" w:space="0"/>
            </w:tcBorders>
            <w:vAlign w:val="center"/>
          </w:tcPr>
          <w:p w14:paraId="7305214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79" w:type="pct"/>
            <w:tcBorders>
              <w:right w:val="single" w:color="auto" w:sz="4" w:space="0"/>
            </w:tcBorders>
            <w:vAlign w:val="center"/>
          </w:tcPr>
          <w:p w14:paraId="73EF4E5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79" w:type="pct"/>
            <w:tcBorders>
              <w:right w:val="single" w:color="auto" w:sz="4" w:space="0"/>
            </w:tcBorders>
            <w:vAlign w:val="center"/>
          </w:tcPr>
          <w:p w14:paraId="5689086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79" w:type="pct"/>
            <w:tcBorders>
              <w:right w:val="single" w:color="auto" w:sz="4" w:space="0"/>
            </w:tcBorders>
            <w:vAlign w:val="center"/>
          </w:tcPr>
          <w:p w14:paraId="05E3CDE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62" w:type="pct"/>
            <w:tcBorders>
              <w:right w:val="single" w:color="auto" w:sz="4" w:space="0"/>
            </w:tcBorders>
            <w:vAlign w:val="center"/>
          </w:tcPr>
          <w:p w14:paraId="4F2087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280" w:type="pct"/>
            <w:tcBorders>
              <w:right w:val="single" w:color="auto" w:sz="4" w:space="0"/>
            </w:tcBorders>
            <w:vAlign w:val="center"/>
          </w:tcPr>
          <w:p w14:paraId="754D737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299" w:type="pct"/>
            <w:tcBorders>
              <w:right w:val="single" w:color="auto" w:sz="4" w:space="0"/>
            </w:tcBorders>
            <w:vAlign w:val="center"/>
          </w:tcPr>
          <w:p w14:paraId="7EFFF3C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3235721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99168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000000" w:sz="4" w:space="0"/>
              <w:left w:val="single" w:color="auto" w:sz="12" w:space="0"/>
            </w:tcBorders>
            <w:vAlign w:val="center"/>
          </w:tcPr>
          <w:p w14:paraId="77A4EF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硫化物</w:t>
            </w:r>
          </w:p>
        </w:tc>
        <w:tc>
          <w:tcPr>
            <w:tcW w:w="315" w:type="pct"/>
            <w:tcBorders>
              <w:top w:val="single" w:color="000000" w:sz="4" w:space="0"/>
              <w:left w:val="single" w:color="auto" w:sz="4" w:space="0"/>
            </w:tcBorders>
            <w:vAlign w:val="center"/>
          </w:tcPr>
          <w:p w14:paraId="49C996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3D594F0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79" w:type="pct"/>
            <w:vAlign w:val="center"/>
          </w:tcPr>
          <w:p w14:paraId="65CEB59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79" w:type="pct"/>
            <w:vAlign w:val="center"/>
          </w:tcPr>
          <w:p w14:paraId="5480613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79" w:type="pct"/>
            <w:tcBorders>
              <w:right w:val="single" w:color="auto" w:sz="4" w:space="0"/>
            </w:tcBorders>
            <w:vAlign w:val="center"/>
          </w:tcPr>
          <w:p w14:paraId="0F0609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79" w:type="pct"/>
            <w:tcBorders>
              <w:right w:val="single" w:color="auto" w:sz="4" w:space="0"/>
            </w:tcBorders>
            <w:vAlign w:val="center"/>
          </w:tcPr>
          <w:p w14:paraId="2D68AE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79" w:type="pct"/>
            <w:tcBorders>
              <w:right w:val="single" w:color="auto" w:sz="4" w:space="0"/>
            </w:tcBorders>
            <w:vAlign w:val="center"/>
          </w:tcPr>
          <w:p w14:paraId="1552E92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79" w:type="pct"/>
            <w:tcBorders>
              <w:right w:val="single" w:color="auto" w:sz="4" w:space="0"/>
            </w:tcBorders>
            <w:vAlign w:val="center"/>
          </w:tcPr>
          <w:p w14:paraId="588000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79" w:type="pct"/>
            <w:tcBorders>
              <w:right w:val="single" w:color="auto" w:sz="4" w:space="0"/>
            </w:tcBorders>
            <w:vAlign w:val="center"/>
          </w:tcPr>
          <w:p w14:paraId="2986D01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62" w:type="pct"/>
            <w:tcBorders>
              <w:right w:val="single" w:color="auto" w:sz="4" w:space="0"/>
            </w:tcBorders>
            <w:vAlign w:val="center"/>
          </w:tcPr>
          <w:p w14:paraId="0C9B10A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280" w:type="pct"/>
            <w:tcBorders>
              <w:right w:val="single" w:color="auto" w:sz="4" w:space="0"/>
            </w:tcBorders>
            <w:vAlign w:val="center"/>
          </w:tcPr>
          <w:p w14:paraId="217EDEA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299" w:type="pct"/>
            <w:tcBorders>
              <w:right w:val="single" w:color="auto" w:sz="4" w:space="0"/>
            </w:tcBorders>
            <w:vAlign w:val="center"/>
          </w:tcPr>
          <w:p w14:paraId="3B98601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2F65F2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FED7B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tcBorders>
            <w:vAlign w:val="center"/>
          </w:tcPr>
          <w:p w14:paraId="7EC6A10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氟化物</w:t>
            </w:r>
          </w:p>
        </w:tc>
        <w:tc>
          <w:tcPr>
            <w:tcW w:w="315" w:type="pct"/>
            <w:tcBorders>
              <w:left w:val="single" w:color="auto" w:sz="4" w:space="0"/>
            </w:tcBorders>
            <w:vAlign w:val="center"/>
          </w:tcPr>
          <w:p w14:paraId="2436049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1CBC97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0.323</w:t>
            </w:r>
          </w:p>
        </w:tc>
        <w:tc>
          <w:tcPr>
            <w:tcW w:w="379" w:type="pct"/>
            <w:vAlign w:val="center"/>
          </w:tcPr>
          <w:p w14:paraId="32CEE22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0.330</w:t>
            </w:r>
          </w:p>
        </w:tc>
        <w:tc>
          <w:tcPr>
            <w:tcW w:w="379" w:type="pct"/>
            <w:vAlign w:val="center"/>
          </w:tcPr>
          <w:p w14:paraId="02A8CA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0.324</w:t>
            </w:r>
          </w:p>
        </w:tc>
        <w:tc>
          <w:tcPr>
            <w:tcW w:w="379" w:type="pct"/>
            <w:tcBorders>
              <w:right w:val="single" w:color="auto" w:sz="4" w:space="0"/>
            </w:tcBorders>
            <w:vAlign w:val="center"/>
          </w:tcPr>
          <w:p w14:paraId="710F113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0.361</w:t>
            </w:r>
          </w:p>
        </w:tc>
        <w:tc>
          <w:tcPr>
            <w:tcW w:w="379" w:type="pct"/>
            <w:tcBorders>
              <w:right w:val="single" w:color="auto" w:sz="4" w:space="0"/>
            </w:tcBorders>
            <w:vAlign w:val="center"/>
          </w:tcPr>
          <w:p w14:paraId="1971D5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0.333</w:t>
            </w:r>
          </w:p>
        </w:tc>
        <w:tc>
          <w:tcPr>
            <w:tcW w:w="379" w:type="pct"/>
            <w:tcBorders>
              <w:right w:val="single" w:color="auto" w:sz="4" w:space="0"/>
            </w:tcBorders>
            <w:vAlign w:val="center"/>
          </w:tcPr>
          <w:p w14:paraId="08E110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0.314</w:t>
            </w:r>
          </w:p>
        </w:tc>
        <w:tc>
          <w:tcPr>
            <w:tcW w:w="379" w:type="pct"/>
            <w:tcBorders>
              <w:right w:val="single" w:color="auto" w:sz="4" w:space="0"/>
            </w:tcBorders>
            <w:vAlign w:val="center"/>
          </w:tcPr>
          <w:p w14:paraId="7259577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0.496</w:t>
            </w:r>
          </w:p>
        </w:tc>
        <w:tc>
          <w:tcPr>
            <w:tcW w:w="379" w:type="pct"/>
            <w:tcBorders>
              <w:right w:val="single" w:color="auto" w:sz="4" w:space="0"/>
            </w:tcBorders>
            <w:vAlign w:val="center"/>
          </w:tcPr>
          <w:p w14:paraId="232FBEF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0.870</w:t>
            </w:r>
          </w:p>
        </w:tc>
        <w:tc>
          <w:tcPr>
            <w:tcW w:w="362" w:type="pct"/>
            <w:tcBorders>
              <w:right w:val="single" w:color="auto" w:sz="4" w:space="0"/>
            </w:tcBorders>
            <w:vAlign w:val="center"/>
          </w:tcPr>
          <w:p w14:paraId="6B453B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0.484</w:t>
            </w:r>
          </w:p>
        </w:tc>
        <w:tc>
          <w:tcPr>
            <w:tcW w:w="280" w:type="pct"/>
            <w:tcBorders>
              <w:right w:val="single" w:color="auto" w:sz="4" w:space="0"/>
            </w:tcBorders>
            <w:vAlign w:val="center"/>
          </w:tcPr>
          <w:p w14:paraId="372726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299" w:type="pct"/>
            <w:tcBorders>
              <w:right w:val="single" w:color="auto" w:sz="4" w:space="0"/>
            </w:tcBorders>
            <w:vAlign w:val="center"/>
          </w:tcPr>
          <w:p w14:paraId="7E1EF5C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6D6284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46CB2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tcBorders>
            <w:vAlign w:val="center"/>
          </w:tcPr>
          <w:p w14:paraId="1B0EBC2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氯化物</w:t>
            </w:r>
          </w:p>
        </w:tc>
        <w:tc>
          <w:tcPr>
            <w:tcW w:w="315" w:type="pct"/>
            <w:tcBorders>
              <w:left w:val="single" w:color="auto" w:sz="4" w:space="0"/>
            </w:tcBorders>
            <w:vAlign w:val="center"/>
          </w:tcPr>
          <w:p w14:paraId="29729A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438A00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4.22</w:t>
            </w:r>
          </w:p>
        </w:tc>
        <w:tc>
          <w:tcPr>
            <w:tcW w:w="379" w:type="pct"/>
            <w:vAlign w:val="center"/>
          </w:tcPr>
          <w:p w14:paraId="28FB3D3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4.74</w:t>
            </w:r>
          </w:p>
        </w:tc>
        <w:tc>
          <w:tcPr>
            <w:tcW w:w="379" w:type="pct"/>
            <w:vAlign w:val="center"/>
          </w:tcPr>
          <w:p w14:paraId="0E0AED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4.49</w:t>
            </w:r>
          </w:p>
        </w:tc>
        <w:tc>
          <w:tcPr>
            <w:tcW w:w="379" w:type="pct"/>
            <w:tcBorders>
              <w:right w:val="single" w:color="auto" w:sz="4" w:space="0"/>
            </w:tcBorders>
            <w:vAlign w:val="center"/>
          </w:tcPr>
          <w:p w14:paraId="3853DF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4.05</w:t>
            </w:r>
          </w:p>
        </w:tc>
        <w:tc>
          <w:tcPr>
            <w:tcW w:w="379" w:type="pct"/>
            <w:tcBorders>
              <w:right w:val="single" w:color="auto" w:sz="4" w:space="0"/>
            </w:tcBorders>
            <w:vAlign w:val="center"/>
          </w:tcPr>
          <w:p w14:paraId="7726F2A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4.53</w:t>
            </w:r>
          </w:p>
        </w:tc>
        <w:tc>
          <w:tcPr>
            <w:tcW w:w="379" w:type="pct"/>
            <w:tcBorders>
              <w:right w:val="single" w:color="auto" w:sz="4" w:space="0"/>
            </w:tcBorders>
            <w:vAlign w:val="center"/>
          </w:tcPr>
          <w:p w14:paraId="2C9BC2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3.90</w:t>
            </w:r>
          </w:p>
        </w:tc>
        <w:tc>
          <w:tcPr>
            <w:tcW w:w="379" w:type="pct"/>
            <w:tcBorders>
              <w:right w:val="single" w:color="auto" w:sz="4" w:space="0"/>
            </w:tcBorders>
            <w:vAlign w:val="center"/>
          </w:tcPr>
          <w:p w14:paraId="70FB55B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4.41</w:t>
            </w:r>
          </w:p>
        </w:tc>
        <w:tc>
          <w:tcPr>
            <w:tcW w:w="379" w:type="pct"/>
            <w:tcBorders>
              <w:right w:val="single" w:color="auto" w:sz="4" w:space="0"/>
            </w:tcBorders>
            <w:vAlign w:val="center"/>
          </w:tcPr>
          <w:p w14:paraId="2A821F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3.90</w:t>
            </w:r>
          </w:p>
        </w:tc>
        <w:tc>
          <w:tcPr>
            <w:tcW w:w="362" w:type="pct"/>
            <w:tcBorders>
              <w:right w:val="single" w:color="auto" w:sz="4" w:space="0"/>
            </w:tcBorders>
            <w:vAlign w:val="center"/>
          </w:tcPr>
          <w:p w14:paraId="6DB692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3.87</w:t>
            </w:r>
          </w:p>
        </w:tc>
        <w:tc>
          <w:tcPr>
            <w:tcW w:w="280" w:type="pct"/>
            <w:tcBorders>
              <w:right w:val="single" w:color="auto" w:sz="4" w:space="0"/>
            </w:tcBorders>
            <w:vAlign w:val="center"/>
          </w:tcPr>
          <w:p w14:paraId="2358785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299" w:type="pct"/>
            <w:tcBorders>
              <w:right w:val="single" w:color="auto" w:sz="4" w:space="0"/>
            </w:tcBorders>
            <w:vAlign w:val="center"/>
          </w:tcPr>
          <w:p w14:paraId="0F4575F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4502AF2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27E50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bottom w:val="single" w:color="000000" w:sz="4" w:space="0"/>
            </w:tcBorders>
            <w:vAlign w:val="center"/>
          </w:tcPr>
          <w:p w14:paraId="0C82DF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硫酸盐</w:t>
            </w:r>
          </w:p>
        </w:tc>
        <w:tc>
          <w:tcPr>
            <w:tcW w:w="315" w:type="pct"/>
            <w:tcBorders>
              <w:left w:val="single" w:color="auto" w:sz="4" w:space="0"/>
            </w:tcBorders>
            <w:vAlign w:val="center"/>
          </w:tcPr>
          <w:p w14:paraId="36CAA7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21840F5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10.8</w:t>
            </w:r>
          </w:p>
        </w:tc>
        <w:tc>
          <w:tcPr>
            <w:tcW w:w="379" w:type="pct"/>
            <w:vAlign w:val="center"/>
          </w:tcPr>
          <w:p w14:paraId="7BB6968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12.3</w:t>
            </w:r>
          </w:p>
        </w:tc>
        <w:tc>
          <w:tcPr>
            <w:tcW w:w="379" w:type="pct"/>
            <w:vAlign w:val="center"/>
          </w:tcPr>
          <w:p w14:paraId="7FC2594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12.5</w:t>
            </w:r>
          </w:p>
        </w:tc>
        <w:tc>
          <w:tcPr>
            <w:tcW w:w="379" w:type="pct"/>
            <w:tcBorders>
              <w:right w:val="single" w:color="auto" w:sz="4" w:space="0"/>
            </w:tcBorders>
            <w:vAlign w:val="center"/>
          </w:tcPr>
          <w:p w14:paraId="67ECE78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10.6</w:t>
            </w:r>
          </w:p>
        </w:tc>
        <w:tc>
          <w:tcPr>
            <w:tcW w:w="379" w:type="pct"/>
            <w:tcBorders>
              <w:right w:val="single" w:color="auto" w:sz="4" w:space="0"/>
            </w:tcBorders>
            <w:vAlign w:val="center"/>
          </w:tcPr>
          <w:p w14:paraId="44E30B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14.0</w:t>
            </w:r>
          </w:p>
        </w:tc>
        <w:tc>
          <w:tcPr>
            <w:tcW w:w="379" w:type="pct"/>
            <w:tcBorders>
              <w:right w:val="single" w:color="auto" w:sz="4" w:space="0"/>
            </w:tcBorders>
            <w:vAlign w:val="center"/>
          </w:tcPr>
          <w:p w14:paraId="2ECA6F6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9.71</w:t>
            </w:r>
          </w:p>
        </w:tc>
        <w:tc>
          <w:tcPr>
            <w:tcW w:w="379" w:type="pct"/>
            <w:tcBorders>
              <w:right w:val="single" w:color="auto" w:sz="4" w:space="0"/>
            </w:tcBorders>
            <w:vAlign w:val="center"/>
          </w:tcPr>
          <w:p w14:paraId="12886A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10.6</w:t>
            </w:r>
          </w:p>
        </w:tc>
        <w:tc>
          <w:tcPr>
            <w:tcW w:w="379" w:type="pct"/>
            <w:tcBorders>
              <w:right w:val="single" w:color="auto" w:sz="4" w:space="0"/>
            </w:tcBorders>
            <w:vAlign w:val="center"/>
          </w:tcPr>
          <w:p w14:paraId="1C949E2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9.19</w:t>
            </w:r>
          </w:p>
        </w:tc>
        <w:tc>
          <w:tcPr>
            <w:tcW w:w="362" w:type="pct"/>
            <w:tcBorders>
              <w:right w:val="single" w:color="auto" w:sz="4" w:space="0"/>
            </w:tcBorders>
            <w:vAlign w:val="center"/>
          </w:tcPr>
          <w:p w14:paraId="50C694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9.16</w:t>
            </w:r>
          </w:p>
        </w:tc>
        <w:tc>
          <w:tcPr>
            <w:tcW w:w="280" w:type="pct"/>
            <w:tcBorders>
              <w:right w:val="single" w:color="auto" w:sz="4" w:space="0"/>
            </w:tcBorders>
            <w:vAlign w:val="center"/>
          </w:tcPr>
          <w:p w14:paraId="2952871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299" w:type="pct"/>
            <w:tcBorders>
              <w:right w:val="single" w:color="auto" w:sz="4" w:space="0"/>
            </w:tcBorders>
            <w:vAlign w:val="center"/>
          </w:tcPr>
          <w:p w14:paraId="0FC22C7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633759A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5D410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000000" w:sz="4" w:space="0"/>
              <w:left w:val="single" w:color="auto" w:sz="12" w:space="0"/>
            </w:tcBorders>
            <w:vAlign w:val="center"/>
          </w:tcPr>
          <w:p w14:paraId="7B01868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挥发酚</w:t>
            </w:r>
          </w:p>
        </w:tc>
        <w:tc>
          <w:tcPr>
            <w:tcW w:w="315" w:type="pct"/>
            <w:tcBorders>
              <w:left w:val="single" w:color="auto" w:sz="4" w:space="0"/>
            </w:tcBorders>
            <w:vAlign w:val="center"/>
          </w:tcPr>
          <w:p w14:paraId="0AF326E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1A8C16B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79" w:type="pct"/>
            <w:vAlign w:val="center"/>
          </w:tcPr>
          <w:p w14:paraId="547C087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79" w:type="pct"/>
            <w:vAlign w:val="center"/>
          </w:tcPr>
          <w:p w14:paraId="1B8D25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79" w:type="pct"/>
            <w:tcBorders>
              <w:right w:val="single" w:color="auto" w:sz="4" w:space="0"/>
            </w:tcBorders>
            <w:vAlign w:val="center"/>
          </w:tcPr>
          <w:p w14:paraId="3F6BE3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79" w:type="pct"/>
            <w:tcBorders>
              <w:right w:val="single" w:color="auto" w:sz="4" w:space="0"/>
            </w:tcBorders>
            <w:vAlign w:val="center"/>
          </w:tcPr>
          <w:p w14:paraId="4BB6F56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79" w:type="pct"/>
            <w:tcBorders>
              <w:right w:val="single" w:color="auto" w:sz="4" w:space="0"/>
            </w:tcBorders>
            <w:vAlign w:val="center"/>
          </w:tcPr>
          <w:p w14:paraId="050E1C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79" w:type="pct"/>
            <w:tcBorders>
              <w:right w:val="single" w:color="auto" w:sz="4" w:space="0"/>
            </w:tcBorders>
            <w:vAlign w:val="center"/>
          </w:tcPr>
          <w:p w14:paraId="090C7DF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79" w:type="pct"/>
            <w:tcBorders>
              <w:right w:val="single" w:color="auto" w:sz="4" w:space="0"/>
            </w:tcBorders>
            <w:vAlign w:val="center"/>
          </w:tcPr>
          <w:p w14:paraId="69C72D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62" w:type="pct"/>
            <w:tcBorders>
              <w:right w:val="single" w:color="auto" w:sz="4" w:space="0"/>
            </w:tcBorders>
            <w:vAlign w:val="center"/>
          </w:tcPr>
          <w:p w14:paraId="2D937E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280" w:type="pct"/>
            <w:tcBorders>
              <w:right w:val="single" w:color="auto" w:sz="4" w:space="0"/>
            </w:tcBorders>
            <w:vAlign w:val="center"/>
          </w:tcPr>
          <w:p w14:paraId="0A108F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299" w:type="pct"/>
            <w:tcBorders>
              <w:right w:val="single" w:color="auto" w:sz="4" w:space="0"/>
            </w:tcBorders>
            <w:vAlign w:val="center"/>
          </w:tcPr>
          <w:p w14:paraId="016919C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0F2082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82F13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tcBorders>
            <w:vAlign w:val="center"/>
          </w:tcPr>
          <w:p w14:paraId="7AA692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315" w:type="pct"/>
            <w:tcBorders>
              <w:left w:val="single" w:color="auto" w:sz="4" w:space="0"/>
            </w:tcBorders>
            <w:vAlign w:val="center"/>
          </w:tcPr>
          <w:p w14:paraId="71CB32F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7E38181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0.00541</w:t>
            </w:r>
          </w:p>
        </w:tc>
        <w:tc>
          <w:tcPr>
            <w:tcW w:w="379" w:type="pct"/>
            <w:vAlign w:val="center"/>
          </w:tcPr>
          <w:p w14:paraId="550323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0.00698</w:t>
            </w:r>
          </w:p>
        </w:tc>
        <w:tc>
          <w:tcPr>
            <w:tcW w:w="379" w:type="pct"/>
            <w:vAlign w:val="center"/>
          </w:tcPr>
          <w:p w14:paraId="0DCFD9D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0.00634</w:t>
            </w:r>
          </w:p>
        </w:tc>
        <w:tc>
          <w:tcPr>
            <w:tcW w:w="379" w:type="pct"/>
            <w:tcBorders>
              <w:right w:val="single" w:color="auto" w:sz="4" w:space="0"/>
            </w:tcBorders>
            <w:vAlign w:val="center"/>
          </w:tcPr>
          <w:p w14:paraId="0411279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0.00545</w:t>
            </w:r>
          </w:p>
        </w:tc>
        <w:tc>
          <w:tcPr>
            <w:tcW w:w="379" w:type="pct"/>
            <w:tcBorders>
              <w:right w:val="single" w:color="auto" w:sz="4" w:space="0"/>
            </w:tcBorders>
            <w:vAlign w:val="center"/>
          </w:tcPr>
          <w:p w14:paraId="574BCB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0.00680</w:t>
            </w:r>
          </w:p>
        </w:tc>
        <w:tc>
          <w:tcPr>
            <w:tcW w:w="379" w:type="pct"/>
            <w:tcBorders>
              <w:right w:val="single" w:color="auto" w:sz="4" w:space="0"/>
            </w:tcBorders>
            <w:vAlign w:val="center"/>
          </w:tcPr>
          <w:p w14:paraId="34BD906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0.00472</w:t>
            </w:r>
          </w:p>
        </w:tc>
        <w:tc>
          <w:tcPr>
            <w:tcW w:w="379" w:type="pct"/>
            <w:tcBorders>
              <w:right w:val="single" w:color="auto" w:sz="4" w:space="0"/>
            </w:tcBorders>
            <w:vAlign w:val="center"/>
          </w:tcPr>
          <w:p w14:paraId="346438E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0.00517</w:t>
            </w:r>
          </w:p>
        </w:tc>
        <w:tc>
          <w:tcPr>
            <w:tcW w:w="379" w:type="pct"/>
            <w:tcBorders>
              <w:right w:val="single" w:color="auto" w:sz="4" w:space="0"/>
            </w:tcBorders>
            <w:vAlign w:val="center"/>
          </w:tcPr>
          <w:p w14:paraId="1EBB63B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0.00466</w:t>
            </w:r>
          </w:p>
        </w:tc>
        <w:tc>
          <w:tcPr>
            <w:tcW w:w="362" w:type="pct"/>
            <w:tcBorders>
              <w:right w:val="single" w:color="auto" w:sz="4" w:space="0"/>
            </w:tcBorders>
            <w:vAlign w:val="center"/>
          </w:tcPr>
          <w:p w14:paraId="3E6BEE9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0.00445</w:t>
            </w:r>
          </w:p>
        </w:tc>
        <w:tc>
          <w:tcPr>
            <w:tcW w:w="280" w:type="pct"/>
            <w:tcBorders>
              <w:right w:val="single" w:color="auto" w:sz="4" w:space="0"/>
            </w:tcBorders>
            <w:vAlign w:val="center"/>
          </w:tcPr>
          <w:p w14:paraId="6E20A92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299" w:type="pct"/>
            <w:tcBorders>
              <w:right w:val="single" w:color="auto" w:sz="4" w:space="0"/>
            </w:tcBorders>
            <w:vAlign w:val="center"/>
          </w:tcPr>
          <w:p w14:paraId="1A3D09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031F7B5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E18C6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tcBorders>
            <w:vAlign w:val="center"/>
          </w:tcPr>
          <w:p w14:paraId="494EBDF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w:t>
            </w:r>
          </w:p>
        </w:tc>
        <w:tc>
          <w:tcPr>
            <w:tcW w:w="315" w:type="pct"/>
            <w:tcBorders>
              <w:left w:val="single" w:color="auto" w:sz="4" w:space="0"/>
            </w:tcBorders>
            <w:vAlign w:val="center"/>
          </w:tcPr>
          <w:p w14:paraId="5BD828F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51380E3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0.00014</w:t>
            </w:r>
          </w:p>
        </w:tc>
        <w:tc>
          <w:tcPr>
            <w:tcW w:w="379" w:type="pct"/>
            <w:vAlign w:val="center"/>
          </w:tcPr>
          <w:p w14:paraId="5655D34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0.00013</w:t>
            </w:r>
          </w:p>
        </w:tc>
        <w:tc>
          <w:tcPr>
            <w:tcW w:w="379" w:type="pct"/>
            <w:vAlign w:val="center"/>
          </w:tcPr>
          <w:p w14:paraId="4EBA279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0.00030</w:t>
            </w:r>
          </w:p>
        </w:tc>
        <w:tc>
          <w:tcPr>
            <w:tcW w:w="379" w:type="pct"/>
            <w:tcBorders>
              <w:right w:val="single" w:color="auto" w:sz="4" w:space="0"/>
            </w:tcBorders>
            <w:vAlign w:val="center"/>
          </w:tcPr>
          <w:p w14:paraId="773E3B9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0.00031</w:t>
            </w:r>
          </w:p>
        </w:tc>
        <w:tc>
          <w:tcPr>
            <w:tcW w:w="379" w:type="pct"/>
            <w:tcBorders>
              <w:right w:val="single" w:color="auto" w:sz="4" w:space="0"/>
            </w:tcBorders>
            <w:vAlign w:val="center"/>
          </w:tcPr>
          <w:p w14:paraId="1121C3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0.00042</w:t>
            </w:r>
          </w:p>
        </w:tc>
        <w:tc>
          <w:tcPr>
            <w:tcW w:w="379" w:type="pct"/>
            <w:tcBorders>
              <w:right w:val="single" w:color="auto" w:sz="4" w:space="0"/>
            </w:tcBorders>
            <w:vAlign w:val="center"/>
          </w:tcPr>
          <w:p w14:paraId="297D045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0.00017</w:t>
            </w:r>
          </w:p>
        </w:tc>
        <w:tc>
          <w:tcPr>
            <w:tcW w:w="379" w:type="pct"/>
            <w:tcBorders>
              <w:right w:val="single" w:color="auto" w:sz="4" w:space="0"/>
            </w:tcBorders>
            <w:vAlign w:val="center"/>
          </w:tcPr>
          <w:p w14:paraId="3075CA2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0.00022</w:t>
            </w:r>
          </w:p>
        </w:tc>
        <w:tc>
          <w:tcPr>
            <w:tcW w:w="379" w:type="pct"/>
            <w:tcBorders>
              <w:right w:val="single" w:color="auto" w:sz="4" w:space="0"/>
            </w:tcBorders>
            <w:vAlign w:val="center"/>
          </w:tcPr>
          <w:p w14:paraId="3D4058C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0.00032</w:t>
            </w:r>
          </w:p>
        </w:tc>
        <w:tc>
          <w:tcPr>
            <w:tcW w:w="362" w:type="pct"/>
            <w:tcBorders>
              <w:right w:val="single" w:color="auto" w:sz="4" w:space="0"/>
            </w:tcBorders>
            <w:vAlign w:val="center"/>
          </w:tcPr>
          <w:p w14:paraId="358990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0.00029</w:t>
            </w:r>
          </w:p>
        </w:tc>
        <w:tc>
          <w:tcPr>
            <w:tcW w:w="280" w:type="pct"/>
            <w:tcBorders>
              <w:right w:val="single" w:color="auto" w:sz="4" w:space="0"/>
            </w:tcBorders>
            <w:vAlign w:val="center"/>
          </w:tcPr>
          <w:p w14:paraId="2F9072E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299" w:type="pct"/>
            <w:tcBorders>
              <w:right w:val="single" w:color="auto" w:sz="4" w:space="0"/>
            </w:tcBorders>
            <w:vAlign w:val="center"/>
          </w:tcPr>
          <w:p w14:paraId="758DE9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0CA58B3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C0223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bottom w:val="single" w:color="000000" w:sz="4" w:space="0"/>
            </w:tcBorders>
            <w:vAlign w:val="center"/>
          </w:tcPr>
          <w:p w14:paraId="58A2F6B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镉</w:t>
            </w:r>
          </w:p>
        </w:tc>
        <w:tc>
          <w:tcPr>
            <w:tcW w:w="315" w:type="pct"/>
            <w:tcBorders>
              <w:left w:val="single" w:color="auto" w:sz="4" w:space="0"/>
              <w:bottom w:val="single" w:color="000000" w:sz="4" w:space="0"/>
            </w:tcBorders>
            <w:vAlign w:val="center"/>
          </w:tcPr>
          <w:p w14:paraId="3545BD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4F2757E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0.00010</w:t>
            </w:r>
          </w:p>
        </w:tc>
        <w:tc>
          <w:tcPr>
            <w:tcW w:w="379" w:type="pct"/>
            <w:vAlign w:val="center"/>
          </w:tcPr>
          <w:p w14:paraId="3195AC1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0.00010</w:t>
            </w:r>
          </w:p>
        </w:tc>
        <w:tc>
          <w:tcPr>
            <w:tcW w:w="379" w:type="pct"/>
            <w:vAlign w:val="center"/>
          </w:tcPr>
          <w:p w14:paraId="6172BA8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0.00010</w:t>
            </w:r>
          </w:p>
        </w:tc>
        <w:tc>
          <w:tcPr>
            <w:tcW w:w="379" w:type="pct"/>
            <w:tcBorders>
              <w:right w:val="single" w:color="auto" w:sz="4" w:space="0"/>
            </w:tcBorders>
            <w:vAlign w:val="center"/>
          </w:tcPr>
          <w:p w14:paraId="63C8B03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0.00009</w:t>
            </w:r>
          </w:p>
        </w:tc>
        <w:tc>
          <w:tcPr>
            <w:tcW w:w="379" w:type="pct"/>
            <w:tcBorders>
              <w:right w:val="single" w:color="auto" w:sz="4" w:space="0"/>
            </w:tcBorders>
            <w:vAlign w:val="center"/>
          </w:tcPr>
          <w:p w14:paraId="2073436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0.00010</w:t>
            </w:r>
          </w:p>
        </w:tc>
        <w:tc>
          <w:tcPr>
            <w:tcW w:w="379" w:type="pct"/>
            <w:tcBorders>
              <w:right w:val="single" w:color="auto" w:sz="4" w:space="0"/>
            </w:tcBorders>
            <w:vAlign w:val="center"/>
          </w:tcPr>
          <w:p w14:paraId="2EB271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0.00007</w:t>
            </w:r>
          </w:p>
        </w:tc>
        <w:tc>
          <w:tcPr>
            <w:tcW w:w="379" w:type="pct"/>
            <w:tcBorders>
              <w:right w:val="single" w:color="auto" w:sz="4" w:space="0"/>
            </w:tcBorders>
            <w:vAlign w:val="center"/>
          </w:tcPr>
          <w:p w14:paraId="669C72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0.00009</w:t>
            </w:r>
          </w:p>
        </w:tc>
        <w:tc>
          <w:tcPr>
            <w:tcW w:w="379" w:type="pct"/>
            <w:tcBorders>
              <w:right w:val="single" w:color="auto" w:sz="4" w:space="0"/>
            </w:tcBorders>
            <w:vAlign w:val="center"/>
          </w:tcPr>
          <w:p w14:paraId="5206008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0.00009</w:t>
            </w:r>
          </w:p>
        </w:tc>
        <w:tc>
          <w:tcPr>
            <w:tcW w:w="362" w:type="pct"/>
            <w:tcBorders>
              <w:right w:val="single" w:color="auto" w:sz="4" w:space="0"/>
            </w:tcBorders>
            <w:vAlign w:val="center"/>
          </w:tcPr>
          <w:p w14:paraId="2D75BA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0.00010</w:t>
            </w:r>
          </w:p>
        </w:tc>
        <w:tc>
          <w:tcPr>
            <w:tcW w:w="280" w:type="pct"/>
            <w:tcBorders>
              <w:right w:val="single" w:color="auto" w:sz="4" w:space="0"/>
            </w:tcBorders>
            <w:vAlign w:val="center"/>
          </w:tcPr>
          <w:p w14:paraId="19DA287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299" w:type="pct"/>
            <w:tcBorders>
              <w:right w:val="single" w:color="auto" w:sz="4" w:space="0"/>
            </w:tcBorders>
            <w:vAlign w:val="center"/>
          </w:tcPr>
          <w:p w14:paraId="3026C61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7B91199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FF1BF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000000" w:sz="4" w:space="0"/>
              <w:left w:val="single" w:color="auto" w:sz="12" w:space="0"/>
            </w:tcBorders>
            <w:vAlign w:val="center"/>
          </w:tcPr>
          <w:p w14:paraId="25CA565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汞</w:t>
            </w:r>
          </w:p>
        </w:tc>
        <w:tc>
          <w:tcPr>
            <w:tcW w:w="315" w:type="pct"/>
            <w:tcBorders>
              <w:top w:val="single" w:color="000000" w:sz="4" w:space="0"/>
              <w:left w:val="single" w:color="auto" w:sz="4" w:space="0"/>
            </w:tcBorders>
            <w:vAlign w:val="center"/>
          </w:tcPr>
          <w:p w14:paraId="10653A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vAlign w:val="center"/>
          </w:tcPr>
          <w:p w14:paraId="4239BC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79" w:type="pct"/>
            <w:vAlign w:val="center"/>
          </w:tcPr>
          <w:p w14:paraId="3336929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79" w:type="pct"/>
            <w:vAlign w:val="center"/>
          </w:tcPr>
          <w:p w14:paraId="052B0CF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79" w:type="pct"/>
            <w:tcBorders>
              <w:right w:val="single" w:color="auto" w:sz="4" w:space="0"/>
            </w:tcBorders>
            <w:vAlign w:val="center"/>
          </w:tcPr>
          <w:p w14:paraId="03DF598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79" w:type="pct"/>
            <w:tcBorders>
              <w:right w:val="single" w:color="auto" w:sz="4" w:space="0"/>
            </w:tcBorders>
            <w:vAlign w:val="center"/>
          </w:tcPr>
          <w:p w14:paraId="298F9FC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79" w:type="pct"/>
            <w:tcBorders>
              <w:right w:val="single" w:color="auto" w:sz="4" w:space="0"/>
            </w:tcBorders>
            <w:vAlign w:val="center"/>
          </w:tcPr>
          <w:p w14:paraId="287C240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79" w:type="pct"/>
            <w:tcBorders>
              <w:right w:val="single" w:color="auto" w:sz="4" w:space="0"/>
            </w:tcBorders>
            <w:vAlign w:val="center"/>
          </w:tcPr>
          <w:p w14:paraId="4DCF9D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79" w:type="pct"/>
            <w:tcBorders>
              <w:right w:val="single" w:color="auto" w:sz="4" w:space="0"/>
            </w:tcBorders>
            <w:vAlign w:val="center"/>
          </w:tcPr>
          <w:p w14:paraId="3D754D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62" w:type="pct"/>
            <w:tcBorders>
              <w:right w:val="single" w:color="auto" w:sz="4" w:space="0"/>
            </w:tcBorders>
            <w:vAlign w:val="center"/>
          </w:tcPr>
          <w:p w14:paraId="6759A62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280" w:type="pct"/>
            <w:tcBorders>
              <w:right w:val="single" w:color="auto" w:sz="4" w:space="0"/>
            </w:tcBorders>
            <w:vAlign w:val="center"/>
          </w:tcPr>
          <w:p w14:paraId="00F135A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299" w:type="pct"/>
            <w:tcBorders>
              <w:right w:val="single" w:color="auto" w:sz="4" w:space="0"/>
            </w:tcBorders>
            <w:vAlign w:val="center"/>
          </w:tcPr>
          <w:p w14:paraId="32046F3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right w:val="single" w:color="auto" w:sz="12" w:space="0"/>
            </w:tcBorders>
            <w:vAlign w:val="center"/>
          </w:tcPr>
          <w:p w14:paraId="183D4C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C7FE1D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left w:val="single" w:color="auto" w:sz="12" w:space="0"/>
              <w:bottom w:val="single" w:color="auto" w:sz="4" w:space="0"/>
            </w:tcBorders>
            <w:vAlign w:val="center"/>
          </w:tcPr>
          <w:p w14:paraId="0A9406D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315" w:type="pct"/>
            <w:tcBorders>
              <w:left w:val="single" w:color="auto" w:sz="4" w:space="0"/>
              <w:bottom w:val="single" w:color="auto" w:sz="4" w:space="0"/>
            </w:tcBorders>
            <w:vAlign w:val="center"/>
          </w:tcPr>
          <w:p w14:paraId="33711EF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tcBorders>
              <w:bottom w:val="single" w:color="auto" w:sz="4" w:space="0"/>
            </w:tcBorders>
            <w:vAlign w:val="center"/>
          </w:tcPr>
          <w:p w14:paraId="40CABDC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0.00091</w:t>
            </w:r>
          </w:p>
        </w:tc>
        <w:tc>
          <w:tcPr>
            <w:tcW w:w="379" w:type="pct"/>
            <w:tcBorders>
              <w:bottom w:val="single" w:color="auto" w:sz="4" w:space="0"/>
            </w:tcBorders>
            <w:vAlign w:val="center"/>
          </w:tcPr>
          <w:p w14:paraId="336346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0.00086</w:t>
            </w:r>
          </w:p>
        </w:tc>
        <w:tc>
          <w:tcPr>
            <w:tcW w:w="379" w:type="pct"/>
            <w:tcBorders>
              <w:bottom w:val="single" w:color="auto" w:sz="4" w:space="0"/>
            </w:tcBorders>
            <w:vAlign w:val="center"/>
          </w:tcPr>
          <w:p w14:paraId="0BD00FC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0.00097</w:t>
            </w:r>
          </w:p>
        </w:tc>
        <w:tc>
          <w:tcPr>
            <w:tcW w:w="379" w:type="pct"/>
            <w:tcBorders>
              <w:bottom w:val="single" w:color="auto" w:sz="4" w:space="0"/>
              <w:right w:val="single" w:color="auto" w:sz="4" w:space="0"/>
            </w:tcBorders>
            <w:vAlign w:val="center"/>
          </w:tcPr>
          <w:p w14:paraId="25DBBB6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0.00092</w:t>
            </w:r>
          </w:p>
        </w:tc>
        <w:tc>
          <w:tcPr>
            <w:tcW w:w="379" w:type="pct"/>
            <w:tcBorders>
              <w:bottom w:val="single" w:color="auto" w:sz="4" w:space="0"/>
              <w:right w:val="single" w:color="auto" w:sz="4" w:space="0"/>
            </w:tcBorders>
            <w:vAlign w:val="center"/>
          </w:tcPr>
          <w:p w14:paraId="4AA54A0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0.00089</w:t>
            </w:r>
          </w:p>
        </w:tc>
        <w:tc>
          <w:tcPr>
            <w:tcW w:w="379" w:type="pct"/>
            <w:tcBorders>
              <w:bottom w:val="single" w:color="auto" w:sz="4" w:space="0"/>
              <w:right w:val="single" w:color="auto" w:sz="4" w:space="0"/>
            </w:tcBorders>
            <w:vAlign w:val="center"/>
          </w:tcPr>
          <w:p w14:paraId="7A620FB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0.00084</w:t>
            </w:r>
          </w:p>
        </w:tc>
        <w:tc>
          <w:tcPr>
            <w:tcW w:w="379" w:type="pct"/>
            <w:tcBorders>
              <w:bottom w:val="single" w:color="auto" w:sz="4" w:space="0"/>
              <w:right w:val="single" w:color="auto" w:sz="4" w:space="0"/>
            </w:tcBorders>
            <w:vAlign w:val="center"/>
          </w:tcPr>
          <w:p w14:paraId="16F635E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0.00089</w:t>
            </w:r>
          </w:p>
        </w:tc>
        <w:tc>
          <w:tcPr>
            <w:tcW w:w="379" w:type="pct"/>
            <w:tcBorders>
              <w:bottom w:val="single" w:color="auto" w:sz="4" w:space="0"/>
              <w:right w:val="single" w:color="auto" w:sz="4" w:space="0"/>
            </w:tcBorders>
            <w:vAlign w:val="center"/>
          </w:tcPr>
          <w:p w14:paraId="5F0A06F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0.00098</w:t>
            </w:r>
          </w:p>
        </w:tc>
        <w:tc>
          <w:tcPr>
            <w:tcW w:w="362" w:type="pct"/>
            <w:tcBorders>
              <w:bottom w:val="single" w:color="auto" w:sz="4" w:space="0"/>
              <w:right w:val="single" w:color="auto" w:sz="4" w:space="0"/>
            </w:tcBorders>
            <w:vAlign w:val="center"/>
          </w:tcPr>
          <w:p w14:paraId="337131E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0.00111</w:t>
            </w:r>
          </w:p>
        </w:tc>
        <w:tc>
          <w:tcPr>
            <w:tcW w:w="280" w:type="pct"/>
            <w:tcBorders>
              <w:bottom w:val="single" w:color="auto" w:sz="4" w:space="0"/>
              <w:right w:val="single" w:color="auto" w:sz="4" w:space="0"/>
            </w:tcBorders>
            <w:vAlign w:val="center"/>
          </w:tcPr>
          <w:p w14:paraId="553D8B7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299" w:type="pct"/>
            <w:tcBorders>
              <w:bottom w:val="single" w:color="auto" w:sz="4" w:space="0"/>
              <w:right w:val="single" w:color="auto" w:sz="4" w:space="0"/>
            </w:tcBorders>
            <w:vAlign w:val="center"/>
          </w:tcPr>
          <w:p w14:paraId="18D9D2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bottom w:val="single" w:color="auto" w:sz="4" w:space="0"/>
              <w:right w:val="single" w:color="auto" w:sz="12" w:space="0"/>
            </w:tcBorders>
            <w:vAlign w:val="center"/>
          </w:tcPr>
          <w:p w14:paraId="3FC284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05F61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auto" w:sz="4" w:space="0"/>
              <w:left w:val="single" w:color="auto" w:sz="12" w:space="0"/>
            </w:tcBorders>
            <w:vAlign w:val="center"/>
          </w:tcPr>
          <w:p w14:paraId="43A216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315" w:type="pct"/>
            <w:tcBorders>
              <w:top w:val="single" w:color="auto" w:sz="4" w:space="0"/>
              <w:left w:val="single" w:color="auto" w:sz="4" w:space="0"/>
            </w:tcBorders>
            <w:vAlign w:val="center"/>
          </w:tcPr>
          <w:p w14:paraId="3485650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tcBorders>
              <w:top w:val="single" w:color="auto" w:sz="4" w:space="0"/>
            </w:tcBorders>
            <w:vAlign w:val="center"/>
          </w:tcPr>
          <w:p w14:paraId="2662C1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0.00162</w:t>
            </w:r>
          </w:p>
        </w:tc>
        <w:tc>
          <w:tcPr>
            <w:tcW w:w="379" w:type="pct"/>
            <w:tcBorders>
              <w:top w:val="single" w:color="auto" w:sz="4" w:space="0"/>
            </w:tcBorders>
            <w:vAlign w:val="center"/>
          </w:tcPr>
          <w:p w14:paraId="0EF4E44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0.00139</w:t>
            </w:r>
          </w:p>
        </w:tc>
        <w:tc>
          <w:tcPr>
            <w:tcW w:w="379" w:type="pct"/>
            <w:tcBorders>
              <w:top w:val="single" w:color="auto" w:sz="4" w:space="0"/>
            </w:tcBorders>
            <w:vAlign w:val="center"/>
          </w:tcPr>
          <w:p w14:paraId="4FDCA8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0.00173</w:t>
            </w:r>
          </w:p>
        </w:tc>
        <w:tc>
          <w:tcPr>
            <w:tcW w:w="379" w:type="pct"/>
            <w:tcBorders>
              <w:top w:val="single" w:color="auto" w:sz="4" w:space="0"/>
              <w:right w:val="single" w:color="auto" w:sz="4" w:space="0"/>
            </w:tcBorders>
            <w:vAlign w:val="center"/>
          </w:tcPr>
          <w:p w14:paraId="6CA5EBA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0.00155</w:t>
            </w:r>
          </w:p>
        </w:tc>
        <w:tc>
          <w:tcPr>
            <w:tcW w:w="379" w:type="pct"/>
            <w:tcBorders>
              <w:top w:val="single" w:color="auto" w:sz="4" w:space="0"/>
              <w:right w:val="single" w:color="auto" w:sz="4" w:space="0"/>
            </w:tcBorders>
            <w:vAlign w:val="center"/>
          </w:tcPr>
          <w:p w14:paraId="62C614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0.00215</w:t>
            </w:r>
          </w:p>
        </w:tc>
        <w:tc>
          <w:tcPr>
            <w:tcW w:w="379" w:type="pct"/>
            <w:tcBorders>
              <w:top w:val="single" w:color="auto" w:sz="4" w:space="0"/>
              <w:right w:val="single" w:color="auto" w:sz="4" w:space="0"/>
            </w:tcBorders>
            <w:vAlign w:val="center"/>
          </w:tcPr>
          <w:p w14:paraId="01D588C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0.00174</w:t>
            </w:r>
          </w:p>
        </w:tc>
        <w:tc>
          <w:tcPr>
            <w:tcW w:w="379" w:type="pct"/>
            <w:tcBorders>
              <w:top w:val="single" w:color="auto" w:sz="4" w:space="0"/>
              <w:right w:val="single" w:color="auto" w:sz="4" w:space="0"/>
            </w:tcBorders>
            <w:vAlign w:val="center"/>
          </w:tcPr>
          <w:p w14:paraId="28A0BA0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0.00175</w:t>
            </w:r>
          </w:p>
        </w:tc>
        <w:tc>
          <w:tcPr>
            <w:tcW w:w="379" w:type="pct"/>
            <w:tcBorders>
              <w:top w:val="single" w:color="auto" w:sz="4" w:space="0"/>
              <w:right w:val="single" w:color="auto" w:sz="4" w:space="0"/>
            </w:tcBorders>
            <w:vAlign w:val="center"/>
          </w:tcPr>
          <w:p w14:paraId="326E219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0.00673</w:t>
            </w:r>
          </w:p>
        </w:tc>
        <w:tc>
          <w:tcPr>
            <w:tcW w:w="362" w:type="pct"/>
            <w:tcBorders>
              <w:top w:val="single" w:color="auto" w:sz="4" w:space="0"/>
              <w:right w:val="single" w:color="auto" w:sz="4" w:space="0"/>
            </w:tcBorders>
            <w:vAlign w:val="center"/>
          </w:tcPr>
          <w:p w14:paraId="7A9720A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0.00241</w:t>
            </w:r>
          </w:p>
        </w:tc>
        <w:tc>
          <w:tcPr>
            <w:tcW w:w="280" w:type="pct"/>
            <w:tcBorders>
              <w:top w:val="single" w:color="auto" w:sz="4" w:space="0"/>
              <w:right w:val="single" w:color="auto" w:sz="4" w:space="0"/>
            </w:tcBorders>
            <w:vAlign w:val="center"/>
          </w:tcPr>
          <w:p w14:paraId="40F5FFA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299" w:type="pct"/>
            <w:tcBorders>
              <w:top w:val="single" w:color="auto" w:sz="4" w:space="0"/>
              <w:right w:val="single" w:color="auto" w:sz="4" w:space="0"/>
            </w:tcBorders>
            <w:vAlign w:val="center"/>
          </w:tcPr>
          <w:p w14:paraId="54398AD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top w:val="single" w:color="auto" w:sz="4" w:space="0"/>
              <w:right w:val="single" w:color="auto" w:sz="12" w:space="0"/>
            </w:tcBorders>
            <w:vAlign w:val="center"/>
          </w:tcPr>
          <w:p w14:paraId="3EDC6CB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FDE6F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auto" w:sz="4" w:space="0"/>
              <w:left w:val="single" w:color="auto" w:sz="12" w:space="0"/>
            </w:tcBorders>
            <w:vAlign w:val="center"/>
          </w:tcPr>
          <w:p w14:paraId="73C3B8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315" w:type="pct"/>
            <w:tcBorders>
              <w:top w:val="single" w:color="auto" w:sz="4" w:space="0"/>
              <w:left w:val="single" w:color="auto" w:sz="4" w:space="0"/>
            </w:tcBorders>
            <w:vAlign w:val="center"/>
          </w:tcPr>
          <w:p w14:paraId="7FFB732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tcBorders>
              <w:top w:val="single" w:color="auto" w:sz="4" w:space="0"/>
            </w:tcBorders>
            <w:vAlign w:val="center"/>
          </w:tcPr>
          <w:p w14:paraId="43686E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79" w:type="pct"/>
            <w:tcBorders>
              <w:top w:val="single" w:color="auto" w:sz="4" w:space="0"/>
            </w:tcBorders>
            <w:vAlign w:val="center"/>
          </w:tcPr>
          <w:p w14:paraId="1CD4888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79" w:type="pct"/>
            <w:tcBorders>
              <w:top w:val="single" w:color="auto" w:sz="4" w:space="0"/>
            </w:tcBorders>
            <w:vAlign w:val="center"/>
          </w:tcPr>
          <w:p w14:paraId="620256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79" w:type="pct"/>
            <w:tcBorders>
              <w:top w:val="single" w:color="auto" w:sz="4" w:space="0"/>
              <w:right w:val="single" w:color="auto" w:sz="4" w:space="0"/>
            </w:tcBorders>
            <w:vAlign w:val="center"/>
          </w:tcPr>
          <w:p w14:paraId="07BCBA1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79" w:type="pct"/>
            <w:tcBorders>
              <w:top w:val="single" w:color="auto" w:sz="4" w:space="0"/>
              <w:right w:val="single" w:color="auto" w:sz="4" w:space="0"/>
            </w:tcBorders>
            <w:vAlign w:val="center"/>
          </w:tcPr>
          <w:p w14:paraId="2C1BC0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79" w:type="pct"/>
            <w:tcBorders>
              <w:top w:val="single" w:color="auto" w:sz="4" w:space="0"/>
              <w:right w:val="single" w:color="auto" w:sz="4" w:space="0"/>
            </w:tcBorders>
            <w:vAlign w:val="center"/>
          </w:tcPr>
          <w:p w14:paraId="20577C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79" w:type="pct"/>
            <w:tcBorders>
              <w:top w:val="single" w:color="auto" w:sz="4" w:space="0"/>
              <w:right w:val="single" w:color="auto" w:sz="4" w:space="0"/>
            </w:tcBorders>
            <w:vAlign w:val="center"/>
          </w:tcPr>
          <w:p w14:paraId="7DA3C9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79" w:type="pct"/>
            <w:tcBorders>
              <w:top w:val="single" w:color="auto" w:sz="4" w:space="0"/>
              <w:right w:val="single" w:color="auto" w:sz="4" w:space="0"/>
            </w:tcBorders>
            <w:vAlign w:val="center"/>
          </w:tcPr>
          <w:p w14:paraId="5EFE915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62" w:type="pct"/>
            <w:tcBorders>
              <w:top w:val="single" w:color="auto" w:sz="4" w:space="0"/>
              <w:right w:val="single" w:color="auto" w:sz="4" w:space="0"/>
            </w:tcBorders>
            <w:vAlign w:val="center"/>
          </w:tcPr>
          <w:p w14:paraId="4E36F26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280" w:type="pct"/>
            <w:tcBorders>
              <w:top w:val="single" w:color="auto" w:sz="4" w:space="0"/>
              <w:right w:val="single" w:color="auto" w:sz="4" w:space="0"/>
            </w:tcBorders>
            <w:vAlign w:val="center"/>
          </w:tcPr>
          <w:p w14:paraId="622DCED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299" w:type="pct"/>
            <w:tcBorders>
              <w:top w:val="single" w:color="auto" w:sz="4" w:space="0"/>
              <w:right w:val="single" w:color="auto" w:sz="4" w:space="0"/>
            </w:tcBorders>
            <w:vAlign w:val="center"/>
          </w:tcPr>
          <w:p w14:paraId="0A1C7BB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top w:val="single" w:color="auto" w:sz="4" w:space="0"/>
              <w:right w:val="single" w:color="auto" w:sz="12" w:space="0"/>
            </w:tcBorders>
            <w:vAlign w:val="center"/>
          </w:tcPr>
          <w:p w14:paraId="25680E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6A948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auto" w:sz="4" w:space="0"/>
              <w:left w:val="single" w:color="auto" w:sz="12" w:space="0"/>
            </w:tcBorders>
            <w:vAlign w:val="center"/>
          </w:tcPr>
          <w:p w14:paraId="051DA12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铊</w:t>
            </w:r>
          </w:p>
        </w:tc>
        <w:tc>
          <w:tcPr>
            <w:tcW w:w="315" w:type="pct"/>
            <w:tcBorders>
              <w:top w:val="single" w:color="auto" w:sz="4" w:space="0"/>
              <w:left w:val="single" w:color="auto" w:sz="4" w:space="0"/>
            </w:tcBorders>
            <w:vAlign w:val="center"/>
          </w:tcPr>
          <w:p w14:paraId="3A22CC4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tcBorders>
              <w:top w:val="single" w:color="auto" w:sz="4" w:space="0"/>
            </w:tcBorders>
            <w:vAlign w:val="center"/>
          </w:tcPr>
          <w:p w14:paraId="1F9BA2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0.00003</w:t>
            </w:r>
          </w:p>
        </w:tc>
        <w:tc>
          <w:tcPr>
            <w:tcW w:w="379" w:type="pct"/>
            <w:tcBorders>
              <w:top w:val="single" w:color="auto" w:sz="4" w:space="0"/>
            </w:tcBorders>
            <w:vAlign w:val="center"/>
          </w:tcPr>
          <w:p w14:paraId="7CE9B3E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379" w:type="pct"/>
            <w:tcBorders>
              <w:top w:val="single" w:color="auto" w:sz="4" w:space="0"/>
            </w:tcBorders>
            <w:vAlign w:val="center"/>
          </w:tcPr>
          <w:p w14:paraId="1D33B6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379" w:type="pct"/>
            <w:tcBorders>
              <w:top w:val="single" w:color="auto" w:sz="4" w:space="0"/>
              <w:right w:val="single" w:color="auto" w:sz="4" w:space="0"/>
            </w:tcBorders>
            <w:vAlign w:val="center"/>
          </w:tcPr>
          <w:p w14:paraId="1E6FC93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0.00003</w:t>
            </w:r>
          </w:p>
        </w:tc>
        <w:tc>
          <w:tcPr>
            <w:tcW w:w="379" w:type="pct"/>
            <w:tcBorders>
              <w:top w:val="single" w:color="auto" w:sz="4" w:space="0"/>
              <w:right w:val="single" w:color="auto" w:sz="4" w:space="0"/>
            </w:tcBorders>
            <w:vAlign w:val="center"/>
          </w:tcPr>
          <w:p w14:paraId="19AB049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379" w:type="pct"/>
            <w:tcBorders>
              <w:top w:val="single" w:color="auto" w:sz="4" w:space="0"/>
              <w:right w:val="single" w:color="auto" w:sz="4" w:space="0"/>
            </w:tcBorders>
            <w:vAlign w:val="center"/>
          </w:tcPr>
          <w:p w14:paraId="01045B2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0.00003</w:t>
            </w:r>
          </w:p>
        </w:tc>
        <w:tc>
          <w:tcPr>
            <w:tcW w:w="379" w:type="pct"/>
            <w:tcBorders>
              <w:top w:val="single" w:color="auto" w:sz="4" w:space="0"/>
              <w:right w:val="single" w:color="auto" w:sz="4" w:space="0"/>
            </w:tcBorders>
            <w:vAlign w:val="center"/>
          </w:tcPr>
          <w:p w14:paraId="4332594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0.00003</w:t>
            </w:r>
          </w:p>
        </w:tc>
        <w:tc>
          <w:tcPr>
            <w:tcW w:w="379" w:type="pct"/>
            <w:tcBorders>
              <w:top w:val="single" w:color="auto" w:sz="4" w:space="0"/>
              <w:right w:val="single" w:color="auto" w:sz="4" w:space="0"/>
            </w:tcBorders>
            <w:vAlign w:val="center"/>
          </w:tcPr>
          <w:p w14:paraId="0D85A68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0.00003</w:t>
            </w:r>
          </w:p>
        </w:tc>
        <w:tc>
          <w:tcPr>
            <w:tcW w:w="362" w:type="pct"/>
            <w:tcBorders>
              <w:top w:val="single" w:color="auto" w:sz="4" w:space="0"/>
              <w:right w:val="single" w:color="auto" w:sz="4" w:space="0"/>
            </w:tcBorders>
            <w:vAlign w:val="center"/>
          </w:tcPr>
          <w:p w14:paraId="44962A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0.00003</w:t>
            </w:r>
          </w:p>
        </w:tc>
        <w:tc>
          <w:tcPr>
            <w:tcW w:w="280" w:type="pct"/>
            <w:tcBorders>
              <w:top w:val="single" w:color="auto" w:sz="4" w:space="0"/>
              <w:right w:val="single" w:color="auto" w:sz="4" w:space="0"/>
            </w:tcBorders>
            <w:vAlign w:val="center"/>
          </w:tcPr>
          <w:p w14:paraId="1A28165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299" w:type="pct"/>
            <w:tcBorders>
              <w:top w:val="single" w:color="auto" w:sz="4" w:space="0"/>
              <w:right w:val="single" w:color="auto" w:sz="4" w:space="0"/>
            </w:tcBorders>
            <w:vAlign w:val="center"/>
          </w:tcPr>
          <w:p w14:paraId="64D0987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top w:val="single" w:color="auto" w:sz="4" w:space="0"/>
              <w:right w:val="single" w:color="auto" w:sz="12" w:space="0"/>
            </w:tcBorders>
            <w:vAlign w:val="center"/>
          </w:tcPr>
          <w:p w14:paraId="1606838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359C2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auto" w:sz="4" w:space="0"/>
              <w:left w:val="single" w:color="auto" w:sz="12" w:space="0"/>
            </w:tcBorders>
            <w:vAlign w:val="center"/>
          </w:tcPr>
          <w:p w14:paraId="7A717B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六价铬</w:t>
            </w:r>
          </w:p>
        </w:tc>
        <w:tc>
          <w:tcPr>
            <w:tcW w:w="315" w:type="pct"/>
            <w:tcBorders>
              <w:top w:val="single" w:color="auto" w:sz="4" w:space="0"/>
              <w:left w:val="single" w:color="auto" w:sz="4" w:space="0"/>
            </w:tcBorders>
            <w:vAlign w:val="center"/>
          </w:tcPr>
          <w:p w14:paraId="54B5A1B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tcBorders>
              <w:top w:val="single" w:color="auto" w:sz="4" w:space="0"/>
            </w:tcBorders>
            <w:vAlign w:val="center"/>
          </w:tcPr>
          <w:p w14:paraId="7E0749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79" w:type="pct"/>
            <w:tcBorders>
              <w:top w:val="single" w:color="auto" w:sz="4" w:space="0"/>
            </w:tcBorders>
            <w:vAlign w:val="center"/>
          </w:tcPr>
          <w:p w14:paraId="669F4A1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79" w:type="pct"/>
            <w:tcBorders>
              <w:top w:val="single" w:color="auto" w:sz="4" w:space="0"/>
            </w:tcBorders>
            <w:vAlign w:val="center"/>
          </w:tcPr>
          <w:p w14:paraId="3E1C12C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79" w:type="pct"/>
            <w:tcBorders>
              <w:top w:val="single" w:color="auto" w:sz="4" w:space="0"/>
              <w:right w:val="single" w:color="auto" w:sz="4" w:space="0"/>
            </w:tcBorders>
            <w:vAlign w:val="center"/>
          </w:tcPr>
          <w:p w14:paraId="02FA67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79" w:type="pct"/>
            <w:tcBorders>
              <w:top w:val="single" w:color="auto" w:sz="4" w:space="0"/>
              <w:right w:val="single" w:color="auto" w:sz="4" w:space="0"/>
            </w:tcBorders>
            <w:vAlign w:val="center"/>
          </w:tcPr>
          <w:p w14:paraId="6533644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79" w:type="pct"/>
            <w:tcBorders>
              <w:top w:val="single" w:color="auto" w:sz="4" w:space="0"/>
              <w:right w:val="single" w:color="auto" w:sz="4" w:space="0"/>
            </w:tcBorders>
            <w:vAlign w:val="center"/>
          </w:tcPr>
          <w:p w14:paraId="559DC3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79" w:type="pct"/>
            <w:tcBorders>
              <w:top w:val="single" w:color="auto" w:sz="4" w:space="0"/>
              <w:right w:val="single" w:color="auto" w:sz="4" w:space="0"/>
            </w:tcBorders>
            <w:vAlign w:val="center"/>
          </w:tcPr>
          <w:p w14:paraId="2FF146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79" w:type="pct"/>
            <w:tcBorders>
              <w:top w:val="single" w:color="auto" w:sz="4" w:space="0"/>
              <w:right w:val="single" w:color="auto" w:sz="4" w:space="0"/>
            </w:tcBorders>
            <w:vAlign w:val="center"/>
          </w:tcPr>
          <w:p w14:paraId="36519D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62" w:type="pct"/>
            <w:tcBorders>
              <w:top w:val="single" w:color="auto" w:sz="4" w:space="0"/>
              <w:right w:val="single" w:color="auto" w:sz="4" w:space="0"/>
            </w:tcBorders>
            <w:vAlign w:val="center"/>
          </w:tcPr>
          <w:p w14:paraId="78990A1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280" w:type="pct"/>
            <w:tcBorders>
              <w:top w:val="single" w:color="auto" w:sz="4" w:space="0"/>
              <w:right w:val="single" w:color="auto" w:sz="4" w:space="0"/>
            </w:tcBorders>
            <w:vAlign w:val="center"/>
          </w:tcPr>
          <w:p w14:paraId="4CAC978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299" w:type="pct"/>
            <w:tcBorders>
              <w:top w:val="single" w:color="auto" w:sz="4" w:space="0"/>
              <w:right w:val="single" w:color="auto" w:sz="4" w:space="0"/>
            </w:tcBorders>
            <w:vAlign w:val="center"/>
          </w:tcPr>
          <w:p w14:paraId="38F4377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top w:val="single" w:color="auto" w:sz="4" w:space="0"/>
              <w:right w:val="single" w:color="auto" w:sz="12" w:space="0"/>
            </w:tcBorders>
            <w:vAlign w:val="center"/>
          </w:tcPr>
          <w:p w14:paraId="59A6F4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6B6DC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auto" w:sz="4" w:space="0"/>
              <w:left w:val="single" w:color="auto" w:sz="12" w:space="0"/>
            </w:tcBorders>
            <w:vAlign w:val="center"/>
          </w:tcPr>
          <w:p w14:paraId="2D996A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粪大肠菌群</w:t>
            </w:r>
          </w:p>
        </w:tc>
        <w:tc>
          <w:tcPr>
            <w:tcW w:w="315" w:type="pct"/>
            <w:tcBorders>
              <w:top w:val="single" w:color="auto" w:sz="4" w:space="0"/>
              <w:left w:val="single" w:color="auto" w:sz="4" w:space="0"/>
            </w:tcBorders>
            <w:vAlign w:val="center"/>
          </w:tcPr>
          <w:p w14:paraId="314ADE2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MPN/L</w:t>
            </w:r>
          </w:p>
        </w:tc>
        <w:tc>
          <w:tcPr>
            <w:tcW w:w="379" w:type="pct"/>
            <w:tcBorders>
              <w:top w:val="single" w:color="auto" w:sz="4" w:space="0"/>
            </w:tcBorders>
            <w:vAlign w:val="center"/>
          </w:tcPr>
          <w:p w14:paraId="68E7841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700</w:t>
            </w:r>
          </w:p>
        </w:tc>
        <w:tc>
          <w:tcPr>
            <w:tcW w:w="379" w:type="pct"/>
            <w:tcBorders>
              <w:top w:val="single" w:color="auto" w:sz="4" w:space="0"/>
            </w:tcBorders>
            <w:vAlign w:val="center"/>
          </w:tcPr>
          <w:p w14:paraId="19E5B8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330</w:t>
            </w:r>
          </w:p>
        </w:tc>
        <w:tc>
          <w:tcPr>
            <w:tcW w:w="379" w:type="pct"/>
            <w:tcBorders>
              <w:top w:val="single" w:color="auto" w:sz="4" w:space="0"/>
            </w:tcBorders>
            <w:vAlign w:val="center"/>
          </w:tcPr>
          <w:p w14:paraId="637447F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470</w:t>
            </w:r>
          </w:p>
        </w:tc>
        <w:tc>
          <w:tcPr>
            <w:tcW w:w="379" w:type="pct"/>
            <w:tcBorders>
              <w:top w:val="single" w:color="auto" w:sz="4" w:space="0"/>
              <w:right w:val="single" w:color="auto" w:sz="4" w:space="0"/>
            </w:tcBorders>
            <w:vAlign w:val="center"/>
          </w:tcPr>
          <w:p w14:paraId="2D3F699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460</w:t>
            </w:r>
          </w:p>
        </w:tc>
        <w:tc>
          <w:tcPr>
            <w:tcW w:w="379" w:type="pct"/>
            <w:tcBorders>
              <w:top w:val="single" w:color="auto" w:sz="4" w:space="0"/>
              <w:right w:val="single" w:color="auto" w:sz="4" w:space="0"/>
            </w:tcBorders>
            <w:vAlign w:val="center"/>
          </w:tcPr>
          <w:p w14:paraId="61D3FD3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490</w:t>
            </w:r>
          </w:p>
        </w:tc>
        <w:tc>
          <w:tcPr>
            <w:tcW w:w="379" w:type="pct"/>
            <w:tcBorders>
              <w:top w:val="single" w:color="auto" w:sz="4" w:space="0"/>
              <w:right w:val="single" w:color="auto" w:sz="4" w:space="0"/>
            </w:tcBorders>
            <w:vAlign w:val="center"/>
          </w:tcPr>
          <w:p w14:paraId="714E01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700</w:t>
            </w:r>
          </w:p>
        </w:tc>
        <w:tc>
          <w:tcPr>
            <w:tcW w:w="379" w:type="pct"/>
            <w:tcBorders>
              <w:top w:val="single" w:color="auto" w:sz="4" w:space="0"/>
              <w:right w:val="single" w:color="auto" w:sz="4" w:space="0"/>
            </w:tcBorders>
            <w:vAlign w:val="center"/>
          </w:tcPr>
          <w:p w14:paraId="391A19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330</w:t>
            </w:r>
          </w:p>
        </w:tc>
        <w:tc>
          <w:tcPr>
            <w:tcW w:w="379" w:type="pct"/>
            <w:tcBorders>
              <w:top w:val="single" w:color="auto" w:sz="4" w:space="0"/>
              <w:right w:val="single" w:color="auto" w:sz="4" w:space="0"/>
            </w:tcBorders>
            <w:vAlign w:val="center"/>
          </w:tcPr>
          <w:p w14:paraId="5286A99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940</w:t>
            </w:r>
          </w:p>
        </w:tc>
        <w:tc>
          <w:tcPr>
            <w:tcW w:w="362" w:type="pct"/>
            <w:tcBorders>
              <w:top w:val="single" w:color="auto" w:sz="4" w:space="0"/>
              <w:right w:val="single" w:color="auto" w:sz="4" w:space="0"/>
            </w:tcBorders>
            <w:vAlign w:val="center"/>
          </w:tcPr>
          <w:p w14:paraId="600EA35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1100</w:t>
            </w:r>
          </w:p>
        </w:tc>
        <w:tc>
          <w:tcPr>
            <w:tcW w:w="280" w:type="pct"/>
            <w:tcBorders>
              <w:top w:val="single" w:color="auto" w:sz="4" w:space="0"/>
              <w:right w:val="single" w:color="auto" w:sz="4" w:space="0"/>
            </w:tcBorders>
            <w:vAlign w:val="center"/>
          </w:tcPr>
          <w:p w14:paraId="30D6BE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10000个/L</w:t>
            </w:r>
          </w:p>
        </w:tc>
        <w:tc>
          <w:tcPr>
            <w:tcW w:w="299" w:type="pct"/>
            <w:tcBorders>
              <w:top w:val="single" w:color="auto" w:sz="4" w:space="0"/>
              <w:right w:val="single" w:color="auto" w:sz="4" w:space="0"/>
            </w:tcBorders>
            <w:vAlign w:val="center"/>
          </w:tcPr>
          <w:p w14:paraId="5DE005F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267" w:type="pct"/>
            <w:tcBorders>
              <w:top w:val="single" w:color="auto" w:sz="4" w:space="0"/>
              <w:right w:val="single" w:color="auto" w:sz="12" w:space="0"/>
            </w:tcBorders>
            <w:vAlign w:val="center"/>
          </w:tcPr>
          <w:p w14:paraId="6555804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0B63F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45" w:type="pct"/>
            <w:tcBorders>
              <w:top w:val="single" w:color="auto" w:sz="4" w:space="0"/>
              <w:left w:val="single" w:color="auto" w:sz="12" w:space="0"/>
              <w:bottom w:val="single" w:color="auto" w:sz="12" w:space="0"/>
            </w:tcBorders>
            <w:vAlign w:val="center"/>
          </w:tcPr>
          <w:p w14:paraId="519356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氯乙烯</w:t>
            </w:r>
          </w:p>
        </w:tc>
        <w:tc>
          <w:tcPr>
            <w:tcW w:w="315" w:type="pct"/>
            <w:tcBorders>
              <w:top w:val="single" w:color="auto" w:sz="4" w:space="0"/>
              <w:left w:val="single" w:color="auto" w:sz="4" w:space="0"/>
              <w:bottom w:val="single" w:color="auto" w:sz="12" w:space="0"/>
            </w:tcBorders>
            <w:vAlign w:val="center"/>
          </w:tcPr>
          <w:p w14:paraId="00A4A0D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79" w:type="pct"/>
            <w:tcBorders>
              <w:top w:val="single" w:color="auto" w:sz="4" w:space="0"/>
              <w:bottom w:val="single" w:color="auto" w:sz="12" w:space="0"/>
            </w:tcBorders>
            <w:vAlign w:val="center"/>
          </w:tcPr>
          <w:p w14:paraId="6CE63F5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79" w:type="pct"/>
            <w:tcBorders>
              <w:top w:val="single" w:color="auto" w:sz="4" w:space="0"/>
              <w:bottom w:val="single" w:color="auto" w:sz="12" w:space="0"/>
            </w:tcBorders>
            <w:vAlign w:val="center"/>
          </w:tcPr>
          <w:p w14:paraId="0E17448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79" w:type="pct"/>
            <w:tcBorders>
              <w:top w:val="single" w:color="auto" w:sz="4" w:space="0"/>
              <w:bottom w:val="single" w:color="auto" w:sz="12" w:space="0"/>
            </w:tcBorders>
            <w:vAlign w:val="center"/>
          </w:tcPr>
          <w:p w14:paraId="0538C8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79" w:type="pct"/>
            <w:tcBorders>
              <w:top w:val="single" w:color="auto" w:sz="4" w:space="0"/>
              <w:bottom w:val="single" w:color="auto" w:sz="12" w:space="0"/>
              <w:right w:val="single" w:color="auto" w:sz="4" w:space="0"/>
            </w:tcBorders>
            <w:vAlign w:val="center"/>
          </w:tcPr>
          <w:p w14:paraId="440C04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79" w:type="pct"/>
            <w:tcBorders>
              <w:top w:val="single" w:color="auto" w:sz="4" w:space="0"/>
              <w:bottom w:val="single" w:color="auto" w:sz="12" w:space="0"/>
              <w:right w:val="single" w:color="auto" w:sz="4" w:space="0"/>
            </w:tcBorders>
            <w:vAlign w:val="center"/>
          </w:tcPr>
          <w:p w14:paraId="15FDC6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79" w:type="pct"/>
            <w:tcBorders>
              <w:top w:val="single" w:color="auto" w:sz="4" w:space="0"/>
              <w:bottom w:val="single" w:color="auto" w:sz="12" w:space="0"/>
              <w:right w:val="single" w:color="auto" w:sz="4" w:space="0"/>
            </w:tcBorders>
            <w:vAlign w:val="center"/>
          </w:tcPr>
          <w:p w14:paraId="1259BEB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79" w:type="pct"/>
            <w:tcBorders>
              <w:top w:val="single" w:color="auto" w:sz="4" w:space="0"/>
              <w:bottom w:val="single" w:color="auto" w:sz="12" w:space="0"/>
              <w:right w:val="single" w:color="auto" w:sz="4" w:space="0"/>
            </w:tcBorders>
            <w:vAlign w:val="center"/>
          </w:tcPr>
          <w:p w14:paraId="15AF2E5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79" w:type="pct"/>
            <w:tcBorders>
              <w:top w:val="single" w:color="auto" w:sz="4" w:space="0"/>
              <w:bottom w:val="single" w:color="auto" w:sz="12" w:space="0"/>
              <w:right w:val="single" w:color="auto" w:sz="4" w:space="0"/>
            </w:tcBorders>
            <w:vAlign w:val="center"/>
          </w:tcPr>
          <w:p w14:paraId="10FB4DF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62" w:type="pct"/>
            <w:tcBorders>
              <w:top w:val="single" w:color="auto" w:sz="4" w:space="0"/>
              <w:bottom w:val="single" w:color="auto" w:sz="12" w:space="0"/>
              <w:right w:val="single" w:color="auto" w:sz="4" w:space="0"/>
            </w:tcBorders>
            <w:vAlign w:val="center"/>
          </w:tcPr>
          <w:p w14:paraId="71BD7E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280" w:type="pct"/>
            <w:tcBorders>
              <w:top w:val="single" w:color="auto" w:sz="4" w:space="0"/>
              <w:bottom w:val="single" w:color="auto" w:sz="12" w:space="0"/>
              <w:right w:val="single" w:color="auto" w:sz="4" w:space="0"/>
            </w:tcBorders>
            <w:vAlign w:val="center"/>
          </w:tcPr>
          <w:p w14:paraId="2863CFB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299" w:type="pct"/>
            <w:tcBorders>
              <w:top w:val="single" w:color="auto" w:sz="4" w:space="0"/>
              <w:bottom w:val="single" w:color="auto" w:sz="12" w:space="0"/>
              <w:right w:val="single" w:color="auto" w:sz="4" w:space="0"/>
            </w:tcBorders>
            <w:vAlign w:val="center"/>
          </w:tcPr>
          <w:p w14:paraId="7967E44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67" w:type="pct"/>
            <w:tcBorders>
              <w:top w:val="single" w:color="auto" w:sz="4" w:space="0"/>
              <w:bottom w:val="single" w:color="auto" w:sz="12" w:space="0"/>
              <w:right w:val="single" w:color="auto" w:sz="12" w:space="0"/>
            </w:tcBorders>
            <w:vAlign w:val="center"/>
          </w:tcPr>
          <w:p w14:paraId="36D1034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bl>
    <w:p w14:paraId="4979C44A">
      <w:pPr>
        <w:pStyle w:val="28"/>
        <w:rPr>
          <w:rFonts w:hint="default" w:ascii="Times New Roman" w:hAnsi="Times New Roman" w:eastAsia="宋体" w:cs="Times New Roman"/>
          <w:color w:val="auto"/>
          <w:sz w:val="21"/>
          <w:szCs w:val="21"/>
          <w:highlight w:val="none"/>
          <w:u w:val="none" w:color="auto"/>
        </w:rPr>
        <w:sectPr>
          <w:pgSz w:w="16838" w:h="11906" w:orient="landscape"/>
          <w:pgMar w:top="1440" w:right="1502" w:bottom="1440" w:left="1502" w:header="851" w:footer="680" w:gutter="0"/>
          <w:pgBorders>
            <w:top w:val="none" w:sz="0" w:space="0"/>
            <w:left w:val="none" w:sz="0" w:space="0"/>
            <w:bottom w:val="none" w:sz="0" w:space="0"/>
            <w:right w:val="none" w:sz="0" w:space="0"/>
          </w:pgBorders>
          <w:cols w:space="0" w:num="1"/>
          <w:docGrid w:type="lines" w:linePitch="326" w:charSpace="0"/>
        </w:sectPr>
      </w:pPr>
    </w:p>
    <w:p w14:paraId="0F278290">
      <w:pPr>
        <w:pStyle w:val="13"/>
        <w:jc w:val="center"/>
        <w:rPr>
          <w:rFonts w:hint="default" w:ascii="Times New Roman" w:hAnsi="Times New Roman" w:eastAsia="宋体" w:cs="Times New Roman"/>
          <w:b/>
          <w:bCs/>
          <w:i w:val="0"/>
          <w:iCs w:val="0"/>
          <w:color w:val="auto"/>
          <w:sz w:val="21"/>
          <w:szCs w:val="21"/>
          <w:highlight w:val="none"/>
          <w:u w:val="none" w:color="auto"/>
          <w:lang w:val="en-US" w:eastAsia="zh-CN"/>
        </w:rPr>
      </w:pPr>
      <w:r>
        <w:rPr>
          <w:rFonts w:hint="default" w:ascii="Times New Roman" w:hAnsi="Times New Roman" w:eastAsia="宋体" w:cs="Times New Roman"/>
          <w:b/>
          <w:bCs/>
          <w:i w:val="0"/>
          <w:iCs w:val="0"/>
          <w:color w:val="auto"/>
          <w:sz w:val="21"/>
          <w:szCs w:val="21"/>
          <w:highlight w:val="none"/>
          <w:u w:val="none" w:color="auto"/>
          <w:lang w:val="en-US" w:eastAsia="zh-CN"/>
        </w:rPr>
        <w:t>表6.2-2（7）  地表水监测与评价结果一览表（W7湘江栗山港汇入口上游1500m处）</w:t>
      </w:r>
    </w:p>
    <w:tbl>
      <w:tblPr>
        <w:tblStyle w:val="22"/>
        <w:tblW w:w="503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840"/>
        <w:gridCol w:w="1092"/>
        <w:gridCol w:w="1093"/>
        <w:gridCol w:w="1093"/>
        <w:gridCol w:w="1093"/>
        <w:gridCol w:w="1093"/>
        <w:gridCol w:w="1093"/>
        <w:gridCol w:w="1093"/>
        <w:gridCol w:w="1093"/>
        <w:gridCol w:w="1101"/>
        <w:gridCol w:w="841"/>
        <w:gridCol w:w="844"/>
        <w:gridCol w:w="697"/>
      </w:tblGrid>
      <w:tr w14:paraId="1914570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385" w:type="pct"/>
            <w:vMerge w:val="restart"/>
            <w:tcBorders>
              <w:top w:val="single" w:color="auto" w:sz="12" w:space="0"/>
              <w:left w:val="single" w:color="auto" w:sz="12" w:space="0"/>
            </w:tcBorders>
            <w:vAlign w:val="center"/>
          </w:tcPr>
          <w:p w14:paraId="14A550F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监测项目</w:t>
            </w:r>
          </w:p>
        </w:tc>
        <w:tc>
          <w:tcPr>
            <w:tcW w:w="297" w:type="pct"/>
            <w:vMerge w:val="restart"/>
            <w:tcBorders>
              <w:top w:val="single" w:color="auto" w:sz="12" w:space="0"/>
              <w:left w:val="single" w:color="auto" w:sz="4" w:space="0"/>
            </w:tcBorders>
            <w:vAlign w:val="center"/>
          </w:tcPr>
          <w:p w14:paraId="610DD0E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单位</w:t>
            </w:r>
          </w:p>
        </w:tc>
        <w:tc>
          <w:tcPr>
            <w:tcW w:w="3477" w:type="pct"/>
            <w:gridSpan w:val="9"/>
            <w:tcBorders>
              <w:top w:val="single" w:color="auto" w:sz="12" w:space="0"/>
              <w:right w:val="single" w:color="auto" w:sz="4" w:space="0"/>
            </w:tcBorders>
            <w:vAlign w:val="center"/>
          </w:tcPr>
          <w:p w14:paraId="50853E7C">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监测时间及监测结果</w:t>
            </w:r>
          </w:p>
        </w:tc>
        <w:tc>
          <w:tcPr>
            <w:tcW w:w="297" w:type="pct"/>
            <w:vMerge w:val="restart"/>
            <w:tcBorders>
              <w:top w:val="single" w:color="auto" w:sz="12" w:space="0"/>
              <w:right w:val="single" w:color="auto" w:sz="4" w:space="0"/>
            </w:tcBorders>
            <w:vAlign w:val="center"/>
          </w:tcPr>
          <w:p w14:paraId="2B68D29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执行标准</w:t>
            </w:r>
          </w:p>
        </w:tc>
        <w:tc>
          <w:tcPr>
            <w:tcW w:w="298" w:type="pct"/>
            <w:vMerge w:val="restart"/>
            <w:tcBorders>
              <w:top w:val="single" w:color="auto" w:sz="12" w:space="0"/>
              <w:right w:val="single" w:color="auto" w:sz="4" w:space="0"/>
            </w:tcBorders>
            <w:vAlign w:val="center"/>
          </w:tcPr>
          <w:p w14:paraId="772D598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超标率（%）</w:t>
            </w:r>
          </w:p>
        </w:tc>
        <w:tc>
          <w:tcPr>
            <w:tcW w:w="247" w:type="pct"/>
            <w:vMerge w:val="restart"/>
            <w:tcBorders>
              <w:top w:val="single" w:color="auto" w:sz="12" w:space="0"/>
              <w:right w:val="single" w:color="auto" w:sz="12" w:space="0"/>
            </w:tcBorders>
            <w:vAlign w:val="center"/>
          </w:tcPr>
          <w:p w14:paraId="4063B87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最大超标倍数</w:t>
            </w:r>
          </w:p>
        </w:tc>
      </w:tr>
      <w:tr w14:paraId="2974B6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385" w:type="pct"/>
            <w:vMerge w:val="continue"/>
            <w:tcBorders>
              <w:left w:val="single" w:color="auto" w:sz="12" w:space="0"/>
            </w:tcBorders>
            <w:vAlign w:val="center"/>
          </w:tcPr>
          <w:p w14:paraId="2A4502C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97" w:type="pct"/>
            <w:vMerge w:val="continue"/>
            <w:tcBorders>
              <w:left w:val="single" w:color="auto" w:sz="4" w:space="0"/>
            </w:tcBorders>
            <w:vAlign w:val="center"/>
          </w:tcPr>
          <w:p w14:paraId="409E743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1158" w:type="pct"/>
            <w:gridSpan w:val="3"/>
            <w:tcBorders>
              <w:top w:val="single" w:color="auto" w:sz="4" w:space="0"/>
            </w:tcBorders>
            <w:vAlign w:val="center"/>
          </w:tcPr>
          <w:p w14:paraId="18D5BC1B">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2021年7月7日</w:t>
            </w:r>
          </w:p>
        </w:tc>
        <w:tc>
          <w:tcPr>
            <w:tcW w:w="1158" w:type="pct"/>
            <w:gridSpan w:val="3"/>
            <w:tcBorders>
              <w:top w:val="single" w:color="auto" w:sz="4" w:space="0"/>
              <w:right w:val="single" w:color="auto" w:sz="4" w:space="0"/>
            </w:tcBorders>
            <w:vAlign w:val="center"/>
          </w:tcPr>
          <w:p w14:paraId="01EB8D7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2021年7月8日</w:t>
            </w:r>
          </w:p>
        </w:tc>
        <w:tc>
          <w:tcPr>
            <w:tcW w:w="1160" w:type="pct"/>
            <w:gridSpan w:val="3"/>
            <w:tcBorders>
              <w:top w:val="single" w:color="auto" w:sz="4" w:space="0"/>
              <w:right w:val="single" w:color="auto" w:sz="4" w:space="0"/>
            </w:tcBorders>
            <w:vAlign w:val="center"/>
          </w:tcPr>
          <w:p w14:paraId="48FE163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2021年7月9日</w:t>
            </w:r>
          </w:p>
        </w:tc>
        <w:tc>
          <w:tcPr>
            <w:tcW w:w="297" w:type="pct"/>
            <w:vMerge w:val="continue"/>
            <w:tcBorders>
              <w:right w:val="single" w:color="auto" w:sz="4" w:space="0"/>
            </w:tcBorders>
            <w:vAlign w:val="center"/>
          </w:tcPr>
          <w:p w14:paraId="7CA276A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98" w:type="pct"/>
            <w:vMerge w:val="continue"/>
            <w:tcBorders>
              <w:right w:val="single" w:color="auto" w:sz="4" w:space="0"/>
            </w:tcBorders>
            <w:vAlign w:val="center"/>
          </w:tcPr>
          <w:p w14:paraId="3FFCF04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47" w:type="pct"/>
            <w:vMerge w:val="continue"/>
            <w:tcBorders>
              <w:right w:val="single" w:color="auto" w:sz="12" w:space="0"/>
            </w:tcBorders>
            <w:vAlign w:val="center"/>
          </w:tcPr>
          <w:p w14:paraId="48B5371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711AF0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385" w:type="pct"/>
            <w:vMerge w:val="continue"/>
            <w:tcBorders>
              <w:left w:val="single" w:color="auto" w:sz="12" w:space="0"/>
            </w:tcBorders>
            <w:vAlign w:val="center"/>
          </w:tcPr>
          <w:p w14:paraId="1090D0B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97" w:type="pct"/>
            <w:vMerge w:val="continue"/>
            <w:tcBorders>
              <w:left w:val="single" w:color="auto" w:sz="4" w:space="0"/>
            </w:tcBorders>
            <w:vAlign w:val="center"/>
          </w:tcPr>
          <w:p w14:paraId="326E7D6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86" w:type="pct"/>
            <w:tcBorders>
              <w:top w:val="single" w:color="auto" w:sz="4" w:space="0"/>
            </w:tcBorders>
            <w:vAlign w:val="center"/>
          </w:tcPr>
          <w:p w14:paraId="4F620CB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左</w:t>
            </w:r>
          </w:p>
        </w:tc>
        <w:tc>
          <w:tcPr>
            <w:tcW w:w="386" w:type="pct"/>
            <w:tcBorders>
              <w:top w:val="single" w:color="auto" w:sz="4" w:space="0"/>
            </w:tcBorders>
            <w:vAlign w:val="center"/>
          </w:tcPr>
          <w:p w14:paraId="46E0143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中</w:t>
            </w:r>
          </w:p>
        </w:tc>
        <w:tc>
          <w:tcPr>
            <w:tcW w:w="386" w:type="pct"/>
            <w:tcBorders>
              <w:top w:val="single" w:color="auto" w:sz="4" w:space="0"/>
            </w:tcBorders>
            <w:vAlign w:val="center"/>
          </w:tcPr>
          <w:p w14:paraId="6264B0C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右</w:t>
            </w:r>
          </w:p>
        </w:tc>
        <w:tc>
          <w:tcPr>
            <w:tcW w:w="386" w:type="pct"/>
            <w:tcBorders>
              <w:top w:val="single" w:color="auto" w:sz="4" w:space="0"/>
              <w:right w:val="single" w:color="auto" w:sz="4" w:space="0"/>
            </w:tcBorders>
            <w:vAlign w:val="center"/>
          </w:tcPr>
          <w:p w14:paraId="4979CE0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左</w:t>
            </w:r>
          </w:p>
        </w:tc>
        <w:tc>
          <w:tcPr>
            <w:tcW w:w="386" w:type="pct"/>
            <w:tcBorders>
              <w:top w:val="single" w:color="auto" w:sz="4" w:space="0"/>
              <w:right w:val="single" w:color="auto" w:sz="4" w:space="0"/>
            </w:tcBorders>
            <w:vAlign w:val="center"/>
          </w:tcPr>
          <w:p w14:paraId="40FA9D8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中</w:t>
            </w:r>
          </w:p>
        </w:tc>
        <w:tc>
          <w:tcPr>
            <w:tcW w:w="386" w:type="pct"/>
            <w:tcBorders>
              <w:top w:val="single" w:color="auto" w:sz="4" w:space="0"/>
              <w:right w:val="single" w:color="auto" w:sz="4" w:space="0"/>
            </w:tcBorders>
            <w:vAlign w:val="center"/>
          </w:tcPr>
          <w:p w14:paraId="43EE9BA0">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右</w:t>
            </w:r>
          </w:p>
        </w:tc>
        <w:tc>
          <w:tcPr>
            <w:tcW w:w="386" w:type="pct"/>
            <w:tcBorders>
              <w:top w:val="single" w:color="auto" w:sz="4" w:space="0"/>
              <w:right w:val="single" w:color="auto" w:sz="4" w:space="0"/>
            </w:tcBorders>
            <w:vAlign w:val="center"/>
          </w:tcPr>
          <w:p w14:paraId="7BED244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左</w:t>
            </w:r>
          </w:p>
        </w:tc>
        <w:tc>
          <w:tcPr>
            <w:tcW w:w="386" w:type="pct"/>
            <w:tcBorders>
              <w:top w:val="single" w:color="auto" w:sz="4" w:space="0"/>
              <w:right w:val="single" w:color="auto" w:sz="4" w:space="0"/>
            </w:tcBorders>
            <w:vAlign w:val="center"/>
          </w:tcPr>
          <w:p w14:paraId="097B785F">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中</w:t>
            </w:r>
          </w:p>
        </w:tc>
        <w:tc>
          <w:tcPr>
            <w:tcW w:w="388" w:type="pct"/>
            <w:tcBorders>
              <w:top w:val="single" w:color="auto" w:sz="4" w:space="0"/>
              <w:right w:val="single" w:color="auto" w:sz="4" w:space="0"/>
            </w:tcBorders>
            <w:vAlign w:val="center"/>
          </w:tcPr>
          <w:p w14:paraId="1E53786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右</w:t>
            </w:r>
          </w:p>
        </w:tc>
        <w:tc>
          <w:tcPr>
            <w:tcW w:w="297" w:type="pct"/>
            <w:vMerge w:val="continue"/>
            <w:tcBorders>
              <w:right w:val="single" w:color="auto" w:sz="4" w:space="0"/>
            </w:tcBorders>
            <w:vAlign w:val="center"/>
          </w:tcPr>
          <w:p w14:paraId="676EF3B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98" w:type="pct"/>
            <w:vMerge w:val="continue"/>
            <w:tcBorders>
              <w:right w:val="single" w:color="auto" w:sz="4" w:space="0"/>
            </w:tcBorders>
            <w:vAlign w:val="center"/>
          </w:tcPr>
          <w:p w14:paraId="6EF444B8">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247" w:type="pct"/>
            <w:vMerge w:val="continue"/>
            <w:tcBorders>
              <w:right w:val="single" w:color="auto" w:sz="12" w:space="0"/>
            </w:tcBorders>
            <w:vAlign w:val="center"/>
          </w:tcPr>
          <w:p w14:paraId="464814E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45F19A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tcBorders>
            <w:vAlign w:val="center"/>
          </w:tcPr>
          <w:p w14:paraId="268FA63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pH</w:t>
            </w:r>
          </w:p>
        </w:tc>
        <w:tc>
          <w:tcPr>
            <w:tcW w:w="297" w:type="pct"/>
            <w:tcBorders>
              <w:left w:val="single" w:color="auto" w:sz="4" w:space="0"/>
            </w:tcBorders>
            <w:vAlign w:val="center"/>
          </w:tcPr>
          <w:p w14:paraId="56D994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无量纲</w:t>
            </w:r>
          </w:p>
        </w:tc>
        <w:tc>
          <w:tcPr>
            <w:tcW w:w="386" w:type="pct"/>
            <w:vAlign w:val="center"/>
          </w:tcPr>
          <w:p w14:paraId="48604E1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8.32</w:t>
            </w:r>
          </w:p>
        </w:tc>
        <w:tc>
          <w:tcPr>
            <w:tcW w:w="386" w:type="pct"/>
            <w:vAlign w:val="center"/>
          </w:tcPr>
          <w:p w14:paraId="31E13EB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8.30</w:t>
            </w:r>
          </w:p>
        </w:tc>
        <w:tc>
          <w:tcPr>
            <w:tcW w:w="386" w:type="pct"/>
            <w:vAlign w:val="center"/>
          </w:tcPr>
          <w:p w14:paraId="4163A4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8.18</w:t>
            </w:r>
          </w:p>
        </w:tc>
        <w:tc>
          <w:tcPr>
            <w:tcW w:w="386" w:type="pct"/>
            <w:tcBorders>
              <w:right w:val="single" w:color="auto" w:sz="4" w:space="0"/>
            </w:tcBorders>
            <w:vAlign w:val="center"/>
          </w:tcPr>
          <w:p w14:paraId="2D296A9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8.01</w:t>
            </w:r>
          </w:p>
        </w:tc>
        <w:tc>
          <w:tcPr>
            <w:tcW w:w="386" w:type="pct"/>
            <w:tcBorders>
              <w:right w:val="single" w:color="auto" w:sz="4" w:space="0"/>
            </w:tcBorders>
            <w:vAlign w:val="center"/>
          </w:tcPr>
          <w:p w14:paraId="60876D3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8.04</w:t>
            </w:r>
          </w:p>
        </w:tc>
        <w:tc>
          <w:tcPr>
            <w:tcW w:w="386" w:type="pct"/>
            <w:tcBorders>
              <w:right w:val="single" w:color="auto" w:sz="4" w:space="0"/>
            </w:tcBorders>
            <w:vAlign w:val="center"/>
          </w:tcPr>
          <w:p w14:paraId="5B9BE9A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8.04</w:t>
            </w:r>
          </w:p>
        </w:tc>
        <w:tc>
          <w:tcPr>
            <w:tcW w:w="386" w:type="pct"/>
            <w:tcBorders>
              <w:right w:val="single" w:color="auto" w:sz="4" w:space="0"/>
            </w:tcBorders>
            <w:vAlign w:val="center"/>
          </w:tcPr>
          <w:p w14:paraId="73BDCDA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8.05</w:t>
            </w:r>
          </w:p>
        </w:tc>
        <w:tc>
          <w:tcPr>
            <w:tcW w:w="386" w:type="pct"/>
            <w:tcBorders>
              <w:right w:val="single" w:color="auto" w:sz="4" w:space="0"/>
            </w:tcBorders>
            <w:vAlign w:val="center"/>
          </w:tcPr>
          <w:p w14:paraId="35901A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8.03</w:t>
            </w:r>
          </w:p>
        </w:tc>
        <w:tc>
          <w:tcPr>
            <w:tcW w:w="388" w:type="pct"/>
            <w:tcBorders>
              <w:right w:val="single" w:color="auto" w:sz="4" w:space="0"/>
            </w:tcBorders>
            <w:vAlign w:val="center"/>
          </w:tcPr>
          <w:p w14:paraId="0F7DE0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8.04</w:t>
            </w:r>
          </w:p>
        </w:tc>
        <w:tc>
          <w:tcPr>
            <w:tcW w:w="297" w:type="pct"/>
            <w:tcBorders>
              <w:right w:val="single" w:color="auto" w:sz="4" w:space="0"/>
            </w:tcBorders>
            <w:vAlign w:val="center"/>
          </w:tcPr>
          <w:p w14:paraId="4AC599C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298" w:type="pct"/>
            <w:tcBorders>
              <w:right w:val="single" w:color="auto" w:sz="4" w:space="0"/>
            </w:tcBorders>
            <w:vAlign w:val="center"/>
          </w:tcPr>
          <w:p w14:paraId="4A1B24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12FE4B3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490E7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tcBorders>
            <w:vAlign w:val="center"/>
          </w:tcPr>
          <w:p w14:paraId="76816F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溶解氧</w:t>
            </w:r>
          </w:p>
        </w:tc>
        <w:tc>
          <w:tcPr>
            <w:tcW w:w="297" w:type="pct"/>
            <w:tcBorders>
              <w:left w:val="single" w:color="auto" w:sz="4" w:space="0"/>
            </w:tcBorders>
            <w:vAlign w:val="center"/>
          </w:tcPr>
          <w:p w14:paraId="74637A4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61D6148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7.1</w:t>
            </w:r>
          </w:p>
        </w:tc>
        <w:tc>
          <w:tcPr>
            <w:tcW w:w="386" w:type="pct"/>
            <w:vAlign w:val="center"/>
          </w:tcPr>
          <w:p w14:paraId="088781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6.5</w:t>
            </w:r>
          </w:p>
        </w:tc>
        <w:tc>
          <w:tcPr>
            <w:tcW w:w="386" w:type="pct"/>
            <w:vAlign w:val="center"/>
          </w:tcPr>
          <w:p w14:paraId="66BA8A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w:t>
            </w:r>
          </w:p>
        </w:tc>
        <w:tc>
          <w:tcPr>
            <w:tcW w:w="386" w:type="pct"/>
            <w:tcBorders>
              <w:right w:val="single" w:color="auto" w:sz="4" w:space="0"/>
            </w:tcBorders>
            <w:vAlign w:val="center"/>
          </w:tcPr>
          <w:p w14:paraId="40CCB16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5.9</w:t>
            </w:r>
          </w:p>
        </w:tc>
        <w:tc>
          <w:tcPr>
            <w:tcW w:w="386" w:type="pct"/>
            <w:tcBorders>
              <w:right w:val="single" w:color="auto" w:sz="4" w:space="0"/>
            </w:tcBorders>
            <w:vAlign w:val="center"/>
          </w:tcPr>
          <w:p w14:paraId="2CE5D93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6.6</w:t>
            </w:r>
          </w:p>
        </w:tc>
        <w:tc>
          <w:tcPr>
            <w:tcW w:w="386" w:type="pct"/>
            <w:tcBorders>
              <w:right w:val="single" w:color="auto" w:sz="4" w:space="0"/>
            </w:tcBorders>
            <w:vAlign w:val="center"/>
          </w:tcPr>
          <w:p w14:paraId="7D91DB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6.7</w:t>
            </w:r>
          </w:p>
        </w:tc>
        <w:tc>
          <w:tcPr>
            <w:tcW w:w="386" w:type="pct"/>
            <w:tcBorders>
              <w:right w:val="single" w:color="auto" w:sz="4" w:space="0"/>
            </w:tcBorders>
            <w:vAlign w:val="center"/>
          </w:tcPr>
          <w:p w14:paraId="6665188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6.6</w:t>
            </w:r>
          </w:p>
        </w:tc>
        <w:tc>
          <w:tcPr>
            <w:tcW w:w="386" w:type="pct"/>
            <w:tcBorders>
              <w:right w:val="single" w:color="auto" w:sz="4" w:space="0"/>
            </w:tcBorders>
            <w:vAlign w:val="center"/>
          </w:tcPr>
          <w:p w14:paraId="0BF6074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7.9</w:t>
            </w:r>
          </w:p>
        </w:tc>
        <w:tc>
          <w:tcPr>
            <w:tcW w:w="388" w:type="pct"/>
            <w:tcBorders>
              <w:right w:val="single" w:color="auto" w:sz="4" w:space="0"/>
            </w:tcBorders>
            <w:vAlign w:val="center"/>
          </w:tcPr>
          <w:p w14:paraId="32B0646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6.7</w:t>
            </w:r>
          </w:p>
        </w:tc>
        <w:tc>
          <w:tcPr>
            <w:tcW w:w="297" w:type="pct"/>
            <w:tcBorders>
              <w:right w:val="single" w:color="auto" w:sz="4" w:space="0"/>
            </w:tcBorders>
            <w:vAlign w:val="center"/>
          </w:tcPr>
          <w:p w14:paraId="476E3A0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298" w:type="pct"/>
            <w:tcBorders>
              <w:right w:val="single" w:color="auto" w:sz="4" w:space="0"/>
            </w:tcBorders>
            <w:vAlign w:val="center"/>
          </w:tcPr>
          <w:p w14:paraId="492153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18CB233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4447A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bottom w:val="single" w:color="000000" w:sz="4" w:space="0"/>
            </w:tcBorders>
            <w:vAlign w:val="center"/>
          </w:tcPr>
          <w:p w14:paraId="0B7CD9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297" w:type="pct"/>
            <w:tcBorders>
              <w:left w:val="single" w:color="auto" w:sz="4" w:space="0"/>
              <w:bottom w:val="single" w:color="000000" w:sz="4" w:space="0"/>
            </w:tcBorders>
            <w:vAlign w:val="center"/>
          </w:tcPr>
          <w:p w14:paraId="5F7BCF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0352CD7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w:t>
            </w:r>
          </w:p>
        </w:tc>
        <w:tc>
          <w:tcPr>
            <w:tcW w:w="386" w:type="pct"/>
            <w:vAlign w:val="center"/>
          </w:tcPr>
          <w:p w14:paraId="6650A8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w:t>
            </w:r>
          </w:p>
        </w:tc>
        <w:tc>
          <w:tcPr>
            <w:tcW w:w="386" w:type="pct"/>
            <w:vAlign w:val="center"/>
          </w:tcPr>
          <w:p w14:paraId="62C1590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6" w:type="pct"/>
            <w:tcBorders>
              <w:right w:val="single" w:color="auto" w:sz="4" w:space="0"/>
            </w:tcBorders>
            <w:vAlign w:val="center"/>
          </w:tcPr>
          <w:p w14:paraId="78C7DB6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386" w:type="pct"/>
            <w:tcBorders>
              <w:right w:val="single" w:color="auto" w:sz="4" w:space="0"/>
            </w:tcBorders>
            <w:vAlign w:val="center"/>
          </w:tcPr>
          <w:p w14:paraId="6D3023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386" w:type="pct"/>
            <w:tcBorders>
              <w:right w:val="single" w:color="auto" w:sz="4" w:space="0"/>
            </w:tcBorders>
            <w:vAlign w:val="center"/>
          </w:tcPr>
          <w:p w14:paraId="30850E4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386" w:type="pct"/>
            <w:tcBorders>
              <w:right w:val="single" w:color="auto" w:sz="4" w:space="0"/>
            </w:tcBorders>
            <w:vAlign w:val="center"/>
          </w:tcPr>
          <w:p w14:paraId="6A8827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w:t>
            </w:r>
          </w:p>
        </w:tc>
        <w:tc>
          <w:tcPr>
            <w:tcW w:w="386" w:type="pct"/>
            <w:tcBorders>
              <w:right w:val="single" w:color="auto" w:sz="4" w:space="0"/>
            </w:tcBorders>
            <w:vAlign w:val="center"/>
          </w:tcPr>
          <w:p w14:paraId="770FB4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388" w:type="pct"/>
            <w:tcBorders>
              <w:right w:val="single" w:color="auto" w:sz="4" w:space="0"/>
            </w:tcBorders>
            <w:vAlign w:val="center"/>
          </w:tcPr>
          <w:p w14:paraId="42E47C7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297" w:type="pct"/>
            <w:tcBorders>
              <w:right w:val="single" w:color="auto" w:sz="4" w:space="0"/>
            </w:tcBorders>
            <w:vAlign w:val="center"/>
          </w:tcPr>
          <w:p w14:paraId="5E06949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298" w:type="pct"/>
            <w:tcBorders>
              <w:right w:val="single" w:color="auto" w:sz="4" w:space="0"/>
            </w:tcBorders>
            <w:vAlign w:val="center"/>
          </w:tcPr>
          <w:p w14:paraId="536033E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2D1C19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D2296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000000" w:sz="4" w:space="0"/>
              <w:left w:val="single" w:color="auto" w:sz="12" w:space="0"/>
            </w:tcBorders>
            <w:vAlign w:val="center"/>
          </w:tcPr>
          <w:p w14:paraId="510B907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五日生化需氧量</w:t>
            </w:r>
          </w:p>
        </w:tc>
        <w:tc>
          <w:tcPr>
            <w:tcW w:w="297" w:type="pct"/>
            <w:tcBorders>
              <w:top w:val="single" w:color="000000" w:sz="4" w:space="0"/>
              <w:left w:val="single" w:color="auto" w:sz="4" w:space="0"/>
            </w:tcBorders>
            <w:vAlign w:val="center"/>
          </w:tcPr>
          <w:p w14:paraId="254D7A0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4B88C21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w:t>
            </w:r>
          </w:p>
        </w:tc>
        <w:tc>
          <w:tcPr>
            <w:tcW w:w="386" w:type="pct"/>
            <w:vAlign w:val="center"/>
          </w:tcPr>
          <w:p w14:paraId="0DB600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0.8</w:t>
            </w:r>
          </w:p>
        </w:tc>
        <w:tc>
          <w:tcPr>
            <w:tcW w:w="386" w:type="pct"/>
            <w:vAlign w:val="center"/>
          </w:tcPr>
          <w:p w14:paraId="096DF4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386" w:type="pct"/>
            <w:tcBorders>
              <w:right w:val="single" w:color="auto" w:sz="4" w:space="0"/>
            </w:tcBorders>
            <w:vAlign w:val="center"/>
          </w:tcPr>
          <w:p w14:paraId="1B3D21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0.6</w:t>
            </w:r>
          </w:p>
        </w:tc>
        <w:tc>
          <w:tcPr>
            <w:tcW w:w="386" w:type="pct"/>
            <w:tcBorders>
              <w:right w:val="single" w:color="auto" w:sz="4" w:space="0"/>
            </w:tcBorders>
            <w:vAlign w:val="center"/>
          </w:tcPr>
          <w:p w14:paraId="00672B8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w:t>
            </w:r>
          </w:p>
        </w:tc>
        <w:tc>
          <w:tcPr>
            <w:tcW w:w="386" w:type="pct"/>
            <w:tcBorders>
              <w:right w:val="single" w:color="auto" w:sz="4" w:space="0"/>
            </w:tcBorders>
            <w:vAlign w:val="center"/>
          </w:tcPr>
          <w:p w14:paraId="1B5F9F1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386" w:type="pct"/>
            <w:tcBorders>
              <w:right w:val="single" w:color="auto" w:sz="4" w:space="0"/>
            </w:tcBorders>
            <w:vAlign w:val="center"/>
          </w:tcPr>
          <w:p w14:paraId="2EAFFC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0.9</w:t>
            </w:r>
          </w:p>
        </w:tc>
        <w:tc>
          <w:tcPr>
            <w:tcW w:w="386" w:type="pct"/>
            <w:tcBorders>
              <w:right w:val="single" w:color="auto" w:sz="4" w:space="0"/>
            </w:tcBorders>
            <w:vAlign w:val="center"/>
          </w:tcPr>
          <w:p w14:paraId="6008F2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1.8</w:t>
            </w:r>
          </w:p>
        </w:tc>
        <w:tc>
          <w:tcPr>
            <w:tcW w:w="388" w:type="pct"/>
            <w:tcBorders>
              <w:right w:val="single" w:color="auto" w:sz="4" w:space="0"/>
            </w:tcBorders>
            <w:vAlign w:val="center"/>
          </w:tcPr>
          <w:p w14:paraId="6B606C1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0.9</w:t>
            </w:r>
          </w:p>
        </w:tc>
        <w:tc>
          <w:tcPr>
            <w:tcW w:w="297" w:type="pct"/>
            <w:tcBorders>
              <w:right w:val="single" w:color="auto" w:sz="4" w:space="0"/>
            </w:tcBorders>
            <w:vAlign w:val="center"/>
          </w:tcPr>
          <w:p w14:paraId="063CE0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298" w:type="pct"/>
            <w:tcBorders>
              <w:right w:val="single" w:color="auto" w:sz="4" w:space="0"/>
            </w:tcBorders>
            <w:vAlign w:val="center"/>
          </w:tcPr>
          <w:p w14:paraId="20A741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6AD69A3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38534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tcBorders>
            <w:vAlign w:val="center"/>
          </w:tcPr>
          <w:p w14:paraId="33CAC92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总磷</w:t>
            </w:r>
          </w:p>
        </w:tc>
        <w:tc>
          <w:tcPr>
            <w:tcW w:w="297" w:type="pct"/>
            <w:tcBorders>
              <w:left w:val="single" w:color="auto" w:sz="4" w:space="0"/>
            </w:tcBorders>
            <w:vAlign w:val="center"/>
          </w:tcPr>
          <w:p w14:paraId="4D41ABE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51E0A51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6" w:type="pct"/>
            <w:vAlign w:val="center"/>
          </w:tcPr>
          <w:p w14:paraId="2411123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6" w:type="pct"/>
            <w:vAlign w:val="center"/>
          </w:tcPr>
          <w:p w14:paraId="482671A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w:t>
            </w:r>
          </w:p>
        </w:tc>
        <w:tc>
          <w:tcPr>
            <w:tcW w:w="386" w:type="pct"/>
            <w:tcBorders>
              <w:right w:val="single" w:color="auto" w:sz="4" w:space="0"/>
            </w:tcBorders>
            <w:vAlign w:val="center"/>
          </w:tcPr>
          <w:p w14:paraId="00A5CD6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w:t>
            </w:r>
          </w:p>
        </w:tc>
        <w:tc>
          <w:tcPr>
            <w:tcW w:w="386" w:type="pct"/>
            <w:tcBorders>
              <w:right w:val="single" w:color="auto" w:sz="4" w:space="0"/>
            </w:tcBorders>
            <w:vAlign w:val="center"/>
          </w:tcPr>
          <w:p w14:paraId="45A6AD4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6" w:type="pct"/>
            <w:tcBorders>
              <w:right w:val="single" w:color="auto" w:sz="4" w:space="0"/>
            </w:tcBorders>
            <w:vAlign w:val="center"/>
          </w:tcPr>
          <w:p w14:paraId="2C0DBC0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w:t>
            </w:r>
          </w:p>
        </w:tc>
        <w:tc>
          <w:tcPr>
            <w:tcW w:w="386" w:type="pct"/>
            <w:tcBorders>
              <w:right w:val="single" w:color="auto" w:sz="4" w:space="0"/>
            </w:tcBorders>
            <w:vAlign w:val="center"/>
          </w:tcPr>
          <w:p w14:paraId="5EA6802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6" w:type="pct"/>
            <w:tcBorders>
              <w:right w:val="single" w:color="auto" w:sz="4" w:space="0"/>
            </w:tcBorders>
            <w:vAlign w:val="center"/>
          </w:tcPr>
          <w:p w14:paraId="4BF9D36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8" w:type="pct"/>
            <w:tcBorders>
              <w:right w:val="single" w:color="auto" w:sz="4" w:space="0"/>
            </w:tcBorders>
            <w:vAlign w:val="center"/>
          </w:tcPr>
          <w:p w14:paraId="0521134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297" w:type="pct"/>
            <w:tcBorders>
              <w:right w:val="single" w:color="auto" w:sz="4" w:space="0"/>
            </w:tcBorders>
            <w:vAlign w:val="center"/>
          </w:tcPr>
          <w:p w14:paraId="379E101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298" w:type="pct"/>
            <w:tcBorders>
              <w:right w:val="single" w:color="auto" w:sz="4" w:space="0"/>
            </w:tcBorders>
            <w:vAlign w:val="center"/>
          </w:tcPr>
          <w:p w14:paraId="14719A3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4175D86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BEED4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tcBorders>
            <w:vAlign w:val="center"/>
          </w:tcPr>
          <w:p w14:paraId="31D5BAC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297" w:type="pct"/>
            <w:tcBorders>
              <w:left w:val="single" w:color="auto" w:sz="4" w:space="0"/>
              <w:bottom w:val="single" w:color="auto" w:sz="4" w:space="0"/>
            </w:tcBorders>
            <w:vAlign w:val="center"/>
          </w:tcPr>
          <w:p w14:paraId="1340F94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2080E79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0.075</w:t>
            </w:r>
          </w:p>
        </w:tc>
        <w:tc>
          <w:tcPr>
            <w:tcW w:w="386" w:type="pct"/>
            <w:vAlign w:val="center"/>
          </w:tcPr>
          <w:p w14:paraId="6833B1A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0.091</w:t>
            </w:r>
          </w:p>
        </w:tc>
        <w:tc>
          <w:tcPr>
            <w:tcW w:w="386" w:type="pct"/>
            <w:vAlign w:val="center"/>
          </w:tcPr>
          <w:p w14:paraId="4318287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0.073</w:t>
            </w:r>
          </w:p>
        </w:tc>
        <w:tc>
          <w:tcPr>
            <w:tcW w:w="386" w:type="pct"/>
            <w:tcBorders>
              <w:right w:val="single" w:color="auto" w:sz="4" w:space="0"/>
            </w:tcBorders>
            <w:vAlign w:val="center"/>
          </w:tcPr>
          <w:p w14:paraId="69201EF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0.042</w:t>
            </w:r>
          </w:p>
        </w:tc>
        <w:tc>
          <w:tcPr>
            <w:tcW w:w="386" w:type="pct"/>
            <w:tcBorders>
              <w:right w:val="single" w:color="auto" w:sz="4" w:space="0"/>
            </w:tcBorders>
            <w:vAlign w:val="center"/>
          </w:tcPr>
          <w:p w14:paraId="6631E43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0.052</w:t>
            </w:r>
          </w:p>
        </w:tc>
        <w:tc>
          <w:tcPr>
            <w:tcW w:w="386" w:type="pct"/>
            <w:tcBorders>
              <w:right w:val="single" w:color="auto" w:sz="4" w:space="0"/>
            </w:tcBorders>
            <w:vAlign w:val="center"/>
          </w:tcPr>
          <w:p w14:paraId="0325DD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0.042</w:t>
            </w:r>
          </w:p>
        </w:tc>
        <w:tc>
          <w:tcPr>
            <w:tcW w:w="386" w:type="pct"/>
            <w:tcBorders>
              <w:right w:val="single" w:color="auto" w:sz="4" w:space="0"/>
            </w:tcBorders>
            <w:vAlign w:val="center"/>
          </w:tcPr>
          <w:p w14:paraId="5B68208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0.037</w:t>
            </w:r>
          </w:p>
        </w:tc>
        <w:tc>
          <w:tcPr>
            <w:tcW w:w="386" w:type="pct"/>
            <w:tcBorders>
              <w:right w:val="single" w:color="auto" w:sz="4" w:space="0"/>
            </w:tcBorders>
            <w:vAlign w:val="center"/>
          </w:tcPr>
          <w:p w14:paraId="1621D6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0.047</w:t>
            </w:r>
          </w:p>
        </w:tc>
        <w:tc>
          <w:tcPr>
            <w:tcW w:w="388" w:type="pct"/>
            <w:tcBorders>
              <w:right w:val="single" w:color="auto" w:sz="4" w:space="0"/>
            </w:tcBorders>
            <w:vAlign w:val="center"/>
          </w:tcPr>
          <w:p w14:paraId="20F26AE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0.040</w:t>
            </w:r>
          </w:p>
        </w:tc>
        <w:tc>
          <w:tcPr>
            <w:tcW w:w="297" w:type="pct"/>
            <w:tcBorders>
              <w:right w:val="single" w:color="auto" w:sz="4" w:space="0"/>
            </w:tcBorders>
            <w:vAlign w:val="center"/>
          </w:tcPr>
          <w:p w14:paraId="1EA335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298" w:type="pct"/>
            <w:tcBorders>
              <w:right w:val="single" w:color="auto" w:sz="4" w:space="0"/>
            </w:tcBorders>
            <w:vAlign w:val="center"/>
          </w:tcPr>
          <w:p w14:paraId="2452537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1E5F2C1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A2937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bottom w:val="single" w:color="000000" w:sz="4" w:space="0"/>
            </w:tcBorders>
            <w:vAlign w:val="center"/>
          </w:tcPr>
          <w:p w14:paraId="57A6AD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w:t>
            </w:r>
          </w:p>
        </w:tc>
        <w:tc>
          <w:tcPr>
            <w:tcW w:w="297" w:type="pct"/>
            <w:tcBorders>
              <w:left w:val="single" w:color="auto" w:sz="4" w:space="0"/>
              <w:bottom w:val="single" w:color="000000" w:sz="4" w:space="0"/>
            </w:tcBorders>
            <w:vAlign w:val="center"/>
          </w:tcPr>
          <w:p w14:paraId="308A23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tcBorders>
              <w:bottom w:val="single" w:color="auto" w:sz="4" w:space="0"/>
            </w:tcBorders>
            <w:vAlign w:val="center"/>
          </w:tcPr>
          <w:p w14:paraId="6FE659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86" w:type="pct"/>
            <w:tcBorders>
              <w:bottom w:val="single" w:color="auto" w:sz="4" w:space="0"/>
            </w:tcBorders>
            <w:vAlign w:val="center"/>
          </w:tcPr>
          <w:p w14:paraId="7E8A4C0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86" w:type="pct"/>
            <w:tcBorders>
              <w:bottom w:val="single" w:color="auto" w:sz="4" w:space="0"/>
            </w:tcBorders>
            <w:vAlign w:val="center"/>
          </w:tcPr>
          <w:p w14:paraId="317364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86" w:type="pct"/>
            <w:tcBorders>
              <w:right w:val="single" w:color="auto" w:sz="4" w:space="0"/>
            </w:tcBorders>
            <w:vAlign w:val="center"/>
          </w:tcPr>
          <w:p w14:paraId="7B78E2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86" w:type="pct"/>
            <w:tcBorders>
              <w:right w:val="single" w:color="auto" w:sz="4" w:space="0"/>
            </w:tcBorders>
            <w:vAlign w:val="center"/>
          </w:tcPr>
          <w:p w14:paraId="399AFBD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86" w:type="pct"/>
            <w:tcBorders>
              <w:right w:val="single" w:color="auto" w:sz="4" w:space="0"/>
            </w:tcBorders>
            <w:vAlign w:val="center"/>
          </w:tcPr>
          <w:p w14:paraId="0E3E99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86" w:type="pct"/>
            <w:tcBorders>
              <w:right w:val="single" w:color="auto" w:sz="4" w:space="0"/>
            </w:tcBorders>
            <w:vAlign w:val="center"/>
          </w:tcPr>
          <w:p w14:paraId="5C335F0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86" w:type="pct"/>
            <w:tcBorders>
              <w:right w:val="single" w:color="auto" w:sz="4" w:space="0"/>
            </w:tcBorders>
            <w:vAlign w:val="center"/>
          </w:tcPr>
          <w:p w14:paraId="7EA30C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388" w:type="pct"/>
            <w:tcBorders>
              <w:right w:val="single" w:color="auto" w:sz="4" w:space="0"/>
            </w:tcBorders>
            <w:vAlign w:val="center"/>
          </w:tcPr>
          <w:p w14:paraId="3B97AF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0.01L</w:t>
            </w:r>
          </w:p>
        </w:tc>
        <w:tc>
          <w:tcPr>
            <w:tcW w:w="297" w:type="pct"/>
            <w:tcBorders>
              <w:right w:val="single" w:color="auto" w:sz="4" w:space="0"/>
            </w:tcBorders>
            <w:vAlign w:val="center"/>
          </w:tcPr>
          <w:p w14:paraId="5C1684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298" w:type="pct"/>
            <w:tcBorders>
              <w:right w:val="single" w:color="auto" w:sz="4" w:space="0"/>
            </w:tcBorders>
            <w:vAlign w:val="center"/>
          </w:tcPr>
          <w:p w14:paraId="4CFFD1E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20AB9AC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49D02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000000" w:sz="4" w:space="0"/>
              <w:left w:val="single" w:color="auto" w:sz="12" w:space="0"/>
            </w:tcBorders>
            <w:vAlign w:val="center"/>
          </w:tcPr>
          <w:p w14:paraId="4C80430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硫化物</w:t>
            </w:r>
          </w:p>
        </w:tc>
        <w:tc>
          <w:tcPr>
            <w:tcW w:w="297" w:type="pct"/>
            <w:tcBorders>
              <w:top w:val="single" w:color="000000" w:sz="4" w:space="0"/>
              <w:left w:val="single" w:color="auto" w:sz="4" w:space="0"/>
            </w:tcBorders>
            <w:vAlign w:val="center"/>
          </w:tcPr>
          <w:p w14:paraId="503C499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273C04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86" w:type="pct"/>
            <w:vAlign w:val="center"/>
          </w:tcPr>
          <w:p w14:paraId="64098D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86" w:type="pct"/>
            <w:vAlign w:val="center"/>
          </w:tcPr>
          <w:p w14:paraId="543393F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86" w:type="pct"/>
            <w:tcBorders>
              <w:right w:val="single" w:color="auto" w:sz="4" w:space="0"/>
            </w:tcBorders>
            <w:vAlign w:val="center"/>
          </w:tcPr>
          <w:p w14:paraId="7DE370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86" w:type="pct"/>
            <w:tcBorders>
              <w:right w:val="single" w:color="auto" w:sz="4" w:space="0"/>
            </w:tcBorders>
            <w:vAlign w:val="center"/>
          </w:tcPr>
          <w:p w14:paraId="20F5E7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86" w:type="pct"/>
            <w:tcBorders>
              <w:right w:val="single" w:color="auto" w:sz="4" w:space="0"/>
            </w:tcBorders>
            <w:vAlign w:val="center"/>
          </w:tcPr>
          <w:p w14:paraId="5B83895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86" w:type="pct"/>
            <w:tcBorders>
              <w:right w:val="single" w:color="auto" w:sz="4" w:space="0"/>
            </w:tcBorders>
            <w:vAlign w:val="center"/>
          </w:tcPr>
          <w:p w14:paraId="741063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86" w:type="pct"/>
            <w:tcBorders>
              <w:right w:val="single" w:color="auto" w:sz="4" w:space="0"/>
            </w:tcBorders>
            <w:vAlign w:val="center"/>
          </w:tcPr>
          <w:p w14:paraId="32B8303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388" w:type="pct"/>
            <w:tcBorders>
              <w:right w:val="single" w:color="auto" w:sz="4" w:space="0"/>
            </w:tcBorders>
            <w:vAlign w:val="center"/>
          </w:tcPr>
          <w:p w14:paraId="0601F49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0.005L</w:t>
            </w:r>
          </w:p>
        </w:tc>
        <w:tc>
          <w:tcPr>
            <w:tcW w:w="297" w:type="pct"/>
            <w:tcBorders>
              <w:right w:val="single" w:color="auto" w:sz="4" w:space="0"/>
            </w:tcBorders>
            <w:vAlign w:val="center"/>
          </w:tcPr>
          <w:p w14:paraId="269B9C9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298" w:type="pct"/>
            <w:tcBorders>
              <w:right w:val="single" w:color="auto" w:sz="4" w:space="0"/>
            </w:tcBorders>
            <w:vAlign w:val="center"/>
          </w:tcPr>
          <w:p w14:paraId="6D95F21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03ECA2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DE3B9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tcBorders>
            <w:vAlign w:val="center"/>
          </w:tcPr>
          <w:p w14:paraId="5F3B8C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氟化物</w:t>
            </w:r>
          </w:p>
        </w:tc>
        <w:tc>
          <w:tcPr>
            <w:tcW w:w="297" w:type="pct"/>
            <w:tcBorders>
              <w:left w:val="single" w:color="auto" w:sz="4" w:space="0"/>
            </w:tcBorders>
            <w:vAlign w:val="center"/>
          </w:tcPr>
          <w:p w14:paraId="1605A34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0DA3276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0.356</w:t>
            </w:r>
          </w:p>
        </w:tc>
        <w:tc>
          <w:tcPr>
            <w:tcW w:w="386" w:type="pct"/>
            <w:vAlign w:val="center"/>
          </w:tcPr>
          <w:p w14:paraId="5163F6D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0.482</w:t>
            </w:r>
          </w:p>
        </w:tc>
        <w:tc>
          <w:tcPr>
            <w:tcW w:w="386" w:type="pct"/>
            <w:vAlign w:val="center"/>
          </w:tcPr>
          <w:p w14:paraId="2736FD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0.359</w:t>
            </w:r>
          </w:p>
        </w:tc>
        <w:tc>
          <w:tcPr>
            <w:tcW w:w="386" w:type="pct"/>
            <w:tcBorders>
              <w:right w:val="single" w:color="auto" w:sz="4" w:space="0"/>
            </w:tcBorders>
            <w:vAlign w:val="center"/>
          </w:tcPr>
          <w:p w14:paraId="78ED54D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0.477</w:t>
            </w:r>
          </w:p>
        </w:tc>
        <w:tc>
          <w:tcPr>
            <w:tcW w:w="386" w:type="pct"/>
            <w:tcBorders>
              <w:right w:val="single" w:color="auto" w:sz="4" w:space="0"/>
            </w:tcBorders>
            <w:vAlign w:val="center"/>
          </w:tcPr>
          <w:p w14:paraId="5964FA3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0.327</w:t>
            </w:r>
          </w:p>
        </w:tc>
        <w:tc>
          <w:tcPr>
            <w:tcW w:w="386" w:type="pct"/>
            <w:tcBorders>
              <w:right w:val="single" w:color="auto" w:sz="4" w:space="0"/>
            </w:tcBorders>
            <w:vAlign w:val="center"/>
          </w:tcPr>
          <w:p w14:paraId="3C74CA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0.326</w:t>
            </w:r>
          </w:p>
        </w:tc>
        <w:tc>
          <w:tcPr>
            <w:tcW w:w="386" w:type="pct"/>
            <w:tcBorders>
              <w:right w:val="single" w:color="auto" w:sz="4" w:space="0"/>
            </w:tcBorders>
            <w:vAlign w:val="center"/>
          </w:tcPr>
          <w:p w14:paraId="1E5BD04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0.520</w:t>
            </w:r>
          </w:p>
        </w:tc>
        <w:tc>
          <w:tcPr>
            <w:tcW w:w="386" w:type="pct"/>
            <w:tcBorders>
              <w:right w:val="single" w:color="auto" w:sz="4" w:space="0"/>
            </w:tcBorders>
            <w:vAlign w:val="center"/>
          </w:tcPr>
          <w:p w14:paraId="37BE7B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0.508</w:t>
            </w:r>
          </w:p>
        </w:tc>
        <w:tc>
          <w:tcPr>
            <w:tcW w:w="388" w:type="pct"/>
            <w:tcBorders>
              <w:right w:val="single" w:color="auto" w:sz="4" w:space="0"/>
            </w:tcBorders>
            <w:vAlign w:val="center"/>
          </w:tcPr>
          <w:p w14:paraId="01C819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0.544</w:t>
            </w:r>
          </w:p>
        </w:tc>
        <w:tc>
          <w:tcPr>
            <w:tcW w:w="297" w:type="pct"/>
            <w:tcBorders>
              <w:right w:val="single" w:color="auto" w:sz="4" w:space="0"/>
            </w:tcBorders>
            <w:vAlign w:val="center"/>
          </w:tcPr>
          <w:p w14:paraId="165BFD5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298" w:type="pct"/>
            <w:tcBorders>
              <w:right w:val="single" w:color="auto" w:sz="4" w:space="0"/>
            </w:tcBorders>
            <w:vAlign w:val="center"/>
          </w:tcPr>
          <w:p w14:paraId="0EC7270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1875F0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A7730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tcBorders>
            <w:vAlign w:val="center"/>
          </w:tcPr>
          <w:p w14:paraId="10A231E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氯化物</w:t>
            </w:r>
          </w:p>
        </w:tc>
        <w:tc>
          <w:tcPr>
            <w:tcW w:w="297" w:type="pct"/>
            <w:tcBorders>
              <w:left w:val="single" w:color="auto" w:sz="4" w:space="0"/>
            </w:tcBorders>
            <w:vAlign w:val="center"/>
          </w:tcPr>
          <w:p w14:paraId="1E473E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00CAA85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5.08</w:t>
            </w:r>
          </w:p>
        </w:tc>
        <w:tc>
          <w:tcPr>
            <w:tcW w:w="386" w:type="pct"/>
            <w:vAlign w:val="center"/>
          </w:tcPr>
          <w:p w14:paraId="1CA4FBF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5.51</w:t>
            </w:r>
          </w:p>
        </w:tc>
        <w:tc>
          <w:tcPr>
            <w:tcW w:w="386" w:type="pct"/>
            <w:vAlign w:val="center"/>
          </w:tcPr>
          <w:p w14:paraId="431E52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5.32</w:t>
            </w:r>
          </w:p>
        </w:tc>
        <w:tc>
          <w:tcPr>
            <w:tcW w:w="386" w:type="pct"/>
            <w:tcBorders>
              <w:right w:val="single" w:color="auto" w:sz="4" w:space="0"/>
            </w:tcBorders>
            <w:vAlign w:val="center"/>
          </w:tcPr>
          <w:p w14:paraId="27B4E1C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4.60</w:t>
            </w:r>
          </w:p>
        </w:tc>
        <w:tc>
          <w:tcPr>
            <w:tcW w:w="386" w:type="pct"/>
            <w:tcBorders>
              <w:right w:val="single" w:color="auto" w:sz="4" w:space="0"/>
            </w:tcBorders>
            <w:vAlign w:val="center"/>
          </w:tcPr>
          <w:p w14:paraId="2E090D7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4.39</w:t>
            </w:r>
          </w:p>
        </w:tc>
        <w:tc>
          <w:tcPr>
            <w:tcW w:w="386" w:type="pct"/>
            <w:tcBorders>
              <w:right w:val="single" w:color="auto" w:sz="4" w:space="0"/>
            </w:tcBorders>
            <w:vAlign w:val="center"/>
          </w:tcPr>
          <w:p w14:paraId="52AE4D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4.23</w:t>
            </w:r>
          </w:p>
        </w:tc>
        <w:tc>
          <w:tcPr>
            <w:tcW w:w="386" w:type="pct"/>
            <w:tcBorders>
              <w:right w:val="single" w:color="auto" w:sz="4" w:space="0"/>
            </w:tcBorders>
            <w:vAlign w:val="center"/>
          </w:tcPr>
          <w:p w14:paraId="0BC1D4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w:t>
            </w:r>
          </w:p>
        </w:tc>
        <w:tc>
          <w:tcPr>
            <w:tcW w:w="386" w:type="pct"/>
            <w:tcBorders>
              <w:right w:val="single" w:color="auto" w:sz="4" w:space="0"/>
            </w:tcBorders>
            <w:vAlign w:val="center"/>
          </w:tcPr>
          <w:p w14:paraId="60F5B6E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5.34</w:t>
            </w:r>
          </w:p>
        </w:tc>
        <w:tc>
          <w:tcPr>
            <w:tcW w:w="388" w:type="pct"/>
            <w:tcBorders>
              <w:right w:val="single" w:color="auto" w:sz="4" w:space="0"/>
            </w:tcBorders>
            <w:vAlign w:val="center"/>
          </w:tcPr>
          <w:p w14:paraId="47C004D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5.05</w:t>
            </w:r>
          </w:p>
        </w:tc>
        <w:tc>
          <w:tcPr>
            <w:tcW w:w="297" w:type="pct"/>
            <w:tcBorders>
              <w:right w:val="single" w:color="auto" w:sz="4" w:space="0"/>
            </w:tcBorders>
            <w:vAlign w:val="center"/>
          </w:tcPr>
          <w:p w14:paraId="3533D33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298" w:type="pct"/>
            <w:tcBorders>
              <w:right w:val="single" w:color="auto" w:sz="4" w:space="0"/>
            </w:tcBorders>
            <w:vAlign w:val="center"/>
          </w:tcPr>
          <w:p w14:paraId="5BB2373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793543E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C2AF1E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bottom w:val="single" w:color="000000" w:sz="4" w:space="0"/>
            </w:tcBorders>
            <w:vAlign w:val="center"/>
          </w:tcPr>
          <w:p w14:paraId="179A3A4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硫酸盐</w:t>
            </w:r>
          </w:p>
        </w:tc>
        <w:tc>
          <w:tcPr>
            <w:tcW w:w="297" w:type="pct"/>
            <w:tcBorders>
              <w:left w:val="single" w:color="auto" w:sz="4" w:space="0"/>
            </w:tcBorders>
            <w:vAlign w:val="center"/>
          </w:tcPr>
          <w:p w14:paraId="14E25D4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304BE38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w:t>
            </w:r>
          </w:p>
        </w:tc>
        <w:tc>
          <w:tcPr>
            <w:tcW w:w="386" w:type="pct"/>
            <w:vAlign w:val="center"/>
          </w:tcPr>
          <w:p w14:paraId="072A9E5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11.2</w:t>
            </w:r>
          </w:p>
        </w:tc>
        <w:tc>
          <w:tcPr>
            <w:tcW w:w="386" w:type="pct"/>
            <w:vAlign w:val="center"/>
          </w:tcPr>
          <w:p w14:paraId="3ECC8E7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13.3</w:t>
            </w:r>
          </w:p>
        </w:tc>
        <w:tc>
          <w:tcPr>
            <w:tcW w:w="386" w:type="pct"/>
            <w:tcBorders>
              <w:right w:val="single" w:color="auto" w:sz="4" w:space="0"/>
            </w:tcBorders>
            <w:vAlign w:val="center"/>
          </w:tcPr>
          <w:p w14:paraId="0C3268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16.1</w:t>
            </w:r>
          </w:p>
        </w:tc>
        <w:tc>
          <w:tcPr>
            <w:tcW w:w="386" w:type="pct"/>
            <w:tcBorders>
              <w:right w:val="single" w:color="auto" w:sz="4" w:space="0"/>
            </w:tcBorders>
            <w:vAlign w:val="center"/>
          </w:tcPr>
          <w:p w14:paraId="08370F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11.4</w:t>
            </w:r>
          </w:p>
        </w:tc>
        <w:tc>
          <w:tcPr>
            <w:tcW w:w="386" w:type="pct"/>
            <w:tcBorders>
              <w:right w:val="single" w:color="auto" w:sz="4" w:space="0"/>
            </w:tcBorders>
            <w:vAlign w:val="center"/>
          </w:tcPr>
          <w:p w14:paraId="0CCF66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14.8</w:t>
            </w:r>
          </w:p>
        </w:tc>
        <w:tc>
          <w:tcPr>
            <w:tcW w:w="386" w:type="pct"/>
            <w:tcBorders>
              <w:right w:val="single" w:color="auto" w:sz="4" w:space="0"/>
            </w:tcBorders>
            <w:vAlign w:val="center"/>
          </w:tcPr>
          <w:p w14:paraId="247E42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12.9</w:t>
            </w:r>
          </w:p>
        </w:tc>
        <w:tc>
          <w:tcPr>
            <w:tcW w:w="386" w:type="pct"/>
            <w:tcBorders>
              <w:right w:val="single" w:color="auto" w:sz="4" w:space="0"/>
            </w:tcBorders>
            <w:vAlign w:val="center"/>
          </w:tcPr>
          <w:p w14:paraId="4AD465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14.5</w:t>
            </w:r>
          </w:p>
        </w:tc>
        <w:tc>
          <w:tcPr>
            <w:tcW w:w="388" w:type="pct"/>
            <w:tcBorders>
              <w:right w:val="single" w:color="auto" w:sz="4" w:space="0"/>
            </w:tcBorders>
            <w:vAlign w:val="center"/>
          </w:tcPr>
          <w:p w14:paraId="1B9637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13.5</w:t>
            </w:r>
          </w:p>
        </w:tc>
        <w:tc>
          <w:tcPr>
            <w:tcW w:w="297" w:type="pct"/>
            <w:tcBorders>
              <w:right w:val="single" w:color="auto" w:sz="4" w:space="0"/>
            </w:tcBorders>
            <w:vAlign w:val="center"/>
          </w:tcPr>
          <w:p w14:paraId="2718BEC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298" w:type="pct"/>
            <w:tcBorders>
              <w:right w:val="single" w:color="auto" w:sz="4" w:space="0"/>
            </w:tcBorders>
            <w:vAlign w:val="center"/>
          </w:tcPr>
          <w:p w14:paraId="1D23351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1FF2551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F3BF6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000000" w:sz="4" w:space="0"/>
              <w:left w:val="single" w:color="auto" w:sz="12" w:space="0"/>
            </w:tcBorders>
            <w:vAlign w:val="center"/>
          </w:tcPr>
          <w:p w14:paraId="4D660DD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挥发酚</w:t>
            </w:r>
          </w:p>
        </w:tc>
        <w:tc>
          <w:tcPr>
            <w:tcW w:w="297" w:type="pct"/>
            <w:tcBorders>
              <w:left w:val="single" w:color="auto" w:sz="4" w:space="0"/>
            </w:tcBorders>
            <w:vAlign w:val="center"/>
          </w:tcPr>
          <w:p w14:paraId="6EF9CBD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2F4AF28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w:t>
            </w:r>
          </w:p>
        </w:tc>
        <w:tc>
          <w:tcPr>
            <w:tcW w:w="386" w:type="pct"/>
            <w:vAlign w:val="center"/>
          </w:tcPr>
          <w:p w14:paraId="1D10022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86" w:type="pct"/>
            <w:vAlign w:val="center"/>
          </w:tcPr>
          <w:p w14:paraId="4115BDB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86" w:type="pct"/>
            <w:tcBorders>
              <w:right w:val="single" w:color="auto" w:sz="4" w:space="0"/>
            </w:tcBorders>
            <w:vAlign w:val="center"/>
          </w:tcPr>
          <w:p w14:paraId="448D049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86" w:type="pct"/>
            <w:tcBorders>
              <w:right w:val="single" w:color="auto" w:sz="4" w:space="0"/>
            </w:tcBorders>
            <w:vAlign w:val="center"/>
          </w:tcPr>
          <w:p w14:paraId="7C96827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0.0005</w:t>
            </w:r>
          </w:p>
        </w:tc>
        <w:tc>
          <w:tcPr>
            <w:tcW w:w="386" w:type="pct"/>
            <w:tcBorders>
              <w:right w:val="single" w:color="auto" w:sz="4" w:space="0"/>
            </w:tcBorders>
            <w:vAlign w:val="center"/>
          </w:tcPr>
          <w:p w14:paraId="650E30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w:t>
            </w:r>
          </w:p>
        </w:tc>
        <w:tc>
          <w:tcPr>
            <w:tcW w:w="386" w:type="pct"/>
            <w:tcBorders>
              <w:right w:val="single" w:color="auto" w:sz="4" w:space="0"/>
            </w:tcBorders>
            <w:vAlign w:val="center"/>
          </w:tcPr>
          <w:p w14:paraId="00F1C4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86" w:type="pct"/>
            <w:tcBorders>
              <w:right w:val="single" w:color="auto" w:sz="4" w:space="0"/>
            </w:tcBorders>
            <w:vAlign w:val="center"/>
          </w:tcPr>
          <w:p w14:paraId="3AC3779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0.0003L</w:t>
            </w:r>
          </w:p>
        </w:tc>
        <w:tc>
          <w:tcPr>
            <w:tcW w:w="388" w:type="pct"/>
            <w:tcBorders>
              <w:right w:val="single" w:color="auto" w:sz="4" w:space="0"/>
            </w:tcBorders>
            <w:vAlign w:val="center"/>
          </w:tcPr>
          <w:p w14:paraId="3D30A4B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w:t>
            </w:r>
          </w:p>
        </w:tc>
        <w:tc>
          <w:tcPr>
            <w:tcW w:w="297" w:type="pct"/>
            <w:tcBorders>
              <w:right w:val="single" w:color="auto" w:sz="4" w:space="0"/>
            </w:tcBorders>
            <w:vAlign w:val="center"/>
          </w:tcPr>
          <w:p w14:paraId="7E640DA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298" w:type="pct"/>
            <w:tcBorders>
              <w:right w:val="single" w:color="auto" w:sz="4" w:space="0"/>
            </w:tcBorders>
            <w:vAlign w:val="center"/>
          </w:tcPr>
          <w:p w14:paraId="68BD713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7FD3BE9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F773F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tcBorders>
            <w:vAlign w:val="center"/>
          </w:tcPr>
          <w:p w14:paraId="161A369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297" w:type="pct"/>
            <w:tcBorders>
              <w:left w:val="single" w:color="auto" w:sz="4" w:space="0"/>
            </w:tcBorders>
            <w:vAlign w:val="center"/>
          </w:tcPr>
          <w:p w14:paraId="1A9F764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781514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0.00435</w:t>
            </w:r>
          </w:p>
        </w:tc>
        <w:tc>
          <w:tcPr>
            <w:tcW w:w="386" w:type="pct"/>
            <w:vAlign w:val="center"/>
          </w:tcPr>
          <w:p w14:paraId="77CB2A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0.00453</w:t>
            </w:r>
          </w:p>
        </w:tc>
        <w:tc>
          <w:tcPr>
            <w:tcW w:w="386" w:type="pct"/>
            <w:vAlign w:val="center"/>
          </w:tcPr>
          <w:p w14:paraId="73C9282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0.00629</w:t>
            </w:r>
          </w:p>
        </w:tc>
        <w:tc>
          <w:tcPr>
            <w:tcW w:w="386" w:type="pct"/>
            <w:tcBorders>
              <w:right w:val="single" w:color="auto" w:sz="4" w:space="0"/>
            </w:tcBorders>
            <w:vAlign w:val="center"/>
          </w:tcPr>
          <w:p w14:paraId="529ADC8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0.00718</w:t>
            </w:r>
          </w:p>
        </w:tc>
        <w:tc>
          <w:tcPr>
            <w:tcW w:w="386" w:type="pct"/>
            <w:tcBorders>
              <w:right w:val="single" w:color="auto" w:sz="4" w:space="0"/>
            </w:tcBorders>
            <w:vAlign w:val="center"/>
          </w:tcPr>
          <w:p w14:paraId="606664C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0.00632</w:t>
            </w:r>
          </w:p>
        </w:tc>
        <w:tc>
          <w:tcPr>
            <w:tcW w:w="386" w:type="pct"/>
            <w:tcBorders>
              <w:right w:val="single" w:color="auto" w:sz="4" w:space="0"/>
            </w:tcBorders>
            <w:vAlign w:val="center"/>
          </w:tcPr>
          <w:p w14:paraId="4C4FD62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0.00611</w:t>
            </w:r>
          </w:p>
        </w:tc>
        <w:tc>
          <w:tcPr>
            <w:tcW w:w="386" w:type="pct"/>
            <w:tcBorders>
              <w:right w:val="single" w:color="auto" w:sz="4" w:space="0"/>
            </w:tcBorders>
            <w:vAlign w:val="center"/>
          </w:tcPr>
          <w:p w14:paraId="2FD00EF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0.00643</w:t>
            </w:r>
          </w:p>
        </w:tc>
        <w:tc>
          <w:tcPr>
            <w:tcW w:w="386" w:type="pct"/>
            <w:tcBorders>
              <w:right w:val="single" w:color="auto" w:sz="4" w:space="0"/>
            </w:tcBorders>
            <w:vAlign w:val="center"/>
          </w:tcPr>
          <w:p w14:paraId="4A2B97B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0.00760</w:t>
            </w:r>
          </w:p>
        </w:tc>
        <w:tc>
          <w:tcPr>
            <w:tcW w:w="388" w:type="pct"/>
            <w:tcBorders>
              <w:right w:val="single" w:color="auto" w:sz="4" w:space="0"/>
            </w:tcBorders>
            <w:vAlign w:val="center"/>
          </w:tcPr>
          <w:p w14:paraId="2F9517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0.00762</w:t>
            </w:r>
          </w:p>
        </w:tc>
        <w:tc>
          <w:tcPr>
            <w:tcW w:w="297" w:type="pct"/>
            <w:tcBorders>
              <w:right w:val="single" w:color="auto" w:sz="4" w:space="0"/>
            </w:tcBorders>
            <w:vAlign w:val="center"/>
          </w:tcPr>
          <w:p w14:paraId="1E657DA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298" w:type="pct"/>
            <w:tcBorders>
              <w:right w:val="single" w:color="auto" w:sz="4" w:space="0"/>
            </w:tcBorders>
            <w:vAlign w:val="center"/>
          </w:tcPr>
          <w:p w14:paraId="7835BD5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3F769FE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A84DF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tcBorders>
            <w:vAlign w:val="center"/>
          </w:tcPr>
          <w:p w14:paraId="4053CA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w:t>
            </w:r>
          </w:p>
        </w:tc>
        <w:tc>
          <w:tcPr>
            <w:tcW w:w="297" w:type="pct"/>
            <w:tcBorders>
              <w:left w:val="single" w:color="auto" w:sz="4" w:space="0"/>
            </w:tcBorders>
            <w:vAlign w:val="center"/>
          </w:tcPr>
          <w:p w14:paraId="2111B76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1B36E1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0.00023</w:t>
            </w:r>
          </w:p>
        </w:tc>
        <w:tc>
          <w:tcPr>
            <w:tcW w:w="386" w:type="pct"/>
            <w:vAlign w:val="center"/>
          </w:tcPr>
          <w:p w14:paraId="4DCEB0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0.00024</w:t>
            </w:r>
          </w:p>
        </w:tc>
        <w:tc>
          <w:tcPr>
            <w:tcW w:w="386" w:type="pct"/>
            <w:vAlign w:val="center"/>
          </w:tcPr>
          <w:p w14:paraId="108AE0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0.00027</w:t>
            </w:r>
          </w:p>
        </w:tc>
        <w:tc>
          <w:tcPr>
            <w:tcW w:w="386" w:type="pct"/>
            <w:tcBorders>
              <w:right w:val="single" w:color="auto" w:sz="4" w:space="0"/>
            </w:tcBorders>
            <w:vAlign w:val="center"/>
          </w:tcPr>
          <w:p w14:paraId="0075BCF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0.00040</w:t>
            </w:r>
          </w:p>
        </w:tc>
        <w:tc>
          <w:tcPr>
            <w:tcW w:w="386" w:type="pct"/>
            <w:tcBorders>
              <w:right w:val="single" w:color="auto" w:sz="4" w:space="0"/>
            </w:tcBorders>
            <w:vAlign w:val="center"/>
          </w:tcPr>
          <w:p w14:paraId="468DD9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0.00020</w:t>
            </w:r>
          </w:p>
        </w:tc>
        <w:tc>
          <w:tcPr>
            <w:tcW w:w="386" w:type="pct"/>
            <w:tcBorders>
              <w:right w:val="single" w:color="auto" w:sz="4" w:space="0"/>
            </w:tcBorders>
            <w:vAlign w:val="center"/>
          </w:tcPr>
          <w:p w14:paraId="287B40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0.00043</w:t>
            </w:r>
          </w:p>
        </w:tc>
        <w:tc>
          <w:tcPr>
            <w:tcW w:w="386" w:type="pct"/>
            <w:tcBorders>
              <w:right w:val="single" w:color="auto" w:sz="4" w:space="0"/>
            </w:tcBorders>
            <w:vAlign w:val="center"/>
          </w:tcPr>
          <w:p w14:paraId="38964E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0.00034</w:t>
            </w:r>
          </w:p>
        </w:tc>
        <w:tc>
          <w:tcPr>
            <w:tcW w:w="386" w:type="pct"/>
            <w:tcBorders>
              <w:right w:val="single" w:color="auto" w:sz="4" w:space="0"/>
            </w:tcBorders>
            <w:vAlign w:val="center"/>
          </w:tcPr>
          <w:p w14:paraId="0065E2C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0.00040</w:t>
            </w:r>
          </w:p>
        </w:tc>
        <w:tc>
          <w:tcPr>
            <w:tcW w:w="388" w:type="pct"/>
            <w:tcBorders>
              <w:right w:val="single" w:color="auto" w:sz="4" w:space="0"/>
            </w:tcBorders>
            <w:vAlign w:val="center"/>
          </w:tcPr>
          <w:p w14:paraId="6AB0B6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0.00042</w:t>
            </w:r>
          </w:p>
        </w:tc>
        <w:tc>
          <w:tcPr>
            <w:tcW w:w="297" w:type="pct"/>
            <w:tcBorders>
              <w:right w:val="single" w:color="auto" w:sz="4" w:space="0"/>
            </w:tcBorders>
            <w:vAlign w:val="center"/>
          </w:tcPr>
          <w:p w14:paraId="27E977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298" w:type="pct"/>
            <w:tcBorders>
              <w:right w:val="single" w:color="auto" w:sz="4" w:space="0"/>
            </w:tcBorders>
            <w:vAlign w:val="center"/>
          </w:tcPr>
          <w:p w14:paraId="52BB861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717E7F0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B9B25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bottom w:val="single" w:color="000000" w:sz="4" w:space="0"/>
            </w:tcBorders>
            <w:vAlign w:val="center"/>
          </w:tcPr>
          <w:p w14:paraId="783C54A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镉</w:t>
            </w:r>
          </w:p>
        </w:tc>
        <w:tc>
          <w:tcPr>
            <w:tcW w:w="297" w:type="pct"/>
            <w:tcBorders>
              <w:left w:val="single" w:color="auto" w:sz="4" w:space="0"/>
              <w:bottom w:val="single" w:color="000000" w:sz="4" w:space="0"/>
            </w:tcBorders>
            <w:vAlign w:val="center"/>
          </w:tcPr>
          <w:p w14:paraId="476B6DC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05D5058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0.00008</w:t>
            </w:r>
          </w:p>
        </w:tc>
        <w:tc>
          <w:tcPr>
            <w:tcW w:w="386" w:type="pct"/>
            <w:vAlign w:val="center"/>
          </w:tcPr>
          <w:p w14:paraId="378137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0.00007</w:t>
            </w:r>
          </w:p>
        </w:tc>
        <w:tc>
          <w:tcPr>
            <w:tcW w:w="386" w:type="pct"/>
            <w:vAlign w:val="center"/>
          </w:tcPr>
          <w:p w14:paraId="5DBD69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0.00008</w:t>
            </w:r>
          </w:p>
        </w:tc>
        <w:tc>
          <w:tcPr>
            <w:tcW w:w="386" w:type="pct"/>
            <w:tcBorders>
              <w:right w:val="single" w:color="auto" w:sz="4" w:space="0"/>
            </w:tcBorders>
            <w:vAlign w:val="center"/>
          </w:tcPr>
          <w:p w14:paraId="05281F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0.00011</w:t>
            </w:r>
          </w:p>
        </w:tc>
        <w:tc>
          <w:tcPr>
            <w:tcW w:w="386" w:type="pct"/>
            <w:tcBorders>
              <w:right w:val="single" w:color="auto" w:sz="4" w:space="0"/>
            </w:tcBorders>
            <w:vAlign w:val="center"/>
          </w:tcPr>
          <w:p w14:paraId="6CE84C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0.00008</w:t>
            </w:r>
          </w:p>
        </w:tc>
        <w:tc>
          <w:tcPr>
            <w:tcW w:w="386" w:type="pct"/>
            <w:tcBorders>
              <w:right w:val="single" w:color="auto" w:sz="4" w:space="0"/>
            </w:tcBorders>
            <w:vAlign w:val="center"/>
          </w:tcPr>
          <w:p w14:paraId="21C8934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0.00010</w:t>
            </w:r>
          </w:p>
        </w:tc>
        <w:tc>
          <w:tcPr>
            <w:tcW w:w="386" w:type="pct"/>
            <w:tcBorders>
              <w:right w:val="single" w:color="auto" w:sz="4" w:space="0"/>
            </w:tcBorders>
            <w:vAlign w:val="center"/>
          </w:tcPr>
          <w:p w14:paraId="291DFA2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0.00009</w:t>
            </w:r>
          </w:p>
        </w:tc>
        <w:tc>
          <w:tcPr>
            <w:tcW w:w="386" w:type="pct"/>
            <w:tcBorders>
              <w:right w:val="single" w:color="auto" w:sz="4" w:space="0"/>
            </w:tcBorders>
            <w:vAlign w:val="center"/>
          </w:tcPr>
          <w:p w14:paraId="41DA1F0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0.00009</w:t>
            </w:r>
          </w:p>
        </w:tc>
        <w:tc>
          <w:tcPr>
            <w:tcW w:w="388" w:type="pct"/>
            <w:tcBorders>
              <w:right w:val="single" w:color="auto" w:sz="4" w:space="0"/>
            </w:tcBorders>
            <w:vAlign w:val="center"/>
          </w:tcPr>
          <w:p w14:paraId="2D7063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0.00010</w:t>
            </w:r>
          </w:p>
        </w:tc>
        <w:tc>
          <w:tcPr>
            <w:tcW w:w="297" w:type="pct"/>
            <w:tcBorders>
              <w:right w:val="single" w:color="auto" w:sz="4" w:space="0"/>
            </w:tcBorders>
            <w:vAlign w:val="center"/>
          </w:tcPr>
          <w:p w14:paraId="2D89AA5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298" w:type="pct"/>
            <w:tcBorders>
              <w:right w:val="single" w:color="auto" w:sz="4" w:space="0"/>
            </w:tcBorders>
            <w:vAlign w:val="center"/>
          </w:tcPr>
          <w:p w14:paraId="5EE8FF6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1832471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E4E52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000000" w:sz="4" w:space="0"/>
              <w:left w:val="single" w:color="auto" w:sz="12" w:space="0"/>
            </w:tcBorders>
            <w:vAlign w:val="center"/>
          </w:tcPr>
          <w:p w14:paraId="582F0E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汞</w:t>
            </w:r>
          </w:p>
        </w:tc>
        <w:tc>
          <w:tcPr>
            <w:tcW w:w="297" w:type="pct"/>
            <w:tcBorders>
              <w:top w:val="single" w:color="000000" w:sz="4" w:space="0"/>
              <w:left w:val="single" w:color="auto" w:sz="4" w:space="0"/>
            </w:tcBorders>
            <w:vAlign w:val="center"/>
          </w:tcPr>
          <w:p w14:paraId="5960772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vAlign w:val="center"/>
          </w:tcPr>
          <w:p w14:paraId="549C49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86" w:type="pct"/>
            <w:vAlign w:val="center"/>
          </w:tcPr>
          <w:p w14:paraId="6CC8BE6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86" w:type="pct"/>
            <w:vAlign w:val="center"/>
          </w:tcPr>
          <w:p w14:paraId="2C06491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86" w:type="pct"/>
            <w:tcBorders>
              <w:right w:val="single" w:color="auto" w:sz="4" w:space="0"/>
            </w:tcBorders>
            <w:vAlign w:val="center"/>
          </w:tcPr>
          <w:p w14:paraId="4D6716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86" w:type="pct"/>
            <w:tcBorders>
              <w:right w:val="single" w:color="auto" w:sz="4" w:space="0"/>
            </w:tcBorders>
            <w:vAlign w:val="center"/>
          </w:tcPr>
          <w:p w14:paraId="3DD375E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86" w:type="pct"/>
            <w:tcBorders>
              <w:right w:val="single" w:color="auto" w:sz="4" w:space="0"/>
            </w:tcBorders>
            <w:vAlign w:val="center"/>
          </w:tcPr>
          <w:p w14:paraId="3700028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86" w:type="pct"/>
            <w:tcBorders>
              <w:right w:val="single" w:color="auto" w:sz="4" w:space="0"/>
            </w:tcBorders>
            <w:vAlign w:val="center"/>
          </w:tcPr>
          <w:p w14:paraId="11BCD4C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86" w:type="pct"/>
            <w:tcBorders>
              <w:right w:val="single" w:color="auto" w:sz="4" w:space="0"/>
            </w:tcBorders>
            <w:vAlign w:val="center"/>
          </w:tcPr>
          <w:p w14:paraId="40A2F27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388" w:type="pct"/>
            <w:tcBorders>
              <w:right w:val="single" w:color="auto" w:sz="4" w:space="0"/>
            </w:tcBorders>
            <w:vAlign w:val="center"/>
          </w:tcPr>
          <w:p w14:paraId="69831A5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0.00004L</w:t>
            </w:r>
          </w:p>
        </w:tc>
        <w:tc>
          <w:tcPr>
            <w:tcW w:w="297" w:type="pct"/>
            <w:tcBorders>
              <w:right w:val="single" w:color="auto" w:sz="4" w:space="0"/>
            </w:tcBorders>
            <w:vAlign w:val="center"/>
          </w:tcPr>
          <w:p w14:paraId="1796460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298" w:type="pct"/>
            <w:tcBorders>
              <w:right w:val="single" w:color="auto" w:sz="4" w:space="0"/>
            </w:tcBorders>
            <w:vAlign w:val="center"/>
          </w:tcPr>
          <w:p w14:paraId="04797EE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right w:val="single" w:color="auto" w:sz="12" w:space="0"/>
            </w:tcBorders>
            <w:vAlign w:val="center"/>
          </w:tcPr>
          <w:p w14:paraId="581FD8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2DACB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left w:val="single" w:color="auto" w:sz="12" w:space="0"/>
              <w:bottom w:val="single" w:color="auto" w:sz="4" w:space="0"/>
            </w:tcBorders>
            <w:vAlign w:val="center"/>
          </w:tcPr>
          <w:p w14:paraId="5C28A49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297" w:type="pct"/>
            <w:tcBorders>
              <w:left w:val="single" w:color="auto" w:sz="4" w:space="0"/>
              <w:bottom w:val="single" w:color="auto" w:sz="4" w:space="0"/>
            </w:tcBorders>
            <w:vAlign w:val="center"/>
          </w:tcPr>
          <w:p w14:paraId="24C9AD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tcBorders>
              <w:bottom w:val="single" w:color="auto" w:sz="4" w:space="0"/>
            </w:tcBorders>
            <w:vAlign w:val="center"/>
          </w:tcPr>
          <w:p w14:paraId="488E0B9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0.00095</w:t>
            </w:r>
          </w:p>
        </w:tc>
        <w:tc>
          <w:tcPr>
            <w:tcW w:w="386" w:type="pct"/>
            <w:tcBorders>
              <w:bottom w:val="single" w:color="auto" w:sz="4" w:space="0"/>
            </w:tcBorders>
            <w:vAlign w:val="center"/>
          </w:tcPr>
          <w:p w14:paraId="38A4E09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0.00088</w:t>
            </w:r>
          </w:p>
        </w:tc>
        <w:tc>
          <w:tcPr>
            <w:tcW w:w="386" w:type="pct"/>
            <w:tcBorders>
              <w:bottom w:val="single" w:color="auto" w:sz="4" w:space="0"/>
            </w:tcBorders>
            <w:vAlign w:val="center"/>
          </w:tcPr>
          <w:p w14:paraId="54E67A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0.00093</w:t>
            </w:r>
          </w:p>
        </w:tc>
        <w:tc>
          <w:tcPr>
            <w:tcW w:w="386" w:type="pct"/>
            <w:tcBorders>
              <w:bottom w:val="single" w:color="auto" w:sz="4" w:space="0"/>
              <w:right w:val="single" w:color="auto" w:sz="4" w:space="0"/>
            </w:tcBorders>
            <w:vAlign w:val="center"/>
          </w:tcPr>
          <w:p w14:paraId="26A2752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0.00093</w:t>
            </w:r>
          </w:p>
        </w:tc>
        <w:tc>
          <w:tcPr>
            <w:tcW w:w="386" w:type="pct"/>
            <w:tcBorders>
              <w:bottom w:val="single" w:color="auto" w:sz="4" w:space="0"/>
              <w:right w:val="single" w:color="auto" w:sz="4" w:space="0"/>
            </w:tcBorders>
            <w:vAlign w:val="center"/>
          </w:tcPr>
          <w:p w14:paraId="207BD8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0.00088</w:t>
            </w:r>
          </w:p>
        </w:tc>
        <w:tc>
          <w:tcPr>
            <w:tcW w:w="386" w:type="pct"/>
            <w:tcBorders>
              <w:bottom w:val="single" w:color="auto" w:sz="4" w:space="0"/>
              <w:right w:val="single" w:color="auto" w:sz="4" w:space="0"/>
            </w:tcBorders>
            <w:vAlign w:val="center"/>
          </w:tcPr>
          <w:p w14:paraId="75C1AC4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0.00090</w:t>
            </w:r>
          </w:p>
        </w:tc>
        <w:tc>
          <w:tcPr>
            <w:tcW w:w="386" w:type="pct"/>
            <w:tcBorders>
              <w:bottom w:val="single" w:color="auto" w:sz="4" w:space="0"/>
              <w:right w:val="single" w:color="auto" w:sz="4" w:space="0"/>
            </w:tcBorders>
            <w:vAlign w:val="center"/>
          </w:tcPr>
          <w:p w14:paraId="7A397B7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0.00103</w:t>
            </w:r>
          </w:p>
        </w:tc>
        <w:tc>
          <w:tcPr>
            <w:tcW w:w="386" w:type="pct"/>
            <w:tcBorders>
              <w:bottom w:val="single" w:color="auto" w:sz="4" w:space="0"/>
              <w:right w:val="single" w:color="auto" w:sz="4" w:space="0"/>
            </w:tcBorders>
            <w:vAlign w:val="center"/>
          </w:tcPr>
          <w:p w14:paraId="73354C6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0.00091</w:t>
            </w:r>
          </w:p>
        </w:tc>
        <w:tc>
          <w:tcPr>
            <w:tcW w:w="388" w:type="pct"/>
            <w:tcBorders>
              <w:bottom w:val="single" w:color="auto" w:sz="4" w:space="0"/>
              <w:right w:val="single" w:color="auto" w:sz="4" w:space="0"/>
            </w:tcBorders>
            <w:vAlign w:val="center"/>
          </w:tcPr>
          <w:p w14:paraId="4C7646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0.00100</w:t>
            </w:r>
          </w:p>
        </w:tc>
        <w:tc>
          <w:tcPr>
            <w:tcW w:w="297" w:type="pct"/>
            <w:tcBorders>
              <w:bottom w:val="single" w:color="auto" w:sz="4" w:space="0"/>
              <w:right w:val="single" w:color="auto" w:sz="4" w:space="0"/>
            </w:tcBorders>
            <w:vAlign w:val="center"/>
          </w:tcPr>
          <w:p w14:paraId="319DC4B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298" w:type="pct"/>
            <w:tcBorders>
              <w:bottom w:val="single" w:color="auto" w:sz="4" w:space="0"/>
              <w:right w:val="single" w:color="auto" w:sz="4" w:space="0"/>
            </w:tcBorders>
            <w:vAlign w:val="center"/>
          </w:tcPr>
          <w:p w14:paraId="5DE2B89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bottom w:val="single" w:color="auto" w:sz="4" w:space="0"/>
              <w:right w:val="single" w:color="auto" w:sz="12" w:space="0"/>
            </w:tcBorders>
            <w:vAlign w:val="center"/>
          </w:tcPr>
          <w:p w14:paraId="4CAB9F1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FE0AD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auto" w:sz="4" w:space="0"/>
              <w:left w:val="single" w:color="auto" w:sz="12" w:space="0"/>
            </w:tcBorders>
            <w:vAlign w:val="center"/>
          </w:tcPr>
          <w:p w14:paraId="1D55D4C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297" w:type="pct"/>
            <w:tcBorders>
              <w:top w:val="single" w:color="auto" w:sz="4" w:space="0"/>
              <w:left w:val="single" w:color="auto" w:sz="4" w:space="0"/>
            </w:tcBorders>
            <w:vAlign w:val="center"/>
          </w:tcPr>
          <w:p w14:paraId="66DA535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tcBorders>
              <w:top w:val="single" w:color="auto" w:sz="4" w:space="0"/>
            </w:tcBorders>
            <w:vAlign w:val="center"/>
          </w:tcPr>
          <w:p w14:paraId="5CE5F21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0.00142</w:t>
            </w:r>
          </w:p>
        </w:tc>
        <w:tc>
          <w:tcPr>
            <w:tcW w:w="386" w:type="pct"/>
            <w:tcBorders>
              <w:top w:val="single" w:color="auto" w:sz="4" w:space="0"/>
            </w:tcBorders>
            <w:vAlign w:val="center"/>
          </w:tcPr>
          <w:p w14:paraId="1A08EE9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0.00112</w:t>
            </w:r>
          </w:p>
        </w:tc>
        <w:tc>
          <w:tcPr>
            <w:tcW w:w="386" w:type="pct"/>
            <w:tcBorders>
              <w:top w:val="single" w:color="auto" w:sz="4" w:space="0"/>
            </w:tcBorders>
            <w:vAlign w:val="center"/>
          </w:tcPr>
          <w:p w14:paraId="4851C28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0.00177</w:t>
            </w:r>
          </w:p>
        </w:tc>
        <w:tc>
          <w:tcPr>
            <w:tcW w:w="386" w:type="pct"/>
            <w:tcBorders>
              <w:top w:val="single" w:color="auto" w:sz="4" w:space="0"/>
              <w:right w:val="single" w:color="auto" w:sz="4" w:space="0"/>
            </w:tcBorders>
            <w:vAlign w:val="center"/>
          </w:tcPr>
          <w:p w14:paraId="0E7828B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0.00212</w:t>
            </w:r>
          </w:p>
        </w:tc>
        <w:tc>
          <w:tcPr>
            <w:tcW w:w="386" w:type="pct"/>
            <w:tcBorders>
              <w:top w:val="single" w:color="auto" w:sz="4" w:space="0"/>
              <w:right w:val="single" w:color="auto" w:sz="4" w:space="0"/>
            </w:tcBorders>
            <w:vAlign w:val="center"/>
          </w:tcPr>
          <w:p w14:paraId="0F577DF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0.00158</w:t>
            </w:r>
          </w:p>
        </w:tc>
        <w:tc>
          <w:tcPr>
            <w:tcW w:w="386" w:type="pct"/>
            <w:tcBorders>
              <w:top w:val="single" w:color="auto" w:sz="4" w:space="0"/>
              <w:right w:val="single" w:color="auto" w:sz="4" w:space="0"/>
            </w:tcBorders>
            <w:vAlign w:val="center"/>
          </w:tcPr>
          <w:p w14:paraId="59C21A1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0.00312</w:t>
            </w:r>
          </w:p>
        </w:tc>
        <w:tc>
          <w:tcPr>
            <w:tcW w:w="386" w:type="pct"/>
            <w:tcBorders>
              <w:top w:val="single" w:color="auto" w:sz="4" w:space="0"/>
              <w:right w:val="single" w:color="auto" w:sz="4" w:space="0"/>
            </w:tcBorders>
            <w:vAlign w:val="center"/>
          </w:tcPr>
          <w:p w14:paraId="11988FC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0.00171</w:t>
            </w:r>
          </w:p>
        </w:tc>
        <w:tc>
          <w:tcPr>
            <w:tcW w:w="386" w:type="pct"/>
            <w:tcBorders>
              <w:top w:val="single" w:color="auto" w:sz="4" w:space="0"/>
              <w:right w:val="single" w:color="auto" w:sz="4" w:space="0"/>
            </w:tcBorders>
            <w:vAlign w:val="center"/>
          </w:tcPr>
          <w:p w14:paraId="0F5DD7D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0.00177</w:t>
            </w:r>
          </w:p>
        </w:tc>
        <w:tc>
          <w:tcPr>
            <w:tcW w:w="388" w:type="pct"/>
            <w:tcBorders>
              <w:top w:val="single" w:color="auto" w:sz="4" w:space="0"/>
              <w:right w:val="single" w:color="auto" w:sz="4" w:space="0"/>
            </w:tcBorders>
            <w:vAlign w:val="center"/>
          </w:tcPr>
          <w:p w14:paraId="62E0BB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0.00210</w:t>
            </w:r>
          </w:p>
        </w:tc>
        <w:tc>
          <w:tcPr>
            <w:tcW w:w="297" w:type="pct"/>
            <w:tcBorders>
              <w:top w:val="single" w:color="auto" w:sz="4" w:space="0"/>
              <w:right w:val="single" w:color="auto" w:sz="4" w:space="0"/>
            </w:tcBorders>
            <w:vAlign w:val="center"/>
          </w:tcPr>
          <w:p w14:paraId="3CA2084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298" w:type="pct"/>
            <w:tcBorders>
              <w:top w:val="single" w:color="auto" w:sz="4" w:space="0"/>
              <w:right w:val="single" w:color="auto" w:sz="4" w:space="0"/>
            </w:tcBorders>
            <w:vAlign w:val="center"/>
          </w:tcPr>
          <w:p w14:paraId="554BD98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top w:val="single" w:color="auto" w:sz="4" w:space="0"/>
              <w:right w:val="single" w:color="auto" w:sz="12" w:space="0"/>
            </w:tcBorders>
            <w:vAlign w:val="center"/>
          </w:tcPr>
          <w:p w14:paraId="4FBF4E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C466D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auto" w:sz="4" w:space="0"/>
              <w:left w:val="single" w:color="auto" w:sz="12" w:space="0"/>
            </w:tcBorders>
            <w:vAlign w:val="center"/>
          </w:tcPr>
          <w:p w14:paraId="52AC9C0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297" w:type="pct"/>
            <w:tcBorders>
              <w:top w:val="single" w:color="auto" w:sz="4" w:space="0"/>
              <w:left w:val="single" w:color="auto" w:sz="4" w:space="0"/>
            </w:tcBorders>
            <w:vAlign w:val="center"/>
          </w:tcPr>
          <w:p w14:paraId="6448C5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tcBorders>
              <w:top w:val="single" w:color="auto" w:sz="4" w:space="0"/>
            </w:tcBorders>
            <w:vAlign w:val="center"/>
          </w:tcPr>
          <w:p w14:paraId="04995EC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86" w:type="pct"/>
            <w:tcBorders>
              <w:top w:val="single" w:color="auto" w:sz="4" w:space="0"/>
            </w:tcBorders>
            <w:vAlign w:val="center"/>
          </w:tcPr>
          <w:p w14:paraId="720163E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86" w:type="pct"/>
            <w:tcBorders>
              <w:top w:val="single" w:color="auto" w:sz="4" w:space="0"/>
            </w:tcBorders>
            <w:vAlign w:val="center"/>
          </w:tcPr>
          <w:p w14:paraId="2CAD091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86" w:type="pct"/>
            <w:tcBorders>
              <w:top w:val="single" w:color="auto" w:sz="4" w:space="0"/>
              <w:right w:val="single" w:color="auto" w:sz="4" w:space="0"/>
            </w:tcBorders>
            <w:vAlign w:val="center"/>
          </w:tcPr>
          <w:p w14:paraId="600D4B8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86" w:type="pct"/>
            <w:tcBorders>
              <w:top w:val="single" w:color="auto" w:sz="4" w:space="0"/>
              <w:right w:val="single" w:color="auto" w:sz="4" w:space="0"/>
            </w:tcBorders>
            <w:vAlign w:val="center"/>
          </w:tcPr>
          <w:p w14:paraId="4847905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86" w:type="pct"/>
            <w:tcBorders>
              <w:top w:val="single" w:color="auto" w:sz="4" w:space="0"/>
              <w:right w:val="single" w:color="auto" w:sz="4" w:space="0"/>
            </w:tcBorders>
            <w:vAlign w:val="center"/>
          </w:tcPr>
          <w:p w14:paraId="286C66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86" w:type="pct"/>
            <w:tcBorders>
              <w:top w:val="single" w:color="auto" w:sz="4" w:space="0"/>
              <w:right w:val="single" w:color="auto" w:sz="4" w:space="0"/>
            </w:tcBorders>
            <w:vAlign w:val="center"/>
          </w:tcPr>
          <w:p w14:paraId="5BE3E8C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86" w:type="pct"/>
            <w:tcBorders>
              <w:top w:val="single" w:color="auto" w:sz="4" w:space="0"/>
              <w:right w:val="single" w:color="auto" w:sz="4" w:space="0"/>
            </w:tcBorders>
            <w:vAlign w:val="center"/>
          </w:tcPr>
          <w:p w14:paraId="216041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388" w:type="pct"/>
            <w:tcBorders>
              <w:top w:val="single" w:color="auto" w:sz="4" w:space="0"/>
              <w:right w:val="single" w:color="auto" w:sz="4" w:space="0"/>
            </w:tcBorders>
            <w:vAlign w:val="center"/>
          </w:tcPr>
          <w:p w14:paraId="6F0228E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0.00006L</w:t>
            </w:r>
          </w:p>
        </w:tc>
        <w:tc>
          <w:tcPr>
            <w:tcW w:w="297" w:type="pct"/>
            <w:tcBorders>
              <w:top w:val="single" w:color="auto" w:sz="4" w:space="0"/>
              <w:right w:val="single" w:color="auto" w:sz="4" w:space="0"/>
            </w:tcBorders>
            <w:vAlign w:val="center"/>
          </w:tcPr>
          <w:p w14:paraId="2E4DF5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298" w:type="pct"/>
            <w:tcBorders>
              <w:top w:val="single" w:color="auto" w:sz="4" w:space="0"/>
              <w:right w:val="single" w:color="auto" w:sz="4" w:space="0"/>
            </w:tcBorders>
            <w:vAlign w:val="center"/>
          </w:tcPr>
          <w:p w14:paraId="65F932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top w:val="single" w:color="auto" w:sz="4" w:space="0"/>
              <w:right w:val="single" w:color="auto" w:sz="12" w:space="0"/>
            </w:tcBorders>
            <w:vAlign w:val="center"/>
          </w:tcPr>
          <w:p w14:paraId="07C69A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A9688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auto" w:sz="4" w:space="0"/>
              <w:left w:val="single" w:color="auto" w:sz="12" w:space="0"/>
            </w:tcBorders>
            <w:vAlign w:val="center"/>
          </w:tcPr>
          <w:p w14:paraId="63492C8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铊</w:t>
            </w:r>
          </w:p>
        </w:tc>
        <w:tc>
          <w:tcPr>
            <w:tcW w:w="297" w:type="pct"/>
            <w:tcBorders>
              <w:top w:val="single" w:color="auto" w:sz="4" w:space="0"/>
              <w:left w:val="single" w:color="auto" w:sz="4" w:space="0"/>
            </w:tcBorders>
            <w:vAlign w:val="center"/>
          </w:tcPr>
          <w:p w14:paraId="3551525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tcBorders>
              <w:top w:val="single" w:color="auto" w:sz="4" w:space="0"/>
            </w:tcBorders>
            <w:vAlign w:val="center"/>
          </w:tcPr>
          <w:p w14:paraId="428F007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0.00002</w:t>
            </w:r>
          </w:p>
        </w:tc>
        <w:tc>
          <w:tcPr>
            <w:tcW w:w="386" w:type="pct"/>
            <w:tcBorders>
              <w:top w:val="single" w:color="auto" w:sz="4" w:space="0"/>
            </w:tcBorders>
            <w:vAlign w:val="center"/>
          </w:tcPr>
          <w:p w14:paraId="1C61280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0.00002</w:t>
            </w:r>
          </w:p>
        </w:tc>
        <w:tc>
          <w:tcPr>
            <w:tcW w:w="386" w:type="pct"/>
            <w:tcBorders>
              <w:top w:val="single" w:color="auto" w:sz="4" w:space="0"/>
            </w:tcBorders>
            <w:vAlign w:val="center"/>
          </w:tcPr>
          <w:p w14:paraId="2D60EC4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386" w:type="pct"/>
            <w:tcBorders>
              <w:top w:val="single" w:color="auto" w:sz="4" w:space="0"/>
              <w:right w:val="single" w:color="auto" w:sz="4" w:space="0"/>
            </w:tcBorders>
            <w:vAlign w:val="center"/>
          </w:tcPr>
          <w:p w14:paraId="395ED36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386" w:type="pct"/>
            <w:tcBorders>
              <w:top w:val="single" w:color="auto" w:sz="4" w:space="0"/>
              <w:right w:val="single" w:color="auto" w:sz="4" w:space="0"/>
            </w:tcBorders>
            <w:vAlign w:val="center"/>
          </w:tcPr>
          <w:p w14:paraId="5CA0E8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386" w:type="pct"/>
            <w:tcBorders>
              <w:top w:val="single" w:color="auto" w:sz="4" w:space="0"/>
              <w:right w:val="single" w:color="auto" w:sz="4" w:space="0"/>
            </w:tcBorders>
            <w:vAlign w:val="center"/>
          </w:tcPr>
          <w:p w14:paraId="5CDC775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386" w:type="pct"/>
            <w:tcBorders>
              <w:top w:val="single" w:color="auto" w:sz="4" w:space="0"/>
              <w:right w:val="single" w:color="auto" w:sz="4" w:space="0"/>
            </w:tcBorders>
            <w:vAlign w:val="center"/>
          </w:tcPr>
          <w:p w14:paraId="65B03A5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386" w:type="pct"/>
            <w:tcBorders>
              <w:top w:val="single" w:color="auto" w:sz="4" w:space="0"/>
              <w:right w:val="single" w:color="auto" w:sz="4" w:space="0"/>
            </w:tcBorders>
            <w:vAlign w:val="center"/>
          </w:tcPr>
          <w:p w14:paraId="7B29EE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0.00005</w:t>
            </w:r>
          </w:p>
        </w:tc>
        <w:tc>
          <w:tcPr>
            <w:tcW w:w="388" w:type="pct"/>
            <w:tcBorders>
              <w:top w:val="single" w:color="auto" w:sz="4" w:space="0"/>
              <w:right w:val="single" w:color="auto" w:sz="4" w:space="0"/>
            </w:tcBorders>
            <w:vAlign w:val="center"/>
          </w:tcPr>
          <w:p w14:paraId="28FDF5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297" w:type="pct"/>
            <w:tcBorders>
              <w:top w:val="single" w:color="auto" w:sz="4" w:space="0"/>
              <w:right w:val="single" w:color="auto" w:sz="4" w:space="0"/>
            </w:tcBorders>
            <w:vAlign w:val="center"/>
          </w:tcPr>
          <w:p w14:paraId="5F2ACE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298" w:type="pct"/>
            <w:tcBorders>
              <w:top w:val="single" w:color="auto" w:sz="4" w:space="0"/>
              <w:right w:val="single" w:color="auto" w:sz="4" w:space="0"/>
            </w:tcBorders>
            <w:vAlign w:val="center"/>
          </w:tcPr>
          <w:p w14:paraId="6E35E7A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top w:val="single" w:color="auto" w:sz="4" w:space="0"/>
              <w:right w:val="single" w:color="auto" w:sz="12" w:space="0"/>
            </w:tcBorders>
            <w:vAlign w:val="center"/>
          </w:tcPr>
          <w:p w14:paraId="06CFBF4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425FC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auto" w:sz="4" w:space="0"/>
              <w:left w:val="single" w:color="auto" w:sz="12" w:space="0"/>
            </w:tcBorders>
            <w:vAlign w:val="center"/>
          </w:tcPr>
          <w:p w14:paraId="4FF5F72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六价铬</w:t>
            </w:r>
          </w:p>
        </w:tc>
        <w:tc>
          <w:tcPr>
            <w:tcW w:w="297" w:type="pct"/>
            <w:tcBorders>
              <w:top w:val="single" w:color="auto" w:sz="4" w:space="0"/>
              <w:left w:val="single" w:color="auto" w:sz="4" w:space="0"/>
            </w:tcBorders>
            <w:vAlign w:val="center"/>
          </w:tcPr>
          <w:p w14:paraId="57B551F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tcBorders>
              <w:top w:val="single" w:color="auto" w:sz="4" w:space="0"/>
            </w:tcBorders>
            <w:vAlign w:val="center"/>
          </w:tcPr>
          <w:p w14:paraId="06CB38B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86" w:type="pct"/>
            <w:tcBorders>
              <w:top w:val="single" w:color="auto" w:sz="4" w:space="0"/>
            </w:tcBorders>
            <w:vAlign w:val="center"/>
          </w:tcPr>
          <w:p w14:paraId="5458620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86" w:type="pct"/>
            <w:tcBorders>
              <w:top w:val="single" w:color="auto" w:sz="4" w:space="0"/>
            </w:tcBorders>
            <w:vAlign w:val="center"/>
          </w:tcPr>
          <w:p w14:paraId="478FED4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86" w:type="pct"/>
            <w:tcBorders>
              <w:top w:val="single" w:color="auto" w:sz="4" w:space="0"/>
              <w:right w:val="single" w:color="auto" w:sz="4" w:space="0"/>
            </w:tcBorders>
            <w:vAlign w:val="center"/>
          </w:tcPr>
          <w:p w14:paraId="1D63A13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86" w:type="pct"/>
            <w:tcBorders>
              <w:top w:val="single" w:color="auto" w:sz="4" w:space="0"/>
              <w:right w:val="single" w:color="auto" w:sz="4" w:space="0"/>
            </w:tcBorders>
            <w:vAlign w:val="center"/>
          </w:tcPr>
          <w:p w14:paraId="3A7BA31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86" w:type="pct"/>
            <w:tcBorders>
              <w:top w:val="single" w:color="auto" w:sz="4" w:space="0"/>
              <w:right w:val="single" w:color="auto" w:sz="4" w:space="0"/>
            </w:tcBorders>
            <w:vAlign w:val="center"/>
          </w:tcPr>
          <w:p w14:paraId="542BB4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86" w:type="pct"/>
            <w:tcBorders>
              <w:top w:val="single" w:color="auto" w:sz="4" w:space="0"/>
              <w:right w:val="single" w:color="auto" w:sz="4" w:space="0"/>
            </w:tcBorders>
            <w:vAlign w:val="center"/>
          </w:tcPr>
          <w:p w14:paraId="1397DB8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86" w:type="pct"/>
            <w:tcBorders>
              <w:top w:val="single" w:color="auto" w:sz="4" w:space="0"/>
              <w:right w:val="single" w:color="auto" w:sz="4" w:space="0"/>
            </w:tcBorders>
            <w:vAlign w:val="center"/>
          </w:tcPr>
          <w:p w14:paraId="6B13B9C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388" w:type="pct"/>
            <w:tcBorders>
              <w:top w:val="single" w:color="auto" w:sz="4" w:space="0"/>
              <w:right w:val="single" w:color="auto" w:sz="4" w:space="0"/>
            </w:tcBorders>
            <w:vAlign w:val="center"/>
          </w:tcPr>
          <w:p w14:paraId="7A7C261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0.004L</w:t>
            </w:r>
          </w:p>
        </w:tc>
        <w:tc>
          <w:tcPr>
            <w:tcW w:w="297" w:type="pct"/>
            <w:tcBorders>
              <w:top w:val="single" w:color="auto" w:sz="4" w:space="0"/>
              <w:right w:val="single" w:color="auto" w:sz="4" w:space="0"/>
            </w:tcBorders>
            <w:vAlign w:val="center"/>
          </w:tcPr>
          <w:p w14:paraId="396BA49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298" w:type="pct"/>
            <w:tcBorders>
              <w:top w:val="single" w:color="auto" w:sz="4" w:space="0"/>
              <w:right w:val="single" w:color="auto" w:sz="4" w:space="0"/>
            </w:tcBorders>
            <w:vAlign w:val="center"/>
          </w:tcPr>
          <w:p w14:paraId="2F9C6EE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top w:val="single" w:color="auto" w:sz="4" w:space="0"/>
              <w:right w:val="single" w:color="auto" w:sz="12" w:space="0"/>
            </w:tcBorders>
            <w:vAlign w:val="center"/>
          </w:tcPr>
          <w:p w14:paraId="11FD7DB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BA120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auto" w:sz="4" w:space="0"/>
              <w:left w:val="single" w:color="auto" w:sz="12" w:space="0"/>
            </w:tcBorders>
            <w:vAlign w:val="center"/>
          </w:tcPr>
          <w:p w14:paraId="6F56311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粪大肠菌群</w:t>
            </w:r>
          </w:p>
        </w:tc>
        <w:tc>
          <w:tcPr>
            <w:tcW w:w="297" w:type="pct"/>
            <w:tcBorders>
              <w:top w:val="single" w:color="auto" w:sz="4" w:space="0"/>
              <w:left w:val="single" w:color="auto" w:sz="4" w:space="0"/>
            </w:tcBorders>
            <w:vAlign w:val="center"/>
          </w:tcPr>
          <w:p w14:paraId="63AF41D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MPN/L</w:t>
            </w:r>
          </w:p>
        </w:tc>
        <w:tc>
          <w:tcPr>
            <w:tcW w:w="386" w:type="pct"/>
            <w:tcBorders>
              <w:top w:val="single" w:color="auto" w:sz="4" w:space="0"/>
            </w:tcBorders>
            <w:vAlign w:val="center"/>
          </w:tcPr>
          <w:p w14:paraId="753CFDE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790</w:t>
            </w:r>
          </w:p>
        </w:tc>
        <w:tc>
          <w:tcPr>
            <w:tcW w:w="386" w:type="pct"/>
            <w:tcBorders>
              <w:top w:val="single" w:color="auto" w:sz="4" w:space="0"/>
            </w:tcBorders>
            <w:vAlign w:val="center"/>
          </w:tcPr>
          <w:p w14:paraId="0CC21F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320</w:t>
            </w:r>
          </w:p>
        </w:tc>
        <w:tc>
          <w:tcPr>
            <w:tcW w:w="386" w:type="pct"/>
            <w:tcBorders>
              <w:top w:val="single" w:color="auto" w:sz="4" w:space="0"/>
            </w:tcBorders>
            <w:vAlign w:val="center"/>
          </w:tcPr>
          <w:p w14:paraId="030709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1400</w:t>
            </w:r>
          </w:p>
        </w:tc>
        <w:tc>
          <w:tcPr>
            <w:tcW w:w="386" w:type="pct"/>
            <w:tcBorders>
              <w:top w:val="single" w:color="auto" w:sz="4" w:space="0"/>
              <w:right w:val="single" w:color="auto" w:sz="4" w:space="0"/>
            </w:tcBorders>
            <w:vAlign w:val="center"/>
          </w:tcPr>
          <w:p w14:paraId="52764E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330</w:t>
            </w:r>
          </w:p>
        </w:tc>
        <w:tc>
          <w:tcPr>
            <w:tcW w:w="386" w:type="pct"/>
            <w:tcBorders>
              <w:top w:val="single" w:color="auto" w:sz="4" w:space="0"/>
              <w:right w:val="single" w:color="auto" w:sz="4" w:space="0"/>
            </w:tcBorders>
            <w:vAlign w:val="center"/>
          </w:tcPr>
          <w:p w14:paraId="6C4932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390</w:t>
            </w:r>
          </w:p>
        </w:tc>
        <w:tc>
          <w:tcPr>
            <w:tcW w:w="386" w:type="pct"/>
            <w:tcBorders>
              <w:top w:val="single" w:color="auto" w:sz="4" w:space="0"/>
              <w:right w:val="single" w:color="auto" w:sz="4" w:space="0"/>
            </w:tcBorders>
            <w:vAlign w:val="center"/>
          </w:tcPr>
          <w:p w14:paraId="15E7EE2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1400</w:t>
            </w:r>
          </w:p>
        </w:tc>
        <w:tc>
          <w:tcPr>
            <w:tcW w:w="386" w:type="pct"/>
            <w:tcBorders>
              <w:top w:val="single" w:color="auto" w:sz="4" w:space="0"/>
              <w:right w:val="single" w:color="auto" w:sz="4" w:space="0"/>
            </w:tcBorders>
            <w:vAlign w:val="center"/>
          </w:tcPr>
          <w:p w14:paraId="14A211D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320</w:t>
            </w:r>
          </w:p>
        </w:tc>
        <w:tc>
          <w:tcPr>
            <w:tcW w:w="386" w:type="pct"/>
            <w:tcBorders>
              <w:top w:val="single" w:color="auto" w:sz="4" w:space="0"/>
              <w:right w:val="single" w:color="auto" w:sz="4" w:space="0"/>
            </w:tcBorders>
            <w:vAlign w:val="center"/>
          </w:tcPr>
          <w:p w14:paraId="48CB31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1100</w:t>
            </w:r>
          </w:p>
        </w:tc>
        <w:tc>
          <w:tcPr>
            <w:tcW w:w="388" w:type="pct"/>
            <w:tcBorders>
              <w:top w:val="single" w:color="auto" w:sz="4" w:space="0"/>
              <w:right w:val="single" w:color="auto" w:sz="4" w:space="0"/>
            </w:tcBorders>
            <w:vAlign w:val="center"/>
          </w:tcPr>
          <w:p w14:paraId="6D3D0C6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460</w:t>
            </w:r>
          </w:p>
        </w:tc>
        <w:tc>
          <w:tcPr>
            <w:tcW w:w="297" w:type="pct"/>
            <w:tcBorders>
              <w:top w:val="single" w:color="auto" w:sz="4" w:space="0"/>
              <w:right w:val="single" w:color="auto" w:sz="4" w:space="0"/>
            </w:tcBorders>
            <w:vAlign w:val="center"/>
          </w:tcPr>
          <w:p w14:paraId="74455A6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10000个/L</w:t>
            </w:r>
          </w:p>
        </w:tc>
        <w:tc>
          <w:tcPr>
            <w:tcW w:w="298" w:type="pct"/>
            <w:tcBorders>
              <w:top w:val="single" w:color="auto" w:sz="4" w:space="0"/>
              <w:right w:val="single" w:color="auto" w:sz="4" w:space="0"/>
            </w:tcBorders>
            <w:vAlign w:val="center"/>
          </w:tcPr>
          <w:p w14:paraId="0C3C834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247" w:type="pct"/>
            <w:tcBorders>
              <w:top w:val="single" w:color="auto" w:sz="4" w:space="0"/>
              <w:right w:val="single" w:color="auto" w:sz="12" w:space="0"/>
            </w:tcBorders>
            <w:vAlign w:val="center"/>
          </w:tcPr>
          <w:p w14:paraId="6BCF01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BADB2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85" w:type="pct"/>
            <w:tcBorders>
              <w:top w:val="single" w:color="auto" w:sz="4" w:space="0"/>
              <w:left w:val="single" w:color="auto" w:sz="12" w:space="0"/>
              <w:bottom w:val="single" w:color="auto" w:sz="12" w:space="0"/>
            </w:tcBorders>
            <w:vAlign w:val="center"/>
          </w:tcPr>
          <w:p w14:paraId="68BE5A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氯乙烯</w:t>
            </w:r>
          </w:p>
        </w:tc>
        <w:tc>
          <w:tcPr>
            <w:tcW w:w="297" w:type="pct"/>
            <w:tcBorders>
              <w:top w:val="single" w:color="auto" w:sz="4" w:space="0"/>
              <w:left w:val="single" w:color="auto" w:sz="4" w:space="0"/>
              <w:bottom w:val="single" w:color="auto" w:sz="12" w:space="0"/>
            </w:tcBorders>
            <w:vAlign w:val="center"/>
          </w:tcPr>
          <w:p w14:paraId="1E4BB8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386" w:type="pct"/>
            <w:tcBorders>
              <w:top w:val="single" w:color="auto" w:sz="4" w:space="0"/>
              <w:bottom w:val="single" w:color="auto" w:sz="12" w:space="0"/>
            </w:tcBorders>
            <w:vAlign w:val="center"/>
          </w:tcPr>
          <w:p w14:paraId="162BB3B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86" w:type="pct"/>
            <w:tcBorders>
              <w:top w:val="single" w:color="auto" w:sz="4" w:space="0"/>
              <w:bottom w:val="single" w:color="auto" w:sz="12" w:space="0"/>
            </w:tcBorders>
            <w:vAlign w:val="center"/>
          </w:tcPr>
          <w:p w14:paraId="4C17AC5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86" w:type="pct"/>
            <w:tcBorders>
              <w:top w:val="single" w:color="auto" w:sz="4" w:space="0"/>
              <w:bottom w:val="single" w:color="auto" w:sz="12" w:space="0"/>
            </w:tcBorders>
            <w:vAlign w:val="center"/>
          </w:tcPr>
          <w:p w14:paraId="4DADC3C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86" w:type="pct"/>
            <w:tcBorders>
              <w:top w:val="single" w:color="auto" w:sz="4" w:space="0"/>
              <w:bottom w:val="single" w:color="auto" w:sz="12" w:space="0"/>
              <w:right w:val="single" w:color="auto" w:sz="4" w:space="0"/>
            </w:tcBorders>
            <w:vAlign w:val="center"/>
          </w:tcPr>
          <w:p w14:paraId="67E7B4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86" w:type="pct"/>
            <w:tcBorders>
              <w:top w:val="single" w:color="auto" w:sz="4" w:space="0"/>
              <w:bottom w:val="single" w:color="auto" w:sz="12" w:space="0"/>
              <w:right w:val="single" w:color="auto" w:sz="4" w:space="0"/>
            </w:tcBorders>
            <w:vAlign w:val="center"/>
          </w:tcPr>
          <w:p w14:paraId="319A17B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86" w:type="pct"/>
            <w:tcBorders>
              <w:top w:val="single" w:color="auto" w:sz="4" w:space="0"/>
              <w:bottom w:val="single" w:color="auto" w:sz="12" w:space="0"/>
              <w:right w:val="single" w:color="auto" w:sz="4" w:space="0"/>
            </w:tcBorders>
            <w:vAlign w:val="center"/>
          </w:tcPr>
          <w:p w14:paraId="488C658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86" w:type="pct"/>
            <w:tcBorders>
              <w:top w:val="single" w:color="auto" w:sz="4" w:space="0"/>
              <w:bottom w:val="single" w:color="auto" w:sz="12" w:space="0"/>
              <w:right w:val="single" w:color="auto" w:sz="4" w:space="0"/>
            </w:tcBorders>
            <w:vAlign w:val="center"/>
          </w:tcPr>
          <w:p w14:paraId="0EC22A3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86" w:type="pct"/>
            <w:tcBorders>
              <w:top w:val="single" w:color="auto" w:sz="4" w:space="0"/>
              <w:bottom w:val="single" w:color="auto" w:sz="12" w:space="0"/>
              <w:right w:val="single" w:color="auto" w:sz="4" w:space="0"/>
            </w:tcBorders>
            <w:vAlign w:val="center"/>
          </w:tcPr>
          <w:p w14:paraId="03B072D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388" w:type="pct"/>
            <w:tcBorders>
              <w:top w:val="single" w:color="auto" w:sz="4" w:space="0"/>
              <w:bottom w:val="single" w:color="auto" w:sz="12" w:space="0"/>
              <w:right w:val="single" w:color="auto" w:sz="4" w:space="0"/>
            </w:tcBorders>
            <w:vAlign w:val="center"/>
          </w:tcPr>
          <w:p w14:paraId="79468DE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0.0015L</w:t>
            </w:r>
          </w:p>
        </w:tc>
        <w:tc>
          <w:tcPr>
            <w:tcW w:w="297" w:type="pct"/>
            <w:tcBorders>
              <w:top w:val="single" w:color="auto" w:sz="4" w:space="0"/>
              <w:bottom w:val="single" w:color="auto" w:sz="12" w:space="0"/>
              <w:right w:val="single" w:color="auto" w:sz="4" w:space="0"/>
            </w:tcBorders>
            <w:vAlign w:val="center"/>
          </w:tcPr>
          <w:p w14:paraId="7FF4ECC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298" w:type="pct"/>
            <w:tcBorders>
              <w:top w:val="single" w:color="auto" w:sz="4" w:space="0"/>
              <w:bottom w:val="single" w:color="auto" w:sz="12" w:space="0"/>
              <w:right w:val="single" w:color="auto" w:sz="4" w:space="0"/>
            </w:tcBorders>
            <w:vAlign w:val="center"/>
          </w:tcPr>
          <w:p w14:paraId="2968DCF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247" w:type="pct"/>
            <w:tcBorders>
              <w:top w:val="single" w:color="auto" w:sz="4" w:space="0"/>
              <w:bottom w:val="single" w:color="auto" w:sz="12" w:space="0"/>
              <w:right w:val="single" w:color="auto" w:sz="12" w:space="0"/>
            </w:tcBorders>
            <w:vAlign w:val="center"/>
          </w:tcPr>
          <w:p w14:paraId="1F2E202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bl>
    <w:p w14:paraId="5FF6B168">
      <w:pPr>
        <w:pStyle w:val="28"/>
        <w:rPr>
          <w:rFonts w:hint="default" w:ascii="Times New Roman" w:hAnsi="Times New Roman" w:cs="Times New Roman"/>
          <w:color w:val="auto"/>
          <w:highlight w:val="none"/>
          <w:u w:val="none" w:color="auto"/>
        </w:rPr>
        <w:sectPr>
          <w:pgSz w:w="16838" w:h="11906" w:orient="landscape"/>
          <w:pgMar w:top="1440" w:right="1502" w:bottom="1440" w:left="1502" w:header="851" w:footer="680" w:gutter="0"/>
          <w:pgBorders>
            <w:top w:val="none" w:sz="0" w:space="0"/>
            <w:left w:val="none" w:sz="0" w:space="0"/>
            <w:bottom w:val="none" w:sz="0" w:space="0"/>
            <w:right w:val="none" w:sz="0" w:space="0"/>
          </w:pgBorders>
          <w:cols w:space="0" w:num="1"/>
          <w:docGrid w:type="lines" w:linePitch="326" w:charSpace="0"/>
        </w:sectPr>
      </w:pPr>
    </w:p>
    <w:p w14:paraId="398EDB30">
      <w:pPr>
        <w:pStyle w:val="13"/>
        <w:jc w:val="center"/>
        <w:rPr>
          <w:rFonts w:hint="default" w:ascii="Times New Roman" w:hAnsi="Times New Roman" w:eastAsia="宋体" w:cs="Times New Roman"/>
          <w:b/>
          <w:bCs/>
          <w:i w:val="0"/>
          <w:iCs w:val="0"/>
          <w:color w:val="auto"/>
          <w:sz w:val="21"/>
          <w:szCs w:val="21"/>
          <w:highlight w:val="none"/>
          <w:u w:val="none" w:color="auto"/>
          <w:lang w:val="en-US" w:eastAsia="zh-CN"/>
        </w:rPr>
      </w:pPr>
      <w:r>
        <w:rPr>
          <w:rFonts w:hint="default" w:ascii="Times New Roman" w:hAnsi="Times New Roman" w:eastAsia="宋体" w:cs="Times New Roman"/>
          <w:b/>
          <w:bCs/>
          <w:i w:val="0"/>
          <w:iCs w:val="0"/>
          <w:color w:val="auto"/>
          <w:sz w:val="21"/>
          <w:szCs w:val="21"/>
          <w:highlight w:val="none"/>
          <w:u w:val="none" w:color="auto"/>
          <w:lang w:val="en-US" w:eastAsia="zh-CN"/>
        </w:rPr>
        <w:t>表6.2-2（8）  地表水监测与评价结果一览表</w:t>
      </w:r>
    </w:p>
    <w:tbl>
      <w:tblPr>
        <w:tblStyle w:val="22"/>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784"/>
        <w:gridCol w:w="1177"/>
        <w:gridCol w:w="1922"/>
        <w:gridCol w:w="1922"/>
        <w:gridCol w:w="1925"/>
        <w:gridCol w:w="1189"/>
        <w:gridCol w:w="1073"/>
        <w:gridCol w:w="1563"/>
      </w:tblGrid>
      <w:tr w14:paraId="20E3D8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restart"/>
            <w:tcBorders>
              <w:top w:val="single" w:color="auto" w:sz="12" w:space="0"/>
              <w:left w:val="single" w:color="auto" w:sz="12" w:space="0"/>
            </w:tcBorders>
            <w:vAlign w:val="center"/>
          </w:tcPr>
          <w:p w14:paraId="3F3FCC5C">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监测点位</w:t>
            </w:r>
          </w:p>
        </w:tc>
        <w:tc>
          <w:tcPr>
            <w:tcW w:w="635" w:type="pct"/>
            <w:vMerge w:val="restart"/>
            <w:tcBorders>
              <w:top w:val="single" w:color="auto" w:sz="12" w:space="0"/>
              <w:left w:val="single" w:color="auto" w:sz="4" w:space="0"/>
            </w:tcBorders>
            <w:vAlign w:val="center"/>
          </w:tcPr>
          <w:p w14:paraId="0005F69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监测项目</w:t>
            </w:r>
          </w:p>
        </w:tc>
        <w:tc>
          <w:tcPr>
            <w:tcW w:w="419" w:type="pct"/>
            <w:vMerge w:val="restart"/>
            <w:tcBorders>
              <w:top w:val="single" w:color="auto" w:sz="12" w:space="0"/>
              <w:left w:val="single" w:color="auto" w:sz="4" w:space="0"/>
            </w:tcBorders>
            <w:vAlign w:val="center"/>
          </w:tcPr>
          <w:p w14:paraId="45A16CD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单位</w:t>
            </w:r>
          </w:p>
        </w:tc>
        <w:tc>
          <w:tcPr>
            <w:tcW w:w="2053" w:type="pct"/>
            <w:gridSpan w:val="3"/>
            <w:tcBorders>
              <w:top w:val="single" w:color="auto" w:sz="12" w:space="0"/>
              <w:right w:val="single" w:color="auto" w:sz="4" w:space="0"/>
            </w:tcBorders>
            <w:vAlign w:val="center"/>
          </w:tcPr>
          <w:p w14:paraId="02249E2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监测时间及监测结果</w:t>
            </w:r>
          </w:p>
        </w:tc>
        <w:tc>
          <w:tcPr>
            <w:tcW w:w="423" w:type="pct"/>
            <w:vMerge w:val="restart"/>
            <w:tcBorders>
              <w:top w:val="single" w:color="auto" w:sz="12" w:space="0"/>
              <w:right w:val="single" w:color="auto" w:sz="4" w:space="0"/>
            </w:tcBorders>
            <w:vAlign w:val="center"/>
          </w:tcPr>
          <w:p w14:paraId="556C5F7F">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执行标准</w:t>
            </w:r>
          </w:p>
        </w:tc>
        <w:tc>
          <w:tcPr>
            <w:tcW w:w="382" w:type="pct"/>
            <w:vMerge w:val="restart"/>
            <w:tcBorders>
              <w:top w:val="single" w:color="auto" w:sz="12" w:space="0"/>
              <w:right w:val="single" w:color="auto" w:sz="4" w:space="0"/>
            </w:tcBorders>
            <w:vAlign w:val="center"/>
          </w:tcPr>
          <w:p w14:paraId="376CCD19">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超标率（%）</w:t>
            </w:r>
          </w:p>
        </w:tc>
        <w:tc>
          <w:tcPr>
            <w:tcW w:w="556" w:type="pct"/>
            <w:vMerge w:val="restart"/>
            <w:tcBorders>
              <w:top w:val="single" w:color="auto" w:sz="12" w:space="0"/>
              <w:right w:val="single" w:color="auto" w:sz="12" w:space="0"/>
            </w:tcBorders>
            <w:vAlign w:val="center"/>
          </w:tcPr>
          <w:p w14:paraId="2194A3E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最大超标倍数</w:t>
            </w:r>
          </w:p>
        </w:tc>
      </w:tr>
      <w:tr w14:paraId="0867FC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532" w:type="pct"/>
            <w:vMerge w:val="continue"/>
            <w:tcBorders>
              <w:left w:val="single" w:color="auto" w:sz="12" w:space="0"/>
            </w:tcBorders>
            <w:vAlign w:val="center"/>
          </w:tcPr>
          <w:p w14:paraId="7A9A30B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635" w:type="pct"/>
            <w:vMerge w:val="continue"/>
            <w:tcBorders>
              <w:left w:val="single" w:color="auto" w:sz="4" w:space="0"/>
            </w:tcBorders>
            <w:vAlign w:val="center"/>
          </w:tcPr>
          <w:p w14:paraId="7A2281BB">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419" w:type="pct"/>
            <w:vMerge w:val="continue"/>
            <w:tcBorders>
              <w:left w:val="single" w:color="auto" w:sz="4" w:space="0"/>
            </w:tcBorders>
            <w:vAlign w:val="center"/>
          </w:tcPr>
          <w:p w14:paraId="2DA5317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684" w:type="pct"/>
            <w:tcBorders>
              <w:top w:val="single" w:color="auto" w:sz="4" w:space="0"/>
            </w:tcBorders>
            <w:vAlign w:val="center"/>
          </w:tcPr>
          <w:p w14:paraId="43E37122">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2020年1月10日</w:t>
            </w:r>
          </w:p>
        </w:tc>
        <w:tc>
          <w:tcPr>
            <w:tcW w:w="684" w:type="pct"/>
            <w:tcBorders>
              <w:top w:val="single" w:color="auto" w:sz="4" w:space="0"/>
              <w:right w:val="single" w:color="auto" w:sz="4" w:space="0"/>
            </w:tcBorders>
            <w:vAlign w:val="center"/>
          </w:tcPr>
          <w:p w14:paraId="07BE7633">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2020年1月11日</w:t>
            </w:r>
          </w:p>
        </w:tc>
        <w:tc>
          <w:tcPr>
            <w:tcW w:w="685" w:type="pct"/>
            <w:tcBorders>
              <w:top w:val="single" w:color="auto" w:sz="4" w:space="0"/>
              <w:right w:val="single" w:color="auto" w:sz="4" w:space="0"/>
            </w:tcBorders>
            <w:vAlign w:val="center"/>
          </w:tcPr>
          <w:p w14:paraId="5506A475">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2020年1月12日</w:t>
            </w:r>
          </w:p>
        </w:tc>
        <w:tc>
          <w:tcPr>
            <w:tcW w:w="423" w:type="pct"/>
            <w:vMerge w:val="continue"/>
            <w:tcBorders>
              <w:right w:val="single" w:color="auto" w:sz="4" w:space="0"/>
            </w:tcBorders>
            <w:vAlign w:val="center"/>
          </w:tcPr>
          <w:p w14:paraId="229552F4">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382" w:type="pct"/>
            <w:vMerge w:val="continue"/>
            <w:tcBorders>
              <w:right w:val="single" w:color="auto" w:sz="4" w:space="0"/>
            </w:tcBorders>
            <w:vAlign w:val="center"/>
          </w:tcPr>
          <w:p w14:paraId="511FBD8E">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556" w:type="pct"/>
            <w:vMerge w:val="continue"/>
            <w:tcBorders>
              <w:right w:val="single" w:color="auto" w:sz="12" w:space="0"/>
            </w:tcBorders>
            <w:vAlign w:val="center"/>
          </w:tcPr>
          <w:p w14:paraId="784AD9FA">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r>
      <w:tr w14:paraId="5ED4CE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restart"/>
            <w:tcBorders>
              <w:left w:val="single" w:color="auto" w:sz="12" w:space="0"/>
            </w:tcBorders>
            <w:vAlign w:val="center"/>
          </w:tcPr>
          <w:p w14:paraId="3C855B0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W8</w:t>
            </w:r>
          </w:p>
          <w:p w14:paraId="12A2F0C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湘江和栗山港交汇口</w:t>
            </w:r>
          </w:p>
        </w:tc>
        <w:tc>
          <w:tcPr>
            <w:tcW w:w="635" w:type="pct"/>
            <w:tcBorders>
              <w:left w:val="single" w:color="auto" w:sz="4" w:space="0"/>
            </w:tcBorders>
            <w:vAlign w:val="center"/>
          </w:tcPr>
          <w:p w14:paraId="79F589F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pH</w:t>
            </w:r>
          </w:p>
        </w:tc>
        <w:tc>
          <w:tcPr>
            <w:tcW w:w="419" w:type="pct"/>
            <w:tcBorders>
              <w:left w:val="single" w:color="auto" w:sz="4" w:space="0"/>
            </w:tcBorders>
            <w:vAlign w:val="center"/>
          </w:tcPr>
          <w:p w14:paraId="243F13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无量纲</w:t>
            </w:r>
          </w:p>
        </w:tc>
        <w:tc>
          <w:tcPr>
            <w:tcW w:w="684" w:type="pct"/>
            <w:vAlign w:val="center"/>
          </w:tcPr>
          <w:p w14:paraId="67891BA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7.20</w:t>
            </w:r>
          </w:p>
        </w:tc>
        <w:tc>
          <w:tcPr>
            <w:tcW w:w="684" w:type="pct"/>
            <w:tcBorders>
              <w:right w:val="single" w:color="auto" w:sz="4" w:space="0"/>
            </w:tcBorders>
            <w:vAlign w:val="center"/>
          </w:tcPr>
          <w:p w14:paraId="18E5927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7.91</w:t>
            </w:r>
          </w:p>
        </w:tc>
        <w:tc>
          <w:tcPr>
            <w:tcW w:w="685" w:type="pct"/>
            <w:tcBorders>
              <w:right w:val="single" w:color="auto" w:sz="4" w:space="0"/>
            </w:tcBorders>
            <w:vAlign w:val="center"/>
          </w:tcPr>
          <w:p w14:paraId="243983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7.29</w:t>
            </w:r>
          </w:p>
        </w:tc>
        <w:tc>
          <w:tcPr>
            <w:tcW w:w="423" w:type="pct"/>
            <w:tcBorders>
              <w:right w:val="single" w:color="auto" w:sz="4" w:space="0"/>
            </w:tcBorders>
            <w:vAlign w:val="center"/>
          </w:tcPr>
          <w:p w14:paraId="744660E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c>
          <w:tcPr>
            <w:tcW w:w="382" w:type="pct"/>
            <w:tcBorders>
              <w:right w:val="single" w:color="auto" w:sz="4" w:space="0"/>
            </w:tcBorders>
            <w:vAlign w:val="center"/>
          </w:tcPr>
          <w:p w14:paraId="08E6EFC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3361D64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8A525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ED6C85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356D7DB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溶解氧</w:t>
            </w:r>
          </w:p>
        </w:tc>
        <w:tc>
          <w:tcPr>
            <w:tcW w:w="419" w:type="pct"/>
            <w:tcBorders>
              <w:left w:val="single" w:color="auto" w:sz="4" w:space="0"/>
            </w:tcBorders>
            <w:vAlign w:val="center"/>
          </w:tcPr>
          <w:p w14:paraId="47D22E4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1C6388E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6.85</w:t>
            </w:r>
          </w:p>
        </w:tc>
        <w:tc>
          <w:tcPr>
            <w:tcW w:w="684" w:type="pct"/>
            <w:tcBorders>
              <w:right w:val="single" w:color="auto" w:sz="4" w:space="0"/>
            </w:tcBorders>
            <w:vAlign w:val="center"/>
          </w:tcPr>
          <w:p w14:paraId="70B3CD7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6.95</w:t>
            </w:r>
          </w:p>
        </w:tc>
        <w:tc>
          <w:tcPr>
            <w:tcW w:w="685" w:type="pct"/>
            <w:tcBorders>
              <w:right w:val="single" w:color="auto" w:sz="4" w:space="0"/>
            </w:tcBorders>
            <w:vAlign w:val="center"/>
          </w:tcPr>
          <w:p w14:paraId="0DB019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6.99</w:t>
            </w:r>
          </w:p>
        </w:tc>
        <w:tc>
          <w:tcPr>
            <w:tcW w:w="423" w:type="pct"/>
            <w:tcBorders>
              <w:right w:val="single" w:color="auto" w:sz="4" w:space="0"/>
            </w:tcBorders>
            <w:vAlign w:val="center"/>
          </w:tcPr>
          <w:p w14:paraId="4728632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382" w:type="pct"/>
            <w:tcBorders>
              <w:right w:val="single" w:color="auto" w:sz="4" w:space="0"/>
            </w:tcBorders>
            <w:vAlign w:val="center"/>
          </w:tcPr>
          <w:p w14:paraId="16728B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6A2299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22CEE8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532" w:type="pct"/>
            <w:vMerge w:val="continue"/>
            <w:tcBorders>
              <w:left w:val="single" w:color="auto" w:sz="12" w:space="0"/>
            </w:tcBorders>
            <w:vAlign w:val="center"/>
          </w:tcPr>
          <w:p w14:paraId="74655E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13F7E9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水温</w:t>
            </w:r>
          </w:p>
        </w:tc>
        <w:tc>
          <w:tcPr>
            <w:tcW w:w="419" w:type="pct"/>
            <w:tcBorders>
              <w:left w:val="single" w:color="auto" w:sz="4" w:space="0"/>
            </w:tcBorders>
            <w:vAlign w:val="center"/>
          </w:tcPr>
          <w:p w14:paraId="3D0C44B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684" w:type="pct"/>
            <w:vAlign w:val="center"/>
          </w:tcPr>
          <w:p w14:paraId="6C05400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9.1</w:t>
            </w:r>
          </w:p>
        </w:tc>
        <w:tc>
          <w:tcPr>
            <w:tcW w:w="684" w:type="pct"/>
            <w:tcBorders>
              <w:right w:val="single" w:color="auto" w:sz="4" w:space="0"/>
            </w:tcBorders>
            <w:vAlign w:val="center"/>
          </w:tcPr>
          <w:p w14:paraId="52E9E9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7.9</w:t>
            </w:r>
          </w:p>
        </w:tc>
        <w:tc>
          <w:tcPr>
            <w:tcW w:w="685" w:type="pct"/>
            <w:tcBorders>
              <w:right w:val="single" w:color="auto" w:sz="4" w:space="0"/>
            </w:tcBorders>
            <w:vAlign w:val="center"/>
          </w:tcPr>
          <w:p w14:paraId="26F56D1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7.6</w:t>
            </w:r>
          </w:p>
        </w:tc>
        <w:tc>
          <w:tcPr>
            <w:tcW w:w="423" w:type="pct"/>
            <w:tcBorders>
              <w:right w:val="single" w:color="auto" w:sz="4" w:space="0"/>
            </w:tcBorders>
            <w:vAlign w:val="center"/>
          </w:tcPr>
          <w:p w14:paraId="0B27F23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382" w:type="pct"/>
            <w:tcBorders>
              <w:right w:val="single" w:color="auto" w:sz="4" w:space="0"/>
            </w:tcBorders>
            <w:vAlign w:val="center"/>
          </w:tcPr>
          <w:p w14:paraId="0DAA66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5C7A171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3C145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3CEEC4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1EE01E7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化学需氧量</w:t>
            </w:r>
          </w:p>
        </w:tc>
        <w:tc>
          <w:tcPr>
            <w:tcW w:w="419" w:type="pct"/>
            <w:tcBorders>
              <w:left w:val="single" w:color="auto" w:sz="4" w:space="0"/>
              <w:bottom w:val="single" w:color="000000" w:sz="4" w:space="0"/>
            </w:tcBorders>
            <w:vAlign w:val="center"/>
          </w:tcPr>
          <w:p w14:paraId="2F3829E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7C58623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w:t>
            </w:r>
          </w:p>
        </w:tc>
        <w:tc>
          <w:tcPr>
            <w:tcW w:w="684" w:type="pct"/>
            <w:tcBorders>
              <w:right w:val="single" w:color="auto" w:sz="4" w:space="0"/>
            </w:tcBorders>
            <w:vAlign w:val="center"/>
          </w:tcPr>
          <w:p w14:paraId="1BAB8E6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w:t>
            </w:r>
          </w:p>
        </w:tc>
        <w:tc>
          <w:tcPr>
            <w:tcW w:w="685" w:type="pct"/>
            <w:tcBorders>
              <w:right w:val="single" w:color="auto" w:sz="4" w:space="0"/>
            </w:tcBorders>
            <w:vAlign w:val="center"/>
          </w:tcPr>
          <w:p w14:paraId="36F680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w:t>
            </w:r>
          </w:p>
        </w:tc>
        <w:tc>
          <w:tcPr>
            <w:tcW w:w="423" w:type="pct"/>
            <w:tcBorders>
              <w:right w:val="single" w:color="auto" w:sz="4" w:space="0"/>
            </w:tcBorders>
            <w:vAlign w:val="center"/>
          </w:tcPr>
          <w:p w14:paraId="6E1340F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c>
          <w:tcPr>
            <w:tcW w:w="382" w:type="pct"/>
            <w:tcBorders>
              <w:right w:val="single" w:color="auto" w:sz="4" w:space="0"/>
            </w:tcBorders>
            <w:vAlign w:val="center"/>
          </w:tcPr>
          <w:p w14:paraId="138F73B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6924611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1DA35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60C33A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73A226A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五日生化需氧量</w:t>
            </w:r>
          </w:p>
        </w:tc>
        <w:tc>
          <w:tcPr>
            <w:tcW w:w="419" w:type="pct"/>
            <w:tcBorders>
              <w:top w:val="single" w:color="000000" w:sz="4" w:space="0"/>
              <w:left w:val="single" w:color="auto" w:sz="4" w:space="0"/>
            </w:tcBorders>
            <w:vAlign w:val="center"/>
          </w:tcPr>
          <w:p w14:paraId="24EF723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4BF6CCE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1.8</w:t>
            </w:r>
          </w:p>
        </w:tc>
        <w:tc>
          <w:tcPr>
            <w:tcW w:w="684" w:type="pct"/>
            <w:tcBorders>
              <w:right w:val="single" w:color="auto" w:sz="4" w:space="0"/>
            </w:tcBorders>
            <w:vAlign w:val="center"/>
          </w:tcPr>
          <w:p w14:paraId="430E494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w:t>
            </w:r>
          </w:p>
        </w:tc>
        <w:tc>
          <w:tcPr>
            <w:tcW w:w="685" w:type="pct"/>
            <w:tcBorders>
              <w:right w:val="single" w:color="auto" w:sz="4" w:space="0"/>
            </w:tcBorders>
            <w:vAlign w:val="center"/>
          </w:tcPr>
          <w:p w14:paraId="0EBFB56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w:t>
            </w:r>
          </w:p>
        </w:tc>
        <w:tc>
          <w:tcPr>
            <w:tcW w:w="423" w:type="pct"/>
            <w:tcBorders>
              <w:right w:val="single" w:color="auto" w:sz="4" w:space="0"/>
            </w:tcBorders>
            <w:vAlign w:val="center"/>
          </w:tcPr>
          <w:p w14:paraId="475577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382" w:type="pct"/>
            <w:tcBorders>
              <w:right w:val="single" w:color="auto" w:sz="4" w:space="0"/>
            </w:tcBorders>
            <w:vAlign w:val="center"/>
          </w:tcPr>
          <w:p w14:paraId="39D53E2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57BA413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4508E8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DF6305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2196AF3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总磷</w:t>
            </w:r>
          </w:p>
        </w:tc>
        <w:tc>
          <w:tcPr>
            <w:tcW w:w="419" w:type="pct"/>
            <w:tcBorders>
              <w:left w:val="single" w:color="auto" w:sz="4" w:space="0"/>
            </w:tcBorders>
            <w:vAlign w:val="center"/>
          </w:tcPr>
          <w:p w14:paraId="625E5B9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4EB854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684" w:type="pct"/>
            <w:tcBorders>
              <w:right w:val="single" w:color="auto" w:sz="4" w:space="0"/>
            </w:tcBorders>
            <w:vAlign w:val="center"/>
          </w:tcPr>
          <w:p w14:paraId="7A02AF7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685" w:type="pct"/>
            <w:tcBorders>
              <w:right w:val="single" w:color="auto" w:sz="4" w:space="0"/>
            </w:tcBorders>
            <w:vAlign w:val="center"/>
          </w:tcPr>
          <w:p w14:paraId="338C42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423" w:type="pct"/>
            <w:tcBorders>
              <w:right w:val="single" w:color="auto" w:sz="4" w:space="0"/>
            </w:tcBorders>
            <w:vAlign w:val="center"/>
          </w:tcPr>
          <w:p w14:paraId="72932AA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541F72E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117D90C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0BD0A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4BB762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15E9CA1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419" w:type="pct"/>
            <w:tcBorders>
              <w:left w:val="single" w:color="auto" w:sz="4" w:space="0"/>
              <w:bottom w:val="single" w:color="auto" w:sz="4" w:space="0"/>
            </w:tcBorders>
            <w:vAlign w:val="center"/>
          </w:tcPr>
          <w:p w14:paraId="13A9CE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346631C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0.345</w:t>
            </w:r>
          </w:p>
        </w:tc>
        <w:tc>
          <w:tcPr>
            <w:tcW w:w="684" w:type="pct"/>
            <w:tcBorders>
              <w:right w:val="single" w:color="auto" w:sz="4" w:space="0"/>
            </w:tcBorders>
            <w:vAlign w:val="center"/>
          </w:tcPr>
          <w:p w14:paraId="6D4DB71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0.354</w:t>
            </w:r>
          </w:p>
        </w:tc>
        <w:tc>
          <w:tcPr>
            <w:tcW w:w="685" w:type="pct"/>
            <w:tcBorders>
              <w:right w:val="single" w:color="auto" w:sz="4" w:space="0"/>
            </w:tcBorders>
            <w:vAlign w:val="center"/>
          </w:tcPr>
          <w:p w14:paraId="30E204F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0.335</w:t>
            </w:r>
          </w:p>
        </w:tc>
        <w:tc>
          <w:tcPr>
            <w:tcW w:w="423" w:type="pct"/>
            <w:tcBorders>
              <w:right w:val="single" w:color="auto" w:sz="4" w:space="0"/>
            </w:tcBorders>
            <w:vAlign w:val="center"/>
          </w:tcPr>
          <w:p w14:paraId="39E4E98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265696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7B04F2D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3F6F5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59DEB3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3C32EB6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石油类</w:t>
            </w:r>
          </w:p>
        </w:tc>
        <w:tc>
          <w:tcPr>
            <w:tcW w:w="419" w:type="pct"/>
            <w:tcBorders>
              <w:left w:val="single" w:color="auto" w:sz="4" w:space="0"/>
              <w:bottom w:val="single" w:color="000000" w:sz="4" w:space="0"/>
            </w:tcBorders>
            <w:vAlign w:val="center"/>
          </w:tcPr>
          <w:p w14:paraId="0323602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bottom w:val="single" w:color="auto" w:sz="4" w:space="0"/>
            </w:tcBorders>
            <w:vAlign w:val="center"/>
          </w:tcPr>
          <w:p w14:paraId="4226EF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right w:val="single" w:color="auto" w:sz="4" w:space="0"/>
            </w:tcBorders>
            <w:vAlign w:val="center"/>
          </w:tcPr>
          <w:p w14:paraId="297C533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44F1ECD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2AC7577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6E4218B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42A8930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28A226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272201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15F88F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氟化物</w:t>
            </w:r>
          </w:p>
        </w:tc>
        <w:tc>
          <w:tcPr>
            <w:tcW w:w="419" w:type="pct"/>
            <w:tcBorders>
              <w:top w:val="single" w:color="000000" w:sz="4" w:space="0"/>
              <w:left w:val="single" w:color="auto" w:sz="4" w:space="0"/>
            </w:tcBorders>
            <w:vAlign w:val="center"/>
          </w:tcPr>
          <w:p w14:paraId="41CA276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6554270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0.325</w:t>
            </w:r>
          </w:p>
        </w:tc>
        <w:tc>
          <w:tcPr>
            <w:tcW w:w="684" w:type="pct"/>
            <w:tcBorders>
              <w:right w:val="single" w:color="auto" w:sz="4" w:space="0"/>
            </w:tcBorders>
          </w:tcPr>
          <w:p w14:paraId="3D58A0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0.279</w:t>
            </w:r>
          </w:p>
        </w:tc>
        <w:tc>
          <w:tcPr>
            <w:tcW w:w="685" w:type="pct"/>
            <w:tcBorders>
              <w:right w:val="single" w:color="auto" w:sz="4" w:space="0"/>
            </w:tcBorders>
          </w:tcPr>
          <w:p w14:paraId="129584E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0.290</w:t>
            </w:r>
          </w:p>
        </w:tc>
        <w:tc>
          <w:tcPr>
            <w:tcW w:w="423" w:type="pct"/>
            <w:tcBorders>
              <w:right w:val="single" w:color="auto" w:sz="4" w:space="0"/>
            </w:tcBorders>
            <w:vAlign w:val="center"/>
          </w:tcPr>
          <w:p w14:paraId="327E5C4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right w:val="single" w:color="auto" w:sz="4" w:space="0"/>
            </w:tcBorders>
            <w:vAlign w:val="center"/>
          </w:tcPr>
          <w:p w14:paraId="7B44522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0179B53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A4214C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35E9ED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7E9503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氯化物</w:t>
            </w:r>
          </w:p>
        </w:tc>
        <w:tc>
          <w:tcPr>
            <w:tcW w:w="419" w:type="pct"/>
            <w:tcBorders>
              <w:left w:val="single" w:color="auto" w:sz="4" w:space="0"/>
            </w:tcBorders>
            <w:vAlign w:val="center"/>
          </w:tcPr>
          <w:p w14:paraId="4F9A740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5C0AAFC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10.1</w:t>
            </w:r>
          </w:p>
        </w:tc>
        <w:tc>
          <w:tcPr>
            <w:tcW w:w="684" w:type="pct"/>
            <w:tcBorders>
              <w:right w:val="single" w:color="auto" w:sz="4" w:space="0"/>
            </w:tcBorders>
          </w:tcPr>
          <w:p w14:paraId="6517CCB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9.67</w:t>
            </w:r>
          </w:p>
        </w:tc>
        <w:tc>
          <w:tcPr>
            <w:tcW w:w="685" w:type="pct"/>
            <w:tcBorders>
              <w:right w:val="single" w:color="auto" w:sz="4" w:space="0"/>
            </w:tcBorders>
          </w:tcPr>
          <w:p w14:paraId="67443FF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10.2</w:t>
            </w:r>
          </w:p>
        </w:tc>
        <w:tc>
          <w:tcPr>
            <w:tcW w:w="423" w:type="pct"/>
            <w:tcBorders>
              <w:right w:val="single" w:color="auto" w:sz="4" w:space="0"/>
            </w:tcBorders>
            <w:vAlign w:val="center"/>
          </w:tcPr>
          <w:p w14:paraId="34AEC4B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57E7749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1529627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4792F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B6F6D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6C9A121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硫酸盐</w:t>
            </w:r>
          </w:p>
        </w:tc>
        <w:tc>
          <w:tcPr>
            <w:tcW w:w="419" w:type="pct"/>
            <w:tcBorders>
              <w:left w:val="single" w:color="auto" w:sz="4" w:space="0"/>
            </w:tcBorders>
            <w:vAlign w:val="center"/>
          </w:tcPr>
          <w:p w14:paraId="01695C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0044298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20.7</w:t>
            </w:r>
          </w:p>
        </w:tc>
        <w:tc>
          <w:tcPr>
            <w:tcW w:w="684" w:type="pct"/>
            <w:tcBorders>
              <w:right w:val="single" w:color="auto" w:sz="4" w:space="0"/>
            </w:tcBorders>
          </w:tcPr>
          <w:p w14:paraId="0ADB3B9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20.0</w:t>
            </w:r>
          </w:p>
        </w:tc>
        <w:tc>
          <w:tcPr>
            <w:tcW w:w="685" w:type="pct"/>
            <w:tcBorders>
              <w:right w:val="single" w:color="auto" w:sz="4" w:space="0"/>
            </w:tcBorders>
          </w:tcPr>
          <w:p w14:paraId="6928EEB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21.2</w:t>
            </w:r>
          </w:p>
        </w:tc>
        <w:tc>
          <w:tcPr>
            <w:tcW w:w="423" w:type="pct"/>
            <w:tcBorders>
              <w:right w:val="single" w:color="auto" w:sz="4" w:space="0"/>
            </w:tcBorders>
            <w:vAlign w:val="center"/>
          </w:tcPr>
          <w:p w14:paraId="5BFFC97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w:t>
            </w:r>
          </w:p>
        </w:tc>
        <w:tc>
          <w:tcPr>
            <w:tcW w:w="382" w:type="pct"/>
            <w:tcBorders>
              <w:right w:val="single" w:color="auto" w:sz="4" w:space="0"/>
            </w:tcBorders>
            <w:vAlign w:val="center"/>
          </w:tcPr>
          <w:p w14:paraId="2F30AFD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4600065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BB497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338E74D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7CA7E98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硫化物</w:t>
            </w:r>
          </w:p>
        </w:tc>
        <w:tc>
          <w:tcPr>
            <w:tcW w:w="419" w:type="pct"/>
            <w:tcBorders>
              <w:left w:val="single" w:color="auto" w:sz="4" w:space="0"/>
            </w:tcBorders>
            <w:vAlign w:val="center"/>
          </w:tcPr>
          <w:p w14:paraId="098B843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0C1B3CB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right w:val="single" w:color="auto" w:sz="4" w:space="0"/>
            </w:tcBorders>
            <w:vAlign w:val="center"/>
          </w:tcPr>
          <w:p w14:paraId="62E81D6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56D8209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6CFEA1D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w:t>
            </w:r>
          </w:p>
        </w:tc>
        <w:tc>
          <w:tcPr>
            <w:tcW w:w="382" w:type="pct"/>
            <w:tcBorders>
              <w:right w:val="single" w:color="auto" w:sz="4" w:space="0"/>
            </w:tcBorders>
            <w:vAlign w:val="center"/>
          </w:tcPr>
          <w:p w14:paraId="6EB985D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5A2480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96D78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6716A34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002CFD5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挥发酚</w:t>
            </w:r>
          </w:p>
        </w:tc>
        <w:tc>
          <w:tcPr>
            <w:tcW w:w="419" w:type="pct"/>
            <w:tcBorders>
              <w:left w:val="single" w:color="auto" w:sz="4" w:space="0"/>
            </w:tcBorders>
            <w:vAlign w:val="center"/>
          </w:tcPr>
          <w:p w14:paraId="1A10B98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44B3A07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w:t>
            </w:r>
          </w:p>
        </w:tc>
        <w:tc>
          <w:tcPr>
            <w:tcW w:w="684" w:type="pct"/>
            <w:tcBorders>
              <w:right w:val="single" w:color="auto" w:sz="4" w:space="0"/>
            </w:tcBorders>
          </w:tcPr>
          <w:p w14:paraId="5077B0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0.0008</w:t>
            </w:r>
          </w:p>
        </w:tc>
        <w:tc>
          <w:tcPr>
            <w:tcW w:w="685" w:type="pct"/>
            <w:tcBorders>
              <w:right w:val="single" w:color="auto" w:sz="4" w:space="0"/>
            </w:tcBorders>
          </w:tcPr>
          <w:p w14:paraId="7BEC0A8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0.0010</w:t>
            </w:r>
          </w:p>
        </w:tc>
        <w:tc>
          <w:tcPr>
            <w:tcW w:w="423" w:type="pct"/>
            <w:tcBorders>
              <w:right w:val="single" w:color="auto" w:sz="4" w:space="0"/>
            </w:tcBorders>
            <w:vAlign w:val="center"/>
          </w:tcPr>
          <w:p w14:paraId="19411D8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313C71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17A87BA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8A557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A852B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6FD77B6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粪大肠菌群</w:t>
            </w:r>
          </w:p>
        </w:tc>
        <w:tc>
          <w:tcPr>
            <w:tcW w:w="419" w:type="pct"/>
            <w:tcBorders>
              <w:left w:val="single" w:color="auto" w:sz="4" w:space="0"/>
            </w:tcBorders>
            <w:vAlign w:val="center"/>
          </w:tcPr>
          <w:p w14:paraId="4155C24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MPN/L</w:t>
            </w:r>
          </w:p>
        </w:tc>
        <w:tc>
          <w:tcPr>
            <w:tcW w:w="684" w:type="pct"/>
          </w:tcPr>
          <w:p w14:paraId="654B261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684" w:type="pct"/>
            <w:tcBorders>
              <w:right w:val="single" w:color="auto" w:sz="4" w:space="0"/>
            </w:tcBorders>
          </w:tcPr>
          <w:p w14:paraId="095C8B7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685" w:type="pct"/>
            <w:tcBorders>
              <w:right w:val="single" w:color="auto" w:sz="4" w:space="0"/>
            </w:tcBorders>
          </w:tcPr>
          <w:p w14:paraId="33CA63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w:t>
            </w:r>
          </w:p>
        </w:tc>
        <w:tc>
          <w:tcPr>
            <w:tcW w:w="423" w:type="pct"/>
            <w:tcBorders>
              <w:right w:val="single" w:color="auto" w:sz="4" w:space="0"/>
            </w:tcBorders>
            <w:vAlign w:val="center"/>
          </w:tcPr>
          <w:p w14:paraId="197BAC3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10000</w:t>
            </w:r>
          </w:p>
        </w:tc>
        <w:tc>
          <w:tcPr>
            <w:tcW w:w="382" w:type="pct"/>
            <w:tcBorders>
              <w:right w:val="single" w:color="auto" w:sz="4" w:space="0"/>
            </w:tcBorders>
            <w:vAlign w:val="center"/>
          </w:tcPr>
          <w:p w14:paraId="2945180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2C8FE96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6FE413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2648C80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tcBorders>
            <w:vAlign w:val="center"/>
          </w:tcPr>
          <w:p w14:paraId="27CEA1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氯乙烯</w:t>
            </w:r>
          </w:p>
        </w:tc>
        <w:tc>
          <w:tcPr>
            <w:tcW w:w="419" w:type="pct"/>
            <w:tcBorders>
              <w:left w:val="single" w:color="auto" w:sz="4" w:space="0"/>
            </w:tcBorders>
            <w:vAlign w:val="center"/>
          </w:tcPr>
          <w:p w14:paraId="498A2EA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43E5E9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right w:val="single" w:color="auto" w:sz="4" w:space="0"/>
            </w:tcBorders>
            <w:vAlign w:val="center"/>
          </w:tcPr>
          <w:p w14:paraId="188B916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6FE373E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3DBF824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right w:val="single" w:color="auto" w:sz="4" w:space="0"/>
            </w:tcBorders>
            <w:vAlign w:val="center"/>
          </w:tcPr>
          <w:p w14:paraId="430540C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4BD9332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23BB3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D43080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000000" w:sz="4" w:space="0"/>
            </w:tcBorders>
            <w:vAlign w:val="center"/>
          </w:tcPr>
          <w:p w14:paraId="7BA9D9F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六价铬</w:t>
            </w:r>
          </w:p>
        </w:tc>
        <w:tc>
          <w:tcPr>
            <w:tcW w:w="419" w:type="pct"/>
            <w:tcBorders>
              <w:left w:val="single" w:color="auto" w:sz="4" w:space="0"/>
              <w:bottom w:val="single" w:color="000000" w:sz="4" w:space="0"/>
            </w:tcBorders>
            <w:vAlign w:val="center"/>
          </w:tcPr>
          <w:p w14:paraId="0E8CD4C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vAlign w:val="center"/>
          </w:tcPr>
          <w:p w14:paraId="4861D49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right w:val="single" w:color="auto" w:sz="4" w:space="0"/>
            </w:tcBorders>
            <w:vAlign w:val="center"/>
          </w:tcPr>
          <w:p w14:paraId="71F93A0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vAlign w:val="center"/>
          </w:tcPr>
          <w:p w14:paraId="5C91BE4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4AED600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021B13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60CD610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ABA24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46D8CCA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000000" w:sz="4" w:space="0"/>
              <w:left w:val="single" w:color="auto" w:sz="4" w:space="0"/>
            </w:tcBorders>
            <w:vAlign w:val="center"/>
          </w:tcPr>
          <w:p w14:paraId="239516D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铅</w:t>
            </w:r>
          </w:p>
        </w:tc>
        <w:tc>
          <w:tcPr>
            <w:tcW w:w="419" w:type="pct"/>
            <w:tcBorders>
              <w:top w:val="single" w:color="000000" w:sz="4" w:space="0"/>
              <w:left w:val="single" w:color="auto" w:sz="4" w:space="0"/>
            </w:tcBorders>
            <w:vAlign w:val="center"/>
          </w:tcPr>
          <w:p w14:paraId="5FAFD4A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Pr>
          <w:p w14:paraId="5F1B046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right w:val="single" w:color="auto" w:sz="4" w:space="0"/>
            </w:tcBorders>
          </w:tcPr>
          <w:p w14:paraId="4E252FD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right w:val="single" w:color="auto" w:sz="4" w:space="0"/>
            </w:tcBorders>
          </w:tcPr>
          <w:p w14:paraId="2946CDE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right w:val="single" w:color="auto" w:sz="4" w:space="0"/>
            </w:tcBorders>
            <w:vAlign w:val="center"/>
          </w:tcPr>
          <w:p w14:paraId="3334AE0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right w:val="single" w:color="auto" w:sz="4" w:space="0"/>
            </w:tcBorders>
            <w:vAlign w:val="center"/>
          </w:tcPr>
          <w:p w14:paraId="14B86D0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right w:val="single" w:color="auto" w:sz="12" w:space="0"/>
            </w:tcBorders>
            <w:vAlign w:val="center"/>
          </w:tcPr>
          <w:p w14:paraId="6046E4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7238B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2D1B1A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left w:val="single" w:color="auto" w:sz="4" w:space="0"/>
              <w:bottom w:val="single" w:color="auto" w:sz="4" w:space="0"/>
            </w:tcBorders>
            <w:vAlign w:val="center"/>
          </w:tcPr>
          <w:p w14:paraId="123D85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砷</w:t>
            </w:r>
          </w:p>
        </w:tc>
        <w:tc>
          <w:tcPr>
            <w:tcW w:w="419" w:type="pct"/>
            <w:tcBorders>
              <w:left w:val="single" w:color="auto" w:sz="4" w:space="0"/>
              <w:bottom w:val="single" w:color="auto" w:sz="4" w:space="0"/>
            </w:tcBorders>
            <w:vAlign w:val="center"/>
          </w:tcPr>
          <w:p w14:paraId="7E939F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bottom w:val="single" w:color="auto" w:sz="4" w:space="0"/>
            </w:tcBorders>
          </w:tcPr>
          <w:p w14:paraId="71D80E0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0.00668</w:t>
            </w:r>
          </w:p>
        </w:tc>
        <w:tc>
          <w:tcPr>
            <w:tcW w:w="684" w:type="pct"/>
            <w:tcBorders>
              <w:bottom w:val="single" w:color="auto" w:sz="4" w:space="0"/>
              <w:right w:val="single" w:color="auto" w:sz="4" w:space="0"/>
            </w:tcBorders>
          </w:tcPr>
          <w:p w14:paraId="70B3EA8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0.00627</w:t>
            </w:r>
          </w:p>
        </w:tc>
        <w:tc>
          <w:tcPr>
            <w:tcW w:w="685" w:type="pct"/>
            <w:tcBorders>
              <w:bottom w:val="single" w:color="auto" w:sz="4" w:space="0"/>
              <w:right w:val="single" w:color="auto" w:sz="4" w:space="0"/>
            </w:tcBorders>
          </w:tcPr>
          <w:p w14:paraId="2A639B3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0.00661</w:t>
            </w:r>
          </w:p>
        </w:tc>
        <w:tc>
          <w:tcPr>
            <w:tcW w:w="423" w:type="pct"/>
            <w:tcBorders>
              <w:bottom w:val="single" w:color="auto" w:sz="4" w:space="0"/>
              <w:right w:val="single" w:color="auto" w:sz="4" w:space="0"/>
            </w:tcBorders>
            <w:vAlign w:val="center"/>
          </w:tcPr>
          <w:p w14:paraId="275528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0.05</w:t>
            </w:r>
          </w:p>
        </w:tc>
        <w:tc>
          <w:tcPr>
            <w:tcW w:w="382" w:type="pct"/>
            <w:tcBorders>
              <w:bottom w:val="single" w:color="auto" w:sz="4" w:space="0"/>
              <w:right w:val="single" w:color="auto" w:sz="4" w:space="0"/>
            </w:tcBorders>
            <w:vAlign w:val="center"/>
          </w:tcPr>
          <w:p w14:paraId="5ED76B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bottom w:val="single" w:color="auto" w:sz="4" w:space="0"/>
              <w:right w:val="single" w:color="auto" w:sz="12" w:space="0"/>
            </w:tcBorders>
            <w:vAlign w:val="center"/>
          </w:tcPr>
          <w:p w14:paraId="2E1702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2152A2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7961995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25C7E0C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镉</w:t>
            </w:r>
          </w:p>
        </w:tc>
        <w:tc>
          <w:tcPr>
            <w:tcW w:w="419" w:type="pct"/>
            <w:tcBorders>
              <w:top w:val="single" w:color="auto" w:sz="4" w:space="0"/>
              <w:left w:val="single" w:color="auto" w:sz="4" w:space="0"/>
            </w:tcBorders>
            <w:vAlign w:val="center"/>
          </w:tcPr>
          <w:p w14:paraId="372F224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4B05DAE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0.00025</w:t>
            </w:r>
          </w:p>
        </w:tc>
        <w:tc>
          <w:tcPr>
            <w:tcW w:w="684" w:type="pct"/>
            <w:tcBorders>
              <w:top w:val="single" w:color="auto" w:sz="4" w:space="0"/>
              <w:right w:val="single" w:color="auto" w:sz="4" w:space="0"/>
            </w:tcBorders>
          </w:tcPr>
          <w:p w14:paraId="20F19A9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0.00025</w:t>
            </w:r>
          </w:p>
        </w:tc>
        <w:tc>
          <w:tcPr>
            <w:tcW w:w="685" w:type="pct"/>
            <w:tcBorders>
              <w:top w:val="single" w:color="auto" w:sz="4" w:space="0"/>
              <w:right w:val="single" w:color="auto" w:sz="4" w:space="0"/>
            </w:tcBorders>
          </w:tcPr>
          <w:p w14:paraId="1C6CFD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0.00028</w:t>
            </w:r>
          </w:p>
        </w:tc>
        <w:tc>
          <w:tcPr>
            <w:tcW w:w="423" w:type="pct"/>
            <w:tcBorders>
              <w:top w:val="single" w:color="auto" w:sz="4" w:space="0"/>
              <w:right w:val="single" w:color="auto" w:sz="4" w:space="0"/>
            </w:tcBorders>
            <w:vAlign w:val="center"/>
          </w:tcPr>
          <w:p w14:paraId="795EE59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w:t>
            </w:r>
          </w:p>
        </w:tc>
        <w:tc>
          <w:tcPr>
            <w:tcW w:w="382" w:type="pct"/>
            <w:tcBorders>
              <w:top w:val="single" w:color="auto" w:sz="4" w:space="0"/>
              <w:right w:val="single" w:color="auto" w:sz="4" w:space="0"/>
            </w:tcBorders>
            <w:vAlign w:val="center"/>
          </w:tcPr>
          <w:p w14:paraId="4F03CDE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61C4E13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553BB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51F858A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0370693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w:t>
            </w:r>
          </w:p>
        </w:tc>
        <w:tc>
          <w:tcPr>
            <w:tcW w:w="419" w:type="pct"/>
            <w:tcBorders>
              <w:top w:val="single" w:color="auto" w:sz="4" w:space="0"/>
              <w:left w:val="single" w:color="auto" w:sz="4" w:space="0"/>
            </w:tcBorders>
            <w:vAlign w:val="center"/>
          </w:tcPr>
          <w:p w14:paraId="336833C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53BD35E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0.00026</w:t>
            </w:r>
          </w:p>
        </w:tc>
        <w:tc>
          <w:tcPr>
            <w:tcW w:w="684" w:type="pct"/>
            <w:tcBorders>
              <w:top w:val="single" w:color="auto" w:sz="4" w:space="0"/>
              <w:right w:val="single" w:color="auto" w:sz="4" w:space="0"/>
            </w:tcBorders>
          </w:tcPr>
          <w:p w14:paraId="59B1605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0.00025</w:t>
            </w:r>
          </w:p>
        </w:tc>
        <w:tc>
          <w:tcPr>
            <w:tcW w:w="685" w:type="pct"/>
            <w:tcBorders>
              <w:top w:val="single" w:color="auto" w:sz="4" w:space="0"/>
              <w:right w:val="single" w:color="auto" w:sz="4" w:space="0"/>
            </w:tcBorders>
          </w:tcPr>
          <w:p w14:paraId="1033E54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0.00028</w:t>
            </w:r>
          </w:p>
        </w:tc>
        <w:tc>
          <w:tcPr>
            <w:tcW w:w="423" w:type="pct"/>
            <w:tcBorders>
              <w:top w:val="single" w:color="auto" w:sz="4" w:space="0"/>
              <w:right w:val="single" w:color="auto" w:sz="4" w:space="0"/>
            </w:tcBorders>
            <w:vAlign w:val="center"/>
          </w:tcPr>
          <w:p w14:paraId="7FDB85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0C2966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783600B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57373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0BB679C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4684B1A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419" w:type="pct"/>
            <w:tcBorders>
              <w:top w:val="single" w:color="auto" w:sz="4" w:space="0"/>
              <w:left w:val="single" w:color="auto" w:sz="4" w:space="0"/>
            </w:tcBorders>
            <w:vAlign w:val="center"/>
          </w:tcPr>
          <w:p w14:paraId="7E65F8D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6094953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0.00761</w:t>
            </w:r>
          </w:p>
        </w:tc>
        <w:tc>
          <w:tcPr>
            <w:tcW w:w="684" w:type="pct"/>
            <w:tcBorders>
              <w:top w:val="single" w:color="auto" w:sz="4" w:space="0"/>
              <w:right w:val="single" w:color="auto" w:sz="4" w:space="0"/>
            </w:tcBorders>
          </w:tcPr>
          <w:p w14:paraId="6372E08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0.00665</w:t>
            </w:r>
          </w:p>
        </w:tc>
        <w:tc>
          <w:tcPr>
            <w:tcW w:w="685" w:type="pct"/>
            <w:tcBorders>
              <w:top w:val="single" w:color="auto" w:sz="4" w:space="0"/>
              <w:right w:val="single" w:color="auto" w:sz="4" w:space="0"/>
            </w:tcBorders>
          </w:tcPr>
          <w:p w14:paraId="521B2AB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0.00550</w:t>
            </w:r>
          </w:p>
        </w:tc>
        <w:tc>
          <w:tcPr>
            <w:tcW w:w="423" w:type="pct"/>
            <w:tcBorders>
              <w:top w:val="single" w:color="auto" w:sz="4" w:space="0"/>
              <w:right w:val="single" w:color="auto" w:sz="4" w:space="0"/>
            </w:tcBorders>
            <w:vAlign w:val="center"/>
          </w:tcPr>
          <w:p w14:paraId="6B2D7B3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382" w:type="pct"/>
            <w:tcBorders>
              <w:top w:val="single" w:color="auto" w:sz="4" w:space="0"/>
              <w:right w:val="single" w:color="auto" w:sz="4" w:space="0"/>
            </w:tcBorders>
            <w:vAlign w:val="center"/>
          </w:tcPr>
          <w:p w14:paraId="6F8AAC5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251912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E8611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68BC6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445F15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419" w:type="pct"/>
            <w:tcBorders>
              <w:top w:val="single" w:color="auto" w:sz="4" w:space="0"/>
              <w:left w:val="single" w:color="auto" w:sz="4" w:space="0"/>
            </w:tcBorders>
            <w:vAlign w:val="center"/>
          </w:tcPr>
          <w:p w14:paraId="4F40080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15B06ED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0.00014</w:t>
            </w:r>
          </w:p>
        </w:tc>
        <w:tc>
          <w:tcPr>
            <w:tcW w:w="684" w:type="pct"/>
            <w:tcBorders>
              <w:top w:val="single" w:color="auto" w:sz="4" w:space="0"/>
              <w:right w:val="single" w:color="auto" w:sz="4" w:space="0"/>
            </w:tcBorders>
          </w:tcPr>
          <w:p w14:paraId="03E21B1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0.00013</w:t>
            </w:r>
          </w:p>
        </w:tc>
        <w:tc>
          <w:tcPr>
            <w:tcW w:w="685" w:type="pct"/>
            <w:tcBorders>
              <w:top w:val="single" w:color="auto" w:sz="4" w:space="0"/>
              <w:right w:val="single" w:color="auto" w:sz="4" w:space="0"/>
            </w:tcBorders>
          </w:tcPr>
          <w:p w14:paraId="007D558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0.00016</w:t>
            </w:r>
          </w:p>
        </w:tc>
        <w:tc>
          <w:tcPr>
            <w:tcW w:w="423" w:type="pct"/>
            <w:tcBorders>
              <w:top w:val="single" w:color="auto" w:sz="4" w:space="0"/>
              <w:right w:val="single" w:color="auto" w:sz="4" w:space="0"/>
            </w:tcBorders>
            <w:vAlign w:val="center"/>
          </w:tcPr>
          <w:p w14:paraId="66DFFF4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382" w:type="pct"/>
            <w:tcBorders>
              <w:top w:val="single" w:color="auto" w:sz="4" w:space="0"/>
              <w:right w:val="single" w:color="auto" w:sz="4" w:space="0"/>
            </w:tcBorders>
            <w:vAlign w:val="center"/>
          </w:tcPr>
          <w:p w14:paraId="69021C5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12A2DF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78C098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trHeight w:val="20" w:hRule="atLeast"/>
        </w:trPr>
        <w:tc>
          <w:tcPr>
            <w:tcW w:w="532" w:type="pct"/>
            <w:vMerge w:val="continue"/>
            <w:tcBorders>
              <w:left w:val="single" w:color="auto" w:sz="12" w:space="0"/>
            </w:tcBorders>
            <w:vAlign w:val="center"/>
          </w:tcPr>
          <w:p w14:paraId="50070F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tcBorders>
            <w:vAlign w:val="center"/>
          </w:tcPr>
          <w:p w14:paraId="4863D23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铊</w:t>
            </w:r>
          </w:p>
        </w:tc>
        <w:tc>
          <w:tcPr>
            <w:tcW w:w="419" w:type="pct"/>
            <w:tcBorders>
              <w:top w:val="single" w:color="auto" w:sz="4" w:space="0"/>
              <w:left w:val="single" w:color="auto" w:sz="4" w:space="0"/>
            </w:tcBorders>
            <w:vAlign w:val="center"/>
          </w:tcPr>
          <w:p w14:paraId="26E57EF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tcBorders>
          </w:tcPr>
          <w:p w14:paraId="06857E9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684" w:type="pct"/>
            <w:tcBorders>
              <w:top w:val="single" w:color="auto" w:sz="4" w:space="0"/>
              <w:right w:val="single" w:color="auto" w:sz="4" w:space="0"/>
            </w:tcBorders>
          </w:tcPr>
          <w:p w14:paraId="6933B7D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685" w:type="pct"/>
            <w:tcBorders>
              <w:top w:val="single" w:color="auto" w:sz="4" w:space="0"/>
              <w:right w:val="single" w:color="auto" w:sz="4" w:space="0"/>
            </w:tcBorders>
          </w:tcPr>
          <w:p w14:paraId="493DAD9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0.00004</w:t>
            </w:r>
          </w:p>
        </w:tc>
        <w:tc>
          <w:tcPr>
            <w:tcW w:w="423" w:type="pct"/>
            <w:tcBorders>
              <w:top w:val="single" w:color="auto" w:sz="4" w:space="0"/>
              <w:right w:val="single" w:color="auto" w:sz="4" w:space="0"/>
            </w:tcBorders>
            <w:vAlign w:val="center"/>
          </w:tcPr>
          <w:p w14:paraId="2252B78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right w:val="single" w:color="auto" w:sz="4" w:space="0"/>
            </w:tcBorders>
            <w:vAlign w:val="center"/>
          </w:tcPr>
          <w:p w14:paraId="536C8E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right w:val="single" w:color="auto" w:sz="12" w:space="0"/>
            </w:tcBorders>
            <w:vAlign w:val="center"/>
          </w:tcPr>
          <w:p w14:paraId="10A5C43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446AB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32" w:type="pct"/>
            <w:vMerge w:val="continue"/>
            <w:tcBorders>
              <w:left w:val="single" w:color="auto" w:sz="12" w:space="0"/>
            </w:tcBorders>
            <w:vAlign w:val="center"/>
          </w:tcPr>
          <w:p w14:paraId="1EDC3C9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635" w:type="pct"/>
            <w:tcBorders>
              <w:top w:val="single" w:color="auto" w:sz="4" w:space="0"/>
              <w:left w:val="single" w:color="auto" w:sz="4" w:space="0"/>
              <w:bottom w:val="single" w:color="auto" w:sz="4" w:space="0"/>
            </w:tcBorders>
            <w:vAlign w:val="center"/>
          </w:tcPr>
          <w:p w14:paraId="6A69B97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汞</w:t>
            </w:r>
          </w:p>
        </w:tc>
        <w:tc>
          <w:tcPr>
            <w:tcW w:w="419" w:type="pct"/>
            <w:tcBorders>
              <w:top w:val="single" w:color="auto" w:sz="4" w:space="0"/>
              <w:left w:val="single" w:color="auto" w:sz="4" w:space="0"/>
              <w:bottom w:val="single" w:color="auto" w:sz="4" w:space="0"/>
            </w:tcBorders>
            <w:vAlign w:val="center"/>
          </w:tcPr>
          <w:p w14:paraId="073A7F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mg/L</w:t>
            </w:r>
          </w:p>
        </w:tc>
        <w:tc>
          <w:tcPr>
            <w:tcW w:w="684" w:type="pct"/>
            <w:tcBorders>
              <w:top w:val="single" w:color="auto" w:sz="4" w:space="0"/>
              <w:bottom w:val="single" w:color="auto" w:sz="4" w:space="0"/>
            </w:tcBorders>
          </w:tcPr>
          <w:p w14:paraId="50C4A11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4" w:type="pct"/>
            <w:tcBorders>
              <w:top w:val="single" w:color="auto" w:sz="4" w:space="0"/>
              <w:bottom w:val="single" w:color="auto" w:sz="4" w:space="0"/>
              <w:right w:val="single" w:color="auto" w:sz="4" w:space="0"/>
            </w:tcBorders>
          </w:tcPr>
          <w:p w14:paraId="4861097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685" w:type="pct"/>
            <w:tcBorders>
              <w:top w:val="single" w:color="auto" w:sz="4" w:space="0"/>
              <w:bottom w:val="single" w:color="auto" w:sz="4" w:space="0"/>
              <w:right w:val="single" w:color="auto" w:sz="4" w:space="0"/>
            </w:tcBorders>
          </w:tcPr>
          <w:p w14:paraId="5229D0B2">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ND</w:t>
            </w:r>
          </w:p>
        </w:tc>
        <w:tc>
          <w:tcPr>
            <w:tcW w:w="423" w:type="pct"/>
            <w:tcBorders>
              <w:top w:val="single" w:color="auto" w:sz="4" w:space="0"/>
              <w:bottom w:val="single" w:color="auto" w:sz="4" w:space="0"/>
              <w:right w:val="single" w:color="auto" w:sz="4" w:space="0"/>
            </w:tcBorders>
            <w:vAlign w:val="center"/>
          </w:tcPr>
          <w:p w14:paraId="5D6403D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0.0001</w:t>
            </w:r>
          </w:p>
        </w:tc>
        <w:tc>
          <w:tcPr>
            <w:tcW w:w="382" w:type="pct"/>
            <w:tcBorders>
              <w:top w:val="single" w:color="auto" w:sz="4" w:space="0"/>
              <w:bottom w:val="single" w:color="auto" w:sz="4" w:space="0"/>
              <w:right w:val="single" w:color="auto" w:sz="4" w:space="0"/>
            </w:tcBorders>
            <w:vAlign w:val="center"/>
          </w:tcPr>
          <w:p w14:paraId="077AC7C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w:t>
            </w:r>
          </w:p>
        </w:tc>
        <w:tc>
          <w:tcPr>
            <w:tcW w:w="556" w:type="pct"/>
            <w:tcBorders>
              <w:top w:val="single" w:color="auto" w:sz="4" w:space="0"/>
              <w:bottom w:val="single" w:color="auto" w:sz="4" w:space="0"/>
              <w:right w:val="single" w:color="auto" w:sz="12" w:space="0"/>
            </w:tcBorders>
            <w:vAlign w:val="center"/>
          </w:tcPr>
          <w:p w14:paraId="43FF749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094C17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9"/>
            <w:tcBorders>
              <w:left w:val="single" w:color="auto" w:sz="12" w:space="0"/>
              <w:bottom w:val="single" w:color="auto" w:sz="12" w:space="0"/>
              <w:right w:val="single" w:color="auto" w:sz="12" w:space="0"/>
            </w:tcBorders>
            <w:vAlign w:val="center"/>
          </w:tcPr>
          <w:p w14:paraId="252F1EA4">
            <w:pPr>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注：ND=未检出</w:t>
            </w:r>
          </w:p>
        </w:tc>
      </w:tr>
    </w:tbl>
    <w:p w14:paraId="139D18BA">
      <w:pPr>
        <w:rPr>
          <w:rFonts w:hint="default" w:ascii="Times New Roman" w:hAnsi="Times New Roman" w:cs="Times New Roman"/>
          <w:color w:val="auto"/>
          <w:highlight w:val="none"/>
          <w:u w:val="none" w:color="auto"/>
        </w:rPr>
        <w:sectPr>
          <w:pgSz w:w="16838" w:h="11906" w:orient="landscape"/>
          <w:pgMar w:top="1440" w:right="1502" w:bottom="1440" w:left="1502" w:header="851" w:footer="680" w:gutter="0"/>
          <w:pgBorders>
            <w:top w:val="none" w:sz="0" w:space="0"/>
            <w:left w:val="none" w:sz="0" w:space="0"/>
            <w:bottom w:val="none" w:sz="0" w:space="0"/>
            <w:right w:val="none" w:sz="0" w:space="0"/>
          </w:pgBorders>
          <w:cols w:space="0" w:num="1"/>
          <w:docGrid w:type="lines" w:linePitch="326" w:charSpace="0"/>
        </w:sectPr>
      </w:pPr>
    </w:p>
    <w:p w14:paraId="23D41D38">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由上表可知，项目所在区域湘江8个断面的监测结果显示，各断面各监测因子均可满足《地表水环境质量标准》（GB3838-2002）中的Ⅲ类标准，区域水质良好。</w:t>
      </w:r>
    </w:p>
    <w:p w14:paraId="78C8696D">
      <w:pPr>
        <w:spacing w:line="500" w:lineRule="exact"/>
        <w:ind w:firstLine="482" w:firstLineChars="200"/>
        <w:jc w:val="both"/>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（2）项目所在区域湘江监测断面地表水监测数据</w:t>
      </w:r>
    </w:p>
    <w:p w14:paraId="451A044F">
      <w:pPr>
        <w:spacing w:line="500" w:lineRule="exact"/>
        <w:ind w:firstLine="480" w:firstLineChars="200"/>
        <w:jc w:val="both"/>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根据衡阳市生态环境局发布的《关于2021年12月及1-12月全市环境质量状况的通报》可知，位于石鼓区的湘江城北水厂和鱼石村断面水质情况见下表。</w:t>
      </w:r>
    </w:p>
    <w:p w14:paraId="687C5DB7">
      <w:pPr>
        <w:pStyle w:val="13"/>
        <w:jc w:val="center"/>
        <w:rPr>
          <w:rFonts w:hint="default" w:ascii="Times New Roman" w:hAnsi="Times New Roman" w:eastAsia="宋体" w:cs="Times New Roman"/>
          <w:b/>
          <w:bCs/>
          <w:i w:val="0"/>
          <w:iCs w:val="0"/>
          <w:color w:val="auto"/>
          <w:sz w:val="21"/>
          <w:szCs w:val="21"/>
          <w:highlight w:val="none"/>
          <w:u w:val="none" w:color="auto"/>
          <w:lang w:val="en-US" w:eastAsia="zh-CN"/>
        </w:rPr>
      </w:pPr>
      <w:r>
        <w:rPr>
          <w:rFonts w:hint="default" w:ascii="Times New Roman" w:hAnsi="Times New Roman" w:eastAsia="宋体" w:cs="Times New Roman"/>
          <w:b/>
          <w:bCs/>
          <w:i w:val="0"/>
          <w:iCs w:val="0"/>
          <w:color w:val="auto"/>
          <w:sz w:val="21"/>
          <w:szCs w:val="21"/>
          <w:highlight w:val="none"/>
          <w:u w:val="none" w:color="auto"/>
          <w:lang w:val="en-US" w:eastAsia="zh-CN"/>
        </w:rPr>
        <w:t>表6.2-3 常规断面水环境质量情况表</w:t>
      </w:r>
    </w:p>
    <w:tbl>
      <w:tblPr>
        <w:tblStyle w:val="23"/>
        <w:tblW w:w="88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77"/>
        <w:gridCol w:w="677"/>
        <w:gridCol w:w="677"/>
        <w:gridCol w:w="677"/>
        <w:gridCol w:w="677"/>
        <w:gridCol w:w="679"/>
        <w:gridCol w:w="679"/>
        <w:gridCol w:w="679"/>
        <w:gridCol w:w="679"/>
        <w:gridCol w:w="679"/>
        <w:gridCol w:w="679"/>
        <w:gridCol w:w="679"/>
      </w:tblGrid>
      <w:tr w14:paraId="163CE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677" w:type="dxa"/>
            <w:noWrap w:val="0"/>
            <w:vAlign w:val="center"/>
          </w:tcPr>
          <w:p w14:paraId="59036A0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断面</w:t>
            </w:r>
          </w:p>
        </w:tc>
        <w:tc>
          <w:tcPr>
            <w:tcW w:w="677" w:type="dxa"/>
            <w:noWrap w:val="0"/>
            <w:vAlign w:val="center"/>
          </w:tcPr>
          <w:p w14:paraId="783E288C">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val="en-US" w:eastAsia="zh-CN"/>
              </w:rPr>
              <w:t>2021-01</w:t>
            </w:r>
          </w:p>
        </w:tc>
        <w:tc>
          <w:tcPr>
            <w:tcW w:w="677" w:type="dxa"/>
            <w:noWrap w:val="0"/>
            <w:vAlign w:val="center"/>
          </w:tcPr>
          <w:p w14:paraId="7CD3A7D2">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val="en-US" w:eastAsia="zh-CN"/>
              </w:rPr>
              <w:t>2021-02</w:t>
            </w:r>
          </w:p>
        </w:tc>
        <w:tc>
          <w:tcPr>
            <w:tcW w:w="677" w:type="dxa"/>
            <w:noWrap w:val="0"/>
            <w:vAlign w:val="center"/>
          </w:tcPr>
          <w:p w14:paraId="1C42F9D2">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val="en-US" w:eastAsia="zh-CN"/>
              </w:rPr>
              <w:t>2021-03</w:t>
            </w:r>
          </w:p>
        </w:tc>
        <w:tc>
          <w:tcPr>
            <w:tcW w:w="677" w:type="dxa"/>
            <w:noWrap w:val="0"/>
            <w:vAlign w:val="center"/>
          </w:tcPr>
          <w:p w14:paraId="5C05E823">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val="en-US" w:eastAsia="zh-CN"/>
              </w:rPr>
              <w:t>2021-04</w:t>
            </w:r>
          </w:p>
        </w:tc>
        <w:tc>
          <w:tcPr>
            <w:tcW w:w="677" w:type="dxa"/>
            <w:noWrap w:val="0"/>
            <w:vAlign w:val="center"/>
          </w:tcPr>
          <w:p w14:paraId="6248B25D">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val="en-US" w:eastAsia="zh-CN"/>
              </w:rPr>
              <w:t>2021-05</w:t>
            </w:r>
          </w:p>
        </w:tc>
        <w:tc>
          <w:tcPr>
            <w:tcW w:w="679" w:type="dxa"/>
            <w:noWrap w:val="0"/>
            <w:vAlign w:val="center"/>
          </w:tcPr>
          <w:p w14:paraId="509A75B0">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val="en-US" w:eastAsia="zh-CN"/>
              </w:rPr>
              <w:t>2021-06</w:t>
            </w:r>
          </w:p>
        </w:tc>
        <w:tc>
          <w:tcPr>
            <w:tcW w:w="679" w:type="dxa"/>
            <w:noWrap w:val="0"/>
            <w:vAlign w:val="center"/>
          </w:tcPr>
          <w:p w14:paraId="6E079376">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val="en-US" w:eastAsia="zh-CN"/>
              </w:rPr>
              <w:t>2021-07</w:t>
            </w:r>
          </w:p>
        </w:tc>
        <w:tc>
          <w:tcPr>
            <w:tcW w:w="679" w:type="dxa"/>
            <w:noWrap w:val="0"/>
            <w:vAlign w:val="center"/>
          </w:tcPr>
          <w:p w14:paraId="4B48DA52">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val="en-US" w:eastAsia="zh-CN"/>
              </w:rPr>
              <w:t>2021-08</w:t>
            </w:r>
          </w:p>
        </w:tc>
        <w:tc>
          <w:tcPr>
            <w:tcW w:w="679" w:type="dxa"/>
            <w:noWrap w:val="0"/>
            <w:vAlign w:val="center"/>
          </w:tcPr>
          <w:p w14:paraId="1D6F33EF">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val="en-US" w:eastAsia="zh-CN"/>
              </w:rPr>
              <w:t>2021-09</w:t>
            </w:r>
          </w:p>
        </w:tc>
        <w:tc>
          <w:tcPr>
            <w:tcW w:w="679" w:type="dxa"/>
            <w:noWrap w:val="0"/>
            <w:vAlign w:val="center"/>
          </w:tcPr>
          <w:p w14:paraId="7139A282">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val="en-US" w:eastAsia="zh-CN"/>
              </w:rPr>
              <w:t>2021-10</w:t>
            </w:r>
          </w:p>
        </w:tc>
        <w:tc>
          <w:tcPr>
            <w:tcW w:w="679" w:type="dxa"/>
            <w:noWrap w:val="0"/>
            <w:vAlign w:val="center"/>
          </w:tcPr>
          <w:p w14:paraId="309FBF64">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val="en-US" w:eastAsia="zh-CN"/>
              </w:rPr>
              <w:t>2021-11</w:t>
            </w:r>
          </w:p>
        </w:tc>
        <w:tc>
          <w:tcPr>
            <w:tcW w:w="679" w:type="dxa"/>
            <w:noWrap w:val="0"/>
            <w:vAlign w:val="center"/>
          </w:tcPr>
          <w:p w14:paraId="2A7268C7">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val="en-US" w:eastAsia="zh-CN"/>
              </w:rPr>
              <w:t>2021-12</w:t>
            </w:r>
          </w:p>
        </w:tc>
      </w:tr>
      <w:tr w14:paraId="7A90A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677" w:type="dxa"/>
            <w:noWrap w:val="0"/>
            <w:vAlign w:val="center"/>
          </w:tcPr>
          <w:p w14:paraId="309D186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城北水厂</w:t>
            </w:r>
          </w:p>
        </w:tc>
        <w:tc>
          <w:tcPr>
            <w:tcW w:w="677" w:type="dxa"/>
            <w:noWrap w:val="0"/>
            <w:vAlign w:val="center"/>
          </w:tcPr>
          <w:p w14:paraId="441077D6">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7" w:type="dxa"/>
            <w:noWrap w:val="0"/>
            <w:vAlign w:val="center"/>
          </w:tcPr>
          <w:p w14:paraId="3D7B7568">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7" w:type="dxa"/>
            <w:noWrap w:val="0"/>
            <w:vAlign w:val="center"/>
          </w:tcPr>
          <w:p w14:paraId="4D5DC0EB">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7" w:type="dxa"/>
            <w:noWrap w:val="0"/>
            <w:vAlign w:val="center"/>
          </w:tcPr>
          <w:p w14:paraId="1F9A2CDA">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7" w:type="dxa"/>
            <w:noWrap w:val="0"/>
            <w:vAlign w:val="center"/>
          </w:tcPr>
          <w:p w14:paraId="42C0AF08">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2DC6A0CD">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5DFD2A73">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4A103531">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19B72244">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506778E5">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322EAFA0">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3566C448">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r>
      <w:tr w14:paraId="2A284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677" w:type="dxa"/>
            <w:noWrap w:val="0"/>
            <w:vAlign w:val="center"/>
          </w:tcPr>
          <w:p w14:paraId="7D2CE2B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鱼石村</w:t>
            </w:r>
          </w:p>
        </w:tc>
        <w:tc>
          <w:tcPr>
            <w:tcW w:w="677" w:type="dxa"/>
            <w:noWrap w:val="0"/>
            <w:vAlign w:val="center"/>
          </w:tcPr>
          <w:p w14:paraId="02641E02">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7" w:type="dxa"/>
            <w:noWrap w:val="0"/>
            <w:vAlign w:val="center"/>
          </w:tcPr>
          <w:p w14:paraId="4BDFBF19">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7" w:type="dxa"/>
            <w:noWrap w:val="0"/>
            <w:vAlign w:val="center"/>
          </w:tcPr>
          <w:p w14:paraId="1CB04BF5">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7" w:type="dxa"/>
            <w:noWrap w:val="0"/>
            <w:vAlign w:val="center"/>
          </w:tcPr>
          <w:p w14:paraId="5AC572D4">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7" w:type="dxa"/>
            <w:noWrap w:val="0"/>
            <w:vAlign w:val="center"/>
          </w:tcPr>
          <w:p w14:paraId="038DFF01">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0625E4FF">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18654A90">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5971A95C">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1767DC6B">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3ED9D074">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17B90745">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c>
          <w:tcPr>
            <w:tcW w:w="679" w:type="dxa"/>
            <w:noWrap w:val="0"/>
            <w:vAlign w:val="center"/>
          </w:tcPr>
          <w:p w14:paraId="271CE54F">
            <w:pPr>
              <w:adjustRightInd w:val="0"/>
              <w:snapToGrid w:val="0"/>
              <w:spacing w:line="240" w:lineRule="auto"/>
              <w:jc w:val="center"/>
              <w:rPr>
                <w:rFonts w:hint="default" w:ascii="Times New Roman" w:hAnsi="Times New Roman" w:eastAsia="宋体" w:cs="Times New Roman"/>
                <w:color w:val="auto"/>
                <w:sz w:val="20"/>
                <w:szCs w:val="20"/>
                <w:highlight w:val="none"/>
                <w:u w:val="none" w:color="auto"/>
                <w:lang w:val="en-US" w:eastAsia="zh-CN"/>
              </w:rPr>
            </w:pPr>
            <w:r>
              <w:rPr>
                <w:rFonts w:hint="default" w:ascii="Times New Roman" w:hAnsi="Times New Roman" w:eastAsia="宋体" w:cs="Times New Roman"/>
                <w:color w:val="auto"/>
                <w:sz w:val="20"/>
                <w:szCs w:val="20"/>
                <w:highlight w:val="none"/>
                <w:u w:val="none" w:color="auto"/>
                <w:lang w:eastAsia="zh-CN"/>
              </w:rPr>
              <w:t>Ⅱ类</w:t>
            </w:r>
          </w:p>
        </w:tc>
      </w:tr>
    </w:tbl>
    <w:p w14:paraId="071479E9">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根据上表可知，本项目所在区域湘江常规断面水质能满足</w:t>
      </w:r>
      <w:r>
        <w:rPr>
          <w:rFonts w:hint="default" w:ascii="Times New Roman" w:hAnsi="Times New Roman" w:eastAsia="宋体" w:cs="Times New Roman"/>
          <w:color w:val="auto"/>
          <w:sz w:val="24"/>
          <w:highlight w:val="none"/>
          <w:u w:val="none" w:color="auto"/>
        </w:rPr>
        <w:t>《地表水环境质量标准》（GB3838-2002）</w:t>
      </w:r>
      <w:r>
        <w:rPr>
          <w:rFonts w:hint="default" w:ascii="Times New Roman" w:hAnsi="Times New Roman" w:eastAsia="宋体" w:cs="Times New Roman"/>
          <w:color w:val="auto"/>
          <w:kern w:val="2"/>
          <w:sz w:val="24"/>
          <w:szCs w:val="24"/>
          <w:highlight w:val="none"/>
          <w:u w:val="none" w:color="auto"/>
          <w:lang w:val="en-US" w:eastAsia="zh-CN" w:bidi="ar-SA"/>
        </w:rPr>
        <w:t>II类水质要求，水环境质量良好。</w:t>
      </w:r>
    </w:p>
    <w:p w14:paraId="14DE2358">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68" w:name="_Toc11471"/>
      <w:r>
        <w:rPr>
          <w:rFonts w:hint="default" w:ascii="Times New Roman" w:hAnsi="Times New Roman" w:eastAsia="宋体" w:cs="Times New Roman"/>
          <w:color w:val="auto"/>
          <w:sz w:val="28"/>
          <w:szCs w:val="28"/>
          <w:highlight w:val="none"/>
          <w:u w:val="none" w:color="auto"/>
          <w:lang w:val="en-US" w:eastAsia="zh-CN"/>
        </w:rPr>
        <w:t>6.3地下水环境质量现状调查与评价</w:t>
      </w:r>
      <w:bookmarkEnd w:id="68"/>
    </w:p>
    <w:p w14:paraId="73F8604B">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为了了解项目所在地的地下水环境质量现状，湖南桓泓检测技术有限公司已于2022年3月23日~2022年3月25日对项目所在地地下水质量现状进行了现状监测。</w:t>
      </w:r>
    </w:p>
    <w:p w14:paraId="49EEA85C">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kern w:val="2"/>
          <w:sz w:val="24"/>
          <w:szCs w:val="24"/>
          <w:highlight w:val="none"/>
          <w:u w:val="single" w:color="auto"/>
          <w:lang w:val="en-US" w:eastAsia="zh-CN" w:bidi="ar-SA"/>
        </w:rPr>
      </w:pPr>
      <w:r>
        <w:rPr>
          <w:rFonts w:hint="default" w:ascii="Times New Roman" w:hAnsi="Times New Roman" w:eastAsia="宋体" w:cs="Times New Roman"/>
          <w:color w:val="auto"/>
          <w:kern w:val="2"/>
          <w:sz w:val="24"/>
          <w:szCs w:val="24"/>
          <w:highlight w:val="none"/>
          <w:u w:val="single" w:color="auto"/>
          <w:lang w:val="en-US" w:eastAsia="zh-CN" w:bidi="ar-SA"/>
        </w:rPr>
        <w:t>（1）监测点位及监测因子</w:t>
      </w:r>
    </w:p>
    <w:p w14:paraId="2C5EC7C0">
      <w:pPr>
        <w:pStyle w:val="13"/>
        <w:jc w:val="center"/>
        <w:rPr>
          <w:rFonts w:hint="default" w:ascii="Times New Roman" w:hAnsi="Times New Roman" w:eastAsia="宋体" w:cs="Times New Roman"/>
          <w:b/>
          <w:bCs/>
          <w:i w:val="0"/>
          <w:iCs w:val="0"/>
          <w:color w:val="auto"/>
          <w:sz w:val="21"/>
          <w:szCs w:val="21"/>
          <w:highlight w:val="none"/>
          <w:u w:val="single" w:color="auto"/>
          <w:lang w:eastAsia="zh-CN"/>
        </w:rPr>
      </w:pPr>
      <w:r>
        <w:rPr>
          <w:rFonts w:hint="default" w:ascii="Times New Roman" w:hAnsi="Times New Roman" w:eastAsia="宋体" w:cs="Times New Roman"/>
          <w:b/>
          <w:bCs/>
          <w:i w:val="0"/>
          <w:iCs w:val="0"/>
          <w:color w:val="auto"/>
          <w:sz w:val="21"/>
          <w:szCs w:val="21"/>
          <w:highlight w:val="none"/>
          <w:u w:val="single" w:color="auto"/>
          <w:lang w:eastAsia="zh-CN"/>
        </w:rPr>
        <w:t>表</w:t>
      </w:r>
      <w:r>
        <w:rPr>
          <w:rFonts w:hint="default" w:ascii="Times New Roman" w:hAnsi="Times New Roman" w:eastAsia="宋体" w:cs="Times New Roman"/>
          <w:b/>
          <w:bCs/>
          <w:i w:val="0"/>
          <w:iCs w:val="0"/>
          <w:color w:val="auto"/>
          <w:sz w:val="21"/>
          <w:szCs w:val="21"/>
          <w:highlight w:val="none"/>
          <w:u w:val="single" w:color="auto"/>
          <w:lang w:val="en-US" w:eastAsia="zh-CN"/>
        </w:rPr>
        <w:t>6</w:t>
      </w:r>
      <w:r>
        <w:rPr>
          <w:rFonts w:hint="default" w:ascii="Times New Roman" w:hAnsi="Times New Roman" w:eastAsia="宋体" w:cs="Times New Roman"/>
          <w:b/>
          <w:bCs/>
          <w:i w:val="0"/>
          <w:iCs w:val="0"/>
          <w:color w:val="auto"/>
          <w:sz w:val="21"/>
          <w:szCs w:val="21"/>
          <w:highlight w:val="none"/>
          <w:u w:val="single" w:color="auto"/>
          <w:lang w:eastAsia="zh-CN"/>
        </w:rPr>
        <w:t>.</w:t>
      </w:r>
      <w:r>
        <w:rPr>
          <w:rFonts w:hint="default" w:ascii="Times New Roman" w:hAnsi="Times New Roman" w:eastAsia="宋体" w:cs="Times New Roman"/>
          <w:b/>
          <w:bCs/>
          <w:i w:val="0"/>
          <w:iCs w:val="0"/>
          <w:color w:val="auto"/>
          <w:sz w:val="21"/>
          <w:szCs w:val="21"/>
          <w:highlight w:val="none"/>
          <w:u w:val="single" w:color="auto"/>
          <w:lang w:val="en-US" w:eastAsia="zh-CN"/>
        </w:rPr>
        <w:t>3</w:t>
      </w:r>
      <w:r>
        <w:rPr>
          <w:rFonts w:hint="default" w:ascii="Times New Roman" w:hAnsi="Times New Roman" w:eastAsia="宋体" w:cs="Times New Roman"/>
          <w:b/>
          <w:bCs/>
          <w:i w:val="0"/>
          <w:iCs w:val="0"/>
          <w:color w:val="auto"/>
          <w:sz w:val="21"/>
          <w:szCs w:val="21"/>
          <w:highlight w:val="none"/>
          <w:u w:val="single" w:color="auto"/>
          <w:lang w:eastAsia="zh-CN"/>
        </w:rPr>
        <w:t>-</w:t>
      </w:r>
      <w:r>
        <w:rPr>
          <w:rFonts w:hint="default" w:ascii="Times New Roman" w:hAnsi="Times New Roman" w:eastAsia="宋体" w:cs="Times New Roman"/>
          <w:b/>
          <w:bCs/>
          <w:i w:val="0"/>
          <w:iCs w:val="0"/>
          <w:color w:val="auto"/>
          <w:sz w:val="21"/>
          <w:szCs w:val="21"/>
          <w:highlight w:val="none"/>
          <w:u w:val="single" w:color="auto"/>
          <w:lang w:val="en-US" w:eastAsia="zh-CN"/>
        </w:rPr>
        <w:t>1</w:t>
      </w:r>
      <w:r>
        <w:rPr>
          <w:rFonts w:hint="default" w:ascii="Times New Roman" w:hAnsi="Times New Roman" w:eastAsia="宋体" w:cs="Times New Roman"/>
          <w:b/>
          <w:bCs/>
          <w:i w:val="0"/>
          <w:iCs w:val="0"/>
          <w:color w:val="auto"/>
          <w:sz w:val="21"/>
          <w:szCs w:val="21"/>
          <w:highlight w:val="none"/>
          <w:u w:val="single" w:color="auto"/>
          <w:lang w:eastAsia="zh-CN"/>
        </w:rPr>
        <w:t>地下水现状监测点位基本信息表</w:t>
      </w:r>
    </w:p>
    <w:tbl>
      <w:tblPr>
        <w:tblStyle w:val="22"/>
        <w:tblW w:w="514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41"/>
        <w:gridCol w:w="3226"/>
        <w:gridCol w:w="1556"/>
        <w:gridCol w:w="2043"/>
      </w:tblGrid>
      <w:tr w14:paraId="1E469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trPr>
        <w:tc>
          <w:tcPr>
            <w:tcW w:w="1107" w:type="pct"/>
            <w:vAlign w:val="center"/>
          </w:tcPr>
          <w:p w14:paraId="118D78B9">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val="en-US" w:eastAsia="zh-CN"/>
              </w:rPr>
              <w:t>监测点名称</w:t>
            </w:r>
          </w:p>
        </w:tc>
        <w:tc>
          <w:tcPr>
            <w:tcW w:w="1839" w:type="pct"/>
            <w:vAlign w:val="center"/>
          </w:tcPr>
          <w:p w14:paraId="4A81D8CD">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val="en-US" w:eastAsia="zh-CN"/>
              </w:rPr>
              <w:t>监测因子</w:t>
            </w:r>
          </w:p>
        </w:tc>
        <w:tc>
          <w:tcPr>
            <w:tcW w:w="887" w:type="pct"/>
            <w:vAlign w:val="center"/>
          </w:tcPr>
          <w:p w14:paraId="6AEA5F1E">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val="en-US" w:eastAsia="zh-CN"/>
              </w:rPr>
              <w:t>监测时段</w:t>
            </w:r>
          </w:p>
        </w:tc>
        <w:tc>
          <w:tcPr>
            <w:tcW w:w="1165" w:type="pct"/>
            <w:vAlign w:val="center"/>
          </w:tcPr>
          <w:p w14:paraId="2042F478">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val="en-US" w:eastAsia="zh-CN"/>
              </w:rPr>
              <w:t>备注</w:t>
            </w:r>
          </w:p>
        </w:tc>
      </w:tr>
      <w:tr w14:paraId="11B0B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107" w:type="pct"/>
            <w:vAlign w:val="center"/>
          </w:tcPr>
          <w:p w14:paraId="155CEC13">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eastAsia="zh-CN"/>
              </w:rPr>
              <w:t>园区西南侧居民水井（上游）D1</w:t>
            </w:r>
          </w:p>
        </w:tc>
        <w:tc>
          <w:tcPr>
            <w:tcW w:w="1839" w:type="pct"/>
            <w:vMerge w:val="restart"/>
            <w:vAlign w:val="center"/>
          </w:tcPr>
          <w:p w14:paraId="47F35996">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eastAsia="zh-CN"/>
              </w:rPr>
              <w:t>pH值、氨氮、硝酸盐、亚硝酸盐、挥发性酚类、氰化物、砷、汞、六价铬、总硬度、铅、氟、镉、铁、锰、锌、铜、镍、溶解性总固体、氯化物、硫酸盐、高锰酸盐指数、总大肠菌群、细菌总数，K+、Na+、Ca</w:t>
            </w:r>
            <w:r>
              <w:rPr>
                <w:rFonts w:hint="default" w:ascii="Times New Roman" w:hAnsi="Times New Roman" w:eastAsia="宋体" w:cs="Times New Roman"/>
                <w:color w:val="auto"/>
                <w:sz w:val="20"/>
                <w:szCs w:val="20"/>
                <w:highlight w:val="none"/>
                <w:u w:val="single" w:color="auto"/>
                <w:vertAlign w:val="superscript"/>
                <w:lang w:eastAsia="zh-CN"/>
              </w:rPr>
              <w:t>2+</w:t>
            </w:r>
            <w:r>
              <w:rPr>
                <w:rFonts w:hint="default" w:ascii="Times New Roman" w:hAnsi="Times New Roman" w:eastAsia="宋体" w:cs="Times New Roman"/>
                <w:color w:val="auto"/>
                <w:sz w:val="20"/>
                <w:szCs w:val="20"/>
                <w:highlight w:val="none"/>
                <w:u w:val="single" w:color="auto"/>
                <w:lang w:eastAsia="zh-CN"/>
              </w:rPr>
              <w:t>、Mg</w:t>
            </w:r>
            <w:r>
              <w:rPr>
                <w:rFonts w:hint="default" w:ascii="Times New Roman" w:hAnsi="Times New Roman" w:eastAsia="宋体" w:cs="Times New Roman"/>
                <w:color w:val="auto"/>
                <w:sz w:val="20"/>
                <w:szCs w:val="20"/>
                <w:highlight w:val="none"/>
                <w:u w:val="single" w:color="auto"/>
                <w:vertAlign w:val="superscript"/>
                <w:lang w:eastAsia="zh-CN"/>
              </w:rPr>
              <w:t>2+</w:t>
            </w:r>
            <w:r>
              <w:rPr>
                <w:rFonts w:hint="default" w:ascii="Times New Roman" w:hAnsi="Times New Roman" w:eastAsia="宋体" w:cs="Times New Roman"/>
                <w:color w:val="auto"/>
                <w:sz w:val="20"/>
                <w:szCs w:val="20"/>
                <w:highlight w:val="none"/>
                <w:u w:val="single" w:color="auto"/>
                <w:lang w:eastAsia="zh-CN"/>
              </w:rPr>
              <w:t>、CO</w:t>
            </w:r>
            <w:r>
              <w:rPr>
                <w:rFonts w:hint="default" w:ascii="Times New Roman" w:hAnsi="Times New Roman" w:eastAsia="宋体" w:cs="Times New Roman"/>
                <w:color w:val="auto"/>
                <w:sz w:val="20"/>
                <w:szCs w:val="20"/>
                <w:highlight w:val="none"/>
                <w:u w:val="single" w:color="auto"/>
                <w:vertAlign w:val="subscript"/>
                <w:lang w:eastAsia="zh-CN"/>
              </w:rPr>
              <w:t>3</w:t>
            </w:r>
            <w:r>
              <w:rPr>
                <w:rFonts w:hint="default" w:ascii="Times New Roman" w:hAnsi="Times New Roman" w:eastAsia="宋体" w:cs="Times New Roman"/>
                <w:color w:val="auto"/>
                <w:sz w:val="20"/>
                <w:szCs w:val="20"/>
                <w:highlight w:val="none"/>
                <w:u w:val="single" w:color="auto"/>
                <w:vertAlign w:val="superscript"/>
                <w:lang w:eastAsia="zh-CN"/>
              </w:rPr>
              <w:t>2-</w:t>
            </w:r>
            <w:r>
              <w:rPr>
                <w:rFonts w:hint="default" w:ascii="Times New Roman" w:hAnsi="Times New Roman" w:eastAsia="宋体" w:cs="Times New Roman"/>
                <w:color w:val="auto"/>
                <w:sz w:val="20"/>
                <w:szCs w:val="20"/>
                <w:highlight w:val="none"/>
                <w:u w:val="single" w:color="auto"/>
                <w:lang w:eastAsia="zh-CN"/>
              </w:rPr>
              <w:t>、HCO</w:t>
            </w:r>
            <w:r>
              <w:rPr>
                <w:rFonts w:hint="default" w:ascii="Times New Roman" w:hAnsi="Times New Roman" w:eastAsia="宋体" w:cs="Times New Roman"/>
                <w:color w:val="auto"/>
                <w:sz w:val="20"/>
                <w:szCs w:val="20"/>
                <w:highlight w:val="none"/>
                <w:u w:val="single" w:color="auto"/>
                <w:vertAlign w:val="subscript"/>
                <w:lang w:eastAsia="zh-CN"/>
              </w:rPr>
              <w:t>3</w:t>
            </w:r>
            <w:r>
              <w:rPr>
                <w:rFonts w:hint="default" w:ascii="Times New Roman" w:hAnsi="Times New Roman" w:eastAsia="宋体" w:cs="Times New Roman"/>
                <w:color w:val="auto"/>
                <w:sz w:val="20"/>
                <w:szCs w:val="20"/>
                <w:highlight w:val="none"/>
                <w:u w:val="single" w:color="auto"/>
                <w:vertAlign w:val="superscript"/>
                <w:lang w:eastAsia="zh-CN"/>
              </w:rPr>
              <w:t>-</w:t>
            </w:r>
            <w:r>
              <w:rPr>
                <w:rFonts w:hint="default" w:ascii="Times New Roman" w:hAnsi="Times New Roman" w:eastAsia="宋体" w:cs="Times New Roman"/>
                <w:color w:val="auto"/>
                <w:sz w:val="20"/>
                <w:szCs w:val="20"/>
                <w:highlight w:val="none"/>
                <w:u w:val="single" w:color="auto"/>
                <w:lang w:eastAsia="zh-CN"/>
              </w:rPr>
              <w:t>、C</w:t>
            </w:r>
            <w:r>
              <w:rPr>
                <w:rFonts w:hint="default" w:ascii="Times New Roman" w:hAnsi="Times New Roman" w:eastAsia="宋体" w:cs="Times New Roman"/>
                <w:color w:val="auto"/>
                <w:sz w:val="20"/>
                <w:szCs w:val="20"/>
                <w:highlight w:val="none"/>
                <w:u w:val="single" w:color="auto"/>
                <w:vertAlign w:val="baseline"/>
                <w:lang w:val="en-US" w:eastAsia="zh-CN"/>
              </w:rPr>
              <w:t>l</w:t>
            </w:r>
            <w:r>
              <w:rPr>
                <w:rFonts w:hint="default" w:ascii="Times New Roman" w:hAnsi="Times New Roman" w:eastAsia="宋体" w:cs="Times New Roman"/>
                <w:color w:val="auto"/>
                <w:sz w:val="20"/>
                <w:szCs w:val="20"/>
                <w:highlight w:val="none"/>
                <w:u w:val="single" w:color="auto"/>
                <w:vertAlign w:val="superscript"/>
                <w:lang w:eastAsia="zh-CN"/>
              </w:rPr>
              <w:t>-</w:t>
            </w:r>
            <w:r>
              <w:rPr>
                <w:rFonts w:hint="default" w:ascii="Times New Roman" w:hAnsi="Times New Roman" w:eastAsia="宋体" w:cs="Times New Roman"/>
                <w:color w:val="auto"/>
                <w:sz w:val="20"/>
                <w:szCs w:val="20"/>
                <w:highlight w:val="none"/>
                <w:u w:val="single" w:color="auto"/>
                <w:lang w:eastAsia="zh-CN"/>
              </w:rPr>
              <w:t>、SO</w:t>
            </w:r>
            <w:r>
              <w:rPr>
                <w:rFonts w:hint="default" w:ascii="Times New Roman" w:hAnsi="Times New Roman" w:eastAsia="宋体" w:cs="Times New Roman"/>
                <w:color w:val="auto"/>
                <w:sz w:val="20"/>
                <w:szCs w:val="20"/>
                <w:highlight w:val="none"/>
                <w:u w:val="single" w:color="auto"/>
                <w:vertAlign w:val="subscript"/>
                <w:lang w:eastAsia="zh-CN"/>
              </w:rPr>
              <w:t>4</w:t>
            </w:r>
            <w:r>
              <w:rPr>
                <w:rFonts w:hint="default" w:ascii="Times New Roman" w:hAnsi="Times New Roman" w:eastAsia="宋体" w:cs="Times New Roman"/>
                <w:color w:val="auto"/>
                <w:sz w:val="20"/>
                <w:szCs w:val="20"/>
                <w:highlight w:val="none"/>
                <w:u w:val="single" w:color="auto"/>
                <w:vertAlign w:val="superscript"/>
                <w:lang w:eastAsia="zh-CN"/>
              </w:rPr>
              <w:t>2-</w:t>
            </w:r>
          </w:p>
        </w:tc>
        <w:tc>
          <w:tcPr>
            <w:tcW w:w="887" w:type="pct"/>
            <w:vMerge w:val="restart"/>
            <w:vAlign w:val="center"/>
          </w:tcPr>
          <w:p w14:paraId="06E84868">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val="en-US" w:eastAsia="zh-CN"/>
              </w:rPr>
              <w:t>1</w:t>
            </w:r>
            <w:r>
              <w:rPr>
                <w:rFonts w:hint="default" w:ascii="Times New Roman" w:hAnsi="Times New Roman" w:eastAsia="宋体" w:cs="Times New Roman"/>
                <w:color w:val="auto"/>
                <w:sz w:val="20"/>
                <w:szCs w:val="20"/>
                <w:highlight w:val="none"/>
                <w:u w:val="single" w:color="auto"/>
                <w:lang w:eastAsia="zh-CN"/>
              </w:rPr>
              <w:t>天</w:t>
            </w:r>
            <w:r>
              <w:rPr>
                <w:rFonts w:hint="default" w:ascii="Times New Roman" w:hAnsi="Times New Roman" w:eastAsia="宋体" w:cs="Times New Roman"/>
                <w:color w:val="auto"/>
                <w:sz w:val="20"/>
                <w:szCs w:val="20"/>
                <w:highlight w:val="none"/>
                <w:u w:val="single" w:color="auto"/>
                <w:lang w:val="en-US" w:eastAsia="zh-CN"/>
              </w:rPr>
              <w:t>1</w:t>
            </w:r>
            <w:r>
              <w:rPr>
                <w:rFonts w:hint="default" w:ascii="Times New Roman" w:hAnsi="Times New Roman" w:eastAsia="宋体" w:cs="Times New Roman"/>
                <w:color w:val="auto"/>
                <w:sz w:val="20"/>
                <w:szCs w:val="20"/>
                <w:highlight w:val="none"/>
                <w:u w:val="single" w:color="auto"/>
                <w:lang w:eastAsia="zh-CN"/>
              </w:rPr>
              <w:t>次，连续</w:t>
            </w:r>
            <w:r>
              <w:rPr>
                <w:rFonts w:hint="default" w:ascii="Times New Roman" w:hAnsi="Times New Roman" w:eastAsia="宋体" w:cs="Times New Roman"/>
                <w:color w:val="auto"/>
                <w:sz w:val="20"/>
                <w:szCs w:val="20"/>
                <w:highlight w:val="none"/>
                <w:u w:val="single" w:color="auto"/>
                <w:lang w:val="en-US" w:eastAsia="zh-CN"/>
              </w:rPr>
              <w:t>3天</w:t>
            </w:r>
          </w:p>
        </w:tc>
        <w:tc>
          <w:tcPr>
            <w:tcW w:w="1165" w:type="pct"/>
            <w:vAlign w:val="center"/>
          </w:tcPr>
          <w:p w14:paraId="21CE4BB0">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val="en-US" w:eastAsia="zh-CN"/>
              </w:rPr>
              <w:t>无饮用功能，东南侧约2000m</w:t>
            </w:r>
          </w:p>
        </w:tc>
      </w:tr>
      <w:tr w14:paraId="60E8E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107" w:type="pct"/>
            <w:vAlign w:val="center"/>
          </w:tcPr>
          <w:p w14:paraId="221F421F">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eastAsia="zh-CN"/>
              </w:rPr>
              <w:t>园区东侧居民水（下游）D</w:t>
            </w:r>
            <w:r>
              <w:rPr>
                <w:rFonts w:hint="default" w:ascii="Times New Roman" w:hAnsi="Times New Roman" w:eastAsia="宋体" w:cs="Times New Roman"/>
                <w:color w:val="auto"/>
                <w:sz w:val="20"/>
                <w:szCs w:val="20"/>
                <w:highlight w:val="none"/>
                <w:u w:val="single" w:color="auto"/>
                <w:lang w:val="en-US" w:eastAsia="zh-CN"/>
              </w:rPr>
              <w:t>2</w:t>
            </w:r>
          </w:p>
        </w:tc>
        <w:tc>
          <w:tcPr>
            <w:tcW w:w="1839" w:type="pct"/>
            <w:vMerge w:val="continue"/>
            <w:vAlign w:val="center"/>
          </w:tcPr>
          <w:p w14:paraId="18271A7C">
            <w:pPr>
              <w:spacing w:line="240" w:lineRule="auto"/>
              <w:jc w:val="center"/>
              <w:rPr>
                <w:rFonts w:hint="default" w:ascii="Times New Roman" w:hAnsi="Times New Roman" w:eastAsia="宋体" w:cs="Times New Roman"/>
                <w:color w:val="auto"/>
                <w:sz w:val="21"/>
                <w:szCs w:val="21"/>
                <w:highlight w:val="none"/>
                <w:u w:val="single" w:color="auto"/>
              </w:rPr>
            </w:pPr>
          </w:p>
        </w:tc>
        <w:tc>
          <w:tcPr>
            <w:tcW w:w="887" w:type="pct"/>
            <w:vMerge w:val="continue"/>
            <w:vAlign w:val="center"/>
          </w:tcPr>
          <w:p w14:paraId="7526B267">
            <w:pPr>
              <w:spacing w:line="240" w:lineRule="auto"/>
              <w:jc w:val="center"/>
              <w:rPr>
                <w:rFonts w:hint="default" w:ascii="Times New Roman" w:hAnsi="Times New Roman" w:eastAsia="宋体" w:cs="Times New Roman"/>
                <w:color w:val="auto"/>
                <w:sz w:val="21"/>
                <w:szCs w:val="21"/>
                <w:highlight w:val="none"/>
                <w:u w:val="single" w:color="auto"/>
              </w:rPr>
            </w:pPr>
          </w:p>
        </w:tc>
        <w:tc>
          <w:tcPr>
            <w:tcW w:w="1165" w:type="pct"/>
            <w:vAlign w:val="center"/>
          </w:tcPr>
          <w:p w14:paraId="5D701832">
            <w:pPr>
              <w:spacing w:line="240" w:lineRule="auto"/>
              <w:jc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0"/>
                <w:szCs w:val="20"/>
                <w:highlight w:val="none"/>
                <w:u w:val="single" w:color="auto"/>
                <w:lang w:val="en-US" w:eastAsia="zh-CN"/>
              </w:rPr>
              <w:t>无饮用功能，东侧约650m</w:t>
            </w:r>
          </w:p>
        </w:tc>
      </w:tr>
      <w:tr w14:paraId="556DC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0" w:hRule="atLeast"/>
        </w:trPr>
        <w:tc>
          <w:tcPr>
            <w:tcW w:w="1107" w:type="pct"/>
            <w:vAlign w:val="center"/>
          </w:tcPr>
          <w:p w14:paraId="6B206A74">
            <w:pPr>
              <w:adjustRightInd w:val="0"/>
              <w:snapToGrid w:val="0"/>
              <w:spacing w:line="240" w:lineRule="auto"/>
              <w:jc w:val="center"/>
              <w:rPr>
                <w:rFonts w:hint="default" w:ascii="Times New Roman" w:hAnsi="Times New Roman" w:eastAsia="宋体" w:cs="Times New Roman"/>
                <w:color w:val="auto"/>
                <w:sz w:val="20"/>
                <w:szCs w:val="20"/>
                <w:highlight w:val="none"/>
                <w:u w:val="single" w:color="auto"/>
                <w:lang w:val="en-US" w:eastAsia="zh-CN"/>
              </w:rPr>
            </w:pPr>
            <w:r>
              <w:rPr>
                <w:rFonts w:hint="default" w:ascii="Times New Roman" w:hAnsi="Times New Roman" w:eastAsia="宋体" w:cs="Times New Roman"/>
                <w:color w:val="auto"/>
                <w:sz w:val="20"/>
                <w:szCs w:val="20"/>
                <w:highlight w:val="none"/>
                <w:u w:val="single" w:color="auto"/>
                <w:lang w:eastAsia="zh-CN"/>
              </w:rPr>
              <w:t>园区东南侧居民水井D3</w:t>
            </w:r>
          </w:p>
        </w:tc>
        <w:tc>
          <w:tcPr>
            <w:tcW w:w="1839" w:type="pct"/>
            <w:vMerge w:val="continue"/>
            <w:vAlign w:val="center"/>
          </w:tcPr>
          <w:p w14:paraId="76C816E2">
            <w:pPr>
              <w:spacing w:line="240" w:lineRule="auto"/>
              <w:jc w:val="center"/>
              <w:rPr>
                <w:rFonts w:hint="default" w:ascii="Times New Roman" w:hAnsi="Times New Roman" w:eastAsia="宋体" w:cs="Times New Roman"/>
                <w:color w:val="auto"/>
                <w:sz w:val="21"/>
                <w:szCs w:val="21"/>
                <w:highlight w:val="none"/>
                <w:u w:val="single" w:color="auto"/>
              </w:rPr>
            </w:pPr>
          </w:p>
        </w:tc>
        <w:tc>
          <w:tcPr>
            <w:tcW w:w="887" w:type="pct"/>
            <w:vMerge w:val="continue"/>
            <w:vAlign w:val="center"/>
          </w:tcPr>
          <w:p w14:paraId="06429966">
            <w:pPr>
              <w:spacing w:line="240" w:lineRule="auto"/>
              <w:jc w:val="center"/>
              <w:rPr>
                <w:rFonts w:hint="default" w:ascii="Times New Roman" w:hAnsi="Times New Roman" w:eastAsia="宋体" w:cs="Times New Roman"/>
                <w:color w:val="auto"/>
                <w:sz w:val="21"/>
                <w:szCs w:val="21"/>
                <w:highlight w:val="none"/>
                <w:u w:val="single" w:color="auto"/>
              </w:rPr>
            </w:pPr>
          </w:p>
        </w:tc>
        <w:tc>
          <w:tcPr>
            <w:tcW w:w="1165" w:type="pct"/>
            <w:vAlign w:val="center"/>
          </w:tcPr>
          <w:p w14:paraId="2D3ADE18">
            <w:pPr>
              <w:spacing w:line="240" w:lineRule="auto"/>
              <w:jc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0"/>
                <w:szCs w:val="20"/>
                <w:highlight w:val="none"/>
                <w:u w:val="single" w:color="auto"/>
                <w:lang w:val="en-US" w:eastAsia="zh-CN"/>
              </w:rPr>
              <w:t>无饮用功能，东南侧约1400m</w:t>
            </w:r>
          </w:p>
        </w:tc>
      </w:tr>
    </w:tbl>
    <w:p w14:paraId="6F6C9920">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（2）监测结果</w:t>
      </w:r>
    </w:p>
    <w:p w14:paraId="12C29659">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kern w:val="2"/>
          <w:sz w:val="24"/>
          <w:szCs w:val="24"/>
          <w:highlight w:val="none"/>
          <w:u w:val="none" w:color="auto"/>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auto"/>
          <w:kern w:val="2"/>
          <w:sz w:val="24"/>
          <w:szCs w:val="24"/>
          <w:highlight w:val="none"/>
          <w:u w:val="none" w:color="auto"/>
          <w:lang w:val="en-US" w:eastAsia="zh-CN" w:bidi="ar-SA"/>
        </w:rPr>
        <w:t>监测结果见下表。</w:t>
      </w:r>
    </w:p>
    <w:p w14:paraId="5EE6B93A">
      <w:pPr>
        <w:pStyle w:val="13"/>
        <w:jc w:val="center"/>
        <w:rPr>
          <w:rFonts w:hint="default" w:ascii="Times New Roman" w:hAnsi="Times New Roman" w:eastAsia="宋体" w:cs="Times New Roman"/>
          <w:b/>
          <w:bCs/>
          <w:i w:val="0"/>
          <w:iCs w:val="0"/>
          <w:color w:val="auto"/>
          <w:sz w:val="21"/>
          <w:szCs w:val="21"/>
          <w:highlight w:val="none"/>
          <w:u w:val="none" w:color="auto"/>
          <w:lang w:eastAsia="zh-CN"/>
        </w:rPr>
      </w:pPr>
      <w:r>
        <w:rPr>
          <w:rFonts w:hint="default" w:ascii="Times New Roman" w:hAnsi="Times New Roman" w:eastAsia="宋体" w:cs="Times New Roman"/>
          <w:b/>
          <w:bCs/>
          <w:i w:val="0"/>
          <w:iCs w:val="0"/>
          <w:color w:val="auto"/>
          <w:sz w:val="21"/>
          <w:szCs w:val="21"/>
          <w:highlight w:val="none"/>
          <w:u w:val="none" w:color="auto"/>
          <w:lang w:eastAsia="zh-CN"/>
        </w:rPr>
        <w:t>表</w:t>
      </w:r>
      <w:r>
        <w:rPr>
          <w:rFonts w:hint="default" w:ascii="Times New Roman" w:hAnsi="Times New Roman" w:eastAsia="宋体" w:cs="Times New Roman"/>
          <w:b/>
          <w:bCs/>
          <w:i w:val="0"/>
          <w:iCs w:val="0"/>
          <w:color w:val="auto"/>
          <w:sz w:val="21"/>
          <w:szCs w:val="21"/>
          <w:highlight w:val="none"/>
          <w:u w:val="none" w:color="auto"/>
          <w:lang w:val="en-US" w:eastAsia="zh-CN"/>
        </w:rPr>
        <w:t>6</w:t>
      </w:r>
      <w:r>
        <w:rPr>
          <w:rFonts w:hint="default" w:ascii="Times New Roman" w:hAnsi="Times New Roman" w:eastAsia="宋体" w:cs="Times New Roman"/>
          <w:b/>
          <w:bCs/>
          <w:i w:val="0"/>
          <w:iCs w:val="0"/>
          <w:color w:val="auto"/>
          <w:sz w:val="21"/>
          <w:szCs w:val="21"/>
          <w:highlight w:val="none"/>
          <w:u w:val="none" w:color="auto"/>
          <w:lang w:eastAsia="zh-CN"/>
        </w:rPr>
        <w:t>.</w:t>
      </w:r>
      <w:r>
        <w:rPr>
          <w:rFonts w:hint="default" w:ascii="Times New Roman" w:hAnsi="Times New Roman" w:eastAsia="宋体" w:cs="Times New Roman"/>
          <w:b/>
          <w:bCs/>
          <w:i w:val="0"/>
          <w:iCs w:val="0"/>
          <w:color w:val="auto"/>
          <w:sz w:val="21"/>
          <w:szCs w:val="21"/>
          <w:highlight w:val="none"/>
          <w:u w:val="none" w:color="auto"/>
          <w:lang w:val="en-US" w:eastAsia="zh-CN"/>
        </w:rPr>
        <w:t>3</w:t>
      </w:r>
      <w:r>
        <w:rPr>
          <w:rFonts w:hint="default" w:ascii="Times New Roman" w:hAnsi="Times New Roman" w:eastAsia="宋体" w:cs="Times New Roman"/>
          <w:b/>
          <w:bCs/>
          <w:i w:val="0"/>
          <w:iCs w:val="0"/>
          <w:color w:val="auto"/>
          <w:sz w:val="21"/>
          <w:szCs w:val="21"/>
          <w:highlight w:val="none"/>
          <w:u w:val="none" w:color="auto"/>
          <w:lang w:eastAsia="zh-CN"/>
        </w:rPr>
        <w:t>-</w:t>
      </w:r>
      <w:r>
        <w:rPr>
          <w:rFonts w:hint="default" w:ascii="Times New Roman" w:hAnsi="Times New Roman" w:eastAsia="宋体" w:cs="Times New Roman"/>
          <w:b/>
          <w:bCs/>
          <w:i w:val="0"/>
          <w:iCs w:val="0"/>
          <w:color w:val="auto"/>
          <w:sz w:val="21"/>
          <w:szCs w:val="21"/>
          <w:highlight w:val="none"/>
          <w:u w:val="none" w:color="auto"/>
          <w:lang w:val="en-US" w:eastAsia="zh-CN"/>
        </w:rPr>
        <w:t xml:space="preserve">2 </w:t>
      </w:r>
      <w:r>
        <w:rPr>
          <w:rFonts w:hint="default" w:ascii="Times New Roman" w:hAnsi="Times New Roman" w:eastAsia="宋体" w:cs="Times New Roman"/>
          <w:b/>
          <w:bCs/>
          <w:i w:val="0"/>
          <w:iCs w:val="0"/>
          <w:color w:val="auto"/>
          <w:sz w:val="21"/>
          <w:szCs w:val="21"/>
          <w:highlight w:val="none"/>
          <w:u w:val="none" w:color="auto"/>
          <w:lang w:eastAsia="zh-CN"/>
        </w:rPr>
        <w:t>地下水监测结果</w:t>
      </w:r>
    </w:p>
    <w:tbl>
      <w:tblPr>
        <w:tblStyle w:val="23"/>
        <w:tblW w:w="89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275"/>
        <w:gridCol w:w="885"/>
        <w:gridCol w:w="855"/>
        <w:gridCol w:w="885"/>
        <w:gridCol w:w="1110"/>
        <w:gridCol w:w="812"/>
        <w:gridCol w:w="712"/>
        <w:gridCol w:w="2"/>
        <w:gridCol w:w="792"/>
        <w:gridCol w:w="1020"/>
      </w:tblGrid>
      <w:tr w14:paraId="44C56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5" w:type="dxa"/>
            <w:vMerge w:val="restart"/>
            <w:tcBorders>
              <w:tl2br w:val="nil"/>
              <w:tr2bl w:val="nil"/>
            </w:tcBorders>
            <w:noWrap w:val="0"/>
            <w:vAlign w:val="center"/>
          </w:tcPr>
          <w:p w14:paraId="42829430">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监测点位</w:t>
            </w:r>
          </w:p>
        </w:tc>
        <w:tc>
          <w:tcPr>
            <w:tcW w:w="1275" w:type="dxa"/>
            <w:vMerge w:val="restart"/>
            <w:tcBorders>
              <w:tl2br w:val="nil"/>
              <w:tr2bl w:val="nil"/>
            </w:tcBorders>
            <w:noWrap w:val="0"/>
            <w:vAlign w:val="center"/>
          </w:tcPr>
          <w:p w14:paraId="01F40524">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检测项目</w:t>
            </w:r>
          </w:p>
        </w:tc>
        <w:tc>
          <w:tcPr>
            <w:tcW w:w="2625" w:type="dxa"/>
            <w:gridSpan w:val="3"/>
            <w:tcBorders>
              <w:tl2br w:val="nil"/>
              <w:tr2bl w:val="nil"/>
            </w:tcBorders>
            <w:noWrap w:val="0"/>
            <w:vAlign w:val="center"/>
          </w:tcPr>
          <w:p w14:paraId="0937015C">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检测结果</w:t>
            </w:r>
          </w:p>
        </w:tc>
        <w:tc>
          <w:tcPr>
            <w:tcW w:w="1110" w:type="dxa"/>
            <w:vMerge w:val="restart"/>
            <w:tcBorders>
              <w:tl2br w:val="nil"/>
              <w:tr2bl w:val="nil"/>
            </w:tcBorders>
            <w:noWrap w:val="0"/>
            <w:vAlign w:val="center"/>
          </w:tcPr>
          <w:p w14:paraId="7CCF0640">
            <w:pPr>
              <w:adjustRightInd w:val="0"/>
              <w:snapToGrid w:val="0"/>
              <w:spacing w:line="240" w:lineRule="auto"/>
              <w:jc w:val="center"/>
              <w:rPr>
                <w:rFonts w:hint="default" w:ascii="Times New Roman" w:hAnsi="Times New Roman" w:eastAsia="宋体" w:cs="Times New Roman"/>
                <w:b/>
                <w:color w:val="auto"/>
                <w:kern w:val="2"/>
                <w:sz w:val="21"/>
                <w:szCs w:val="21"/>
                <w:highlight w:val="none"/>
                <w:u w:val="none" w:color="auto"/>
                <w:lang w:val="en-US" w:eastAsia="zh-CN" w:bidi="ar-SA"/>
              </w:rPr>
            </w:pPr>
            <w:r>
              <w:rPr>
                <w:rFonts w:hint="default" w:ascii="Times New Roman" w:hAnsi="Times New Roman" w:eastAsia="宋体" w:cs="Times New Roman"/>
                <w:b/>
                <w:color w:val="auto"/>
                <w:sz w:val="21"/>
                <w:szCs w:val="21"/>
                <w:highlight w:val="none"/>
                <w:u w:val="none" w:color="auto"/>
                <w:lang w:eastAsia="zh-CN"/>
              </w:rPr>
              <w:t>（</w:t>
            </w:r>
            <w:r>
              <w:rPr>
                <w:rFonts w:hint="default" w:ascii="Times New Roman" w:hAnsi="Times New Roman" w:eastAsia="宋体" w:cs="Times New Roman"/>
                <w:b/>
                <w:color w:val="auto"/>
                <w:sz w:val="21"/>
                <w:szCs w:val="21"/>
                <w:highlight w:val="none"/>
                <w:u w:val="none" w:color="auto"/>
              </w:rPr>
              <w:t>GB/T14848-2017</w:t>
            </w:r>
            <w:r>
              <w:rPr>
                <w:rFonts w:hint="default" w:ascii="Times New Roman" w:hAnsi="Times New Roman" w:eastAsia="宋体" w:cs="Times New Roman"/>
                <w:b/>
                <w:color w:val="auto"/>
                <w:sz w:val="21"/>
                <w:szCs w:val="21"/>
                <w:highlight w:val="none"/>
                <w:u w:val="none" w:color="auto"/>
                <w:lang w:eastAsia="zh-CN"/>
              </w:rPr>
              <w:t>）</w:t>
            </w:r>
            <w:r>
              <w:rPr>
                <w:rFonts w:hint="default" w:ascii="Times New Roman" w:hAnsi="Times New Roman" w:eastAsia="宋体" w:cs="Times New Roman"/>
                <w:b/>
                <w:color w:val="auto"/>
                <w:sz w:val="21"/>
                <w:szCs w:val="21"/>
                <w:highlight w:val="none"/>
                <w:u w:val="none" w:color="auto"/>
                <w:lang w:eastAsia="ja-JP"/>
              </w:rPr>
              <w:t>Ⅲ</w:t>
            </w:r>
            <w:r>
              <w:rPr>
                <w:rFonts w:hint="default" w:ascii="Times New Roman" w:hAnsi="Times New Roman" w:eastAsia="宋体" w:cs="Times New Roman"/>
                <w:b/>
                <w:color w:val="auto"/>
                <w:sz w:val="21"/>
                <w:szCs w:val="21"/>
                <w:highlight w:val="none"/>
                <w:u w:val="none" w:color="auto"/>
              </w:rPr>
              <w:t>类</w:t>
            </w:r>
            <w:r>
              <w:rPr>
                <w:rFonts w:hint="default" w:ascii="Times New Roman" w:hAnsi="Times New Roman" w:eastAsia="宋体" w:cs="Times New Roman"/>
                <w:b/>
                <w:color w:val="auto"/>
                <w:sz w:val="21"/>
                <w:szCs w:val="21"/>
                <w:highlight w:val="none"/>
                <w:u w:val="none" w:color="auto"/>
                <w:lang w:eastAsia="zh-CN"/>
              </w:rPr>
              <w:t>限值</w:t>
            </w:r>
          </w:p>
        </w:tc>
        <w:tc>
          <w:tcPr>
            <w:tcW w:w="812" w:type="dxa"/>
            <w:vMerge w:val="restart"/>
            <w:tcBorders>
              <w:tl2br w:val="nil"/>
              <w:tr2bl w:val="nil"/>
            </w:tcBorders>
            <w:noWrap w:val="0"/>
            <w:vAlign w:val="center"/>
          </w:tcPr>
          <w:p w14:paraId="3E27B7CB">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超标率（%）</w:t>
            </w:r>
          </w:p>
        </w:tc>
        <w:tc>
          <w:tcPr>
            <w:tcW w:w="714" w:type="dxa"/>
            <w:gridSpan w:val="2"/>
            <w:vMerge w:val="restart"/>
            <w:tcBorders>
              <w:tl2br w:val="nil"/>
              <w:tr2bl w:val="nil"/>
            </w:tcBorders>
            <w:noWrap w:val="0"/>
            <w:vAlign w:val="center"/>
          </w:tcPr>
          <w:p w14:paraId="30AACBA5">
            <w:pPr>
              <w:adjustRightInd w:val="0"/>
              <w:snapToGrid w:val="0"/>
              <w:spacing w:line="240" w:lineRule="auto"/>
              <w:jc w:val="center"/>
              <w:rPr>
                <w:rFonts w:hint="default" w:ascii="Times New Roman" w:hAnsi="Times New Roman" w:eastAsia="宋体" w:cs="Times New Roman"/>
                <w:b/>
                <w:color w:val="auto"/>
                <w:kern w:val="2"/>
                <w:sz w:val="21"/>
                <w:szCs w:val="21"/>
                <w:highlight w:val="none"/>
                <w:u w:val="none" w:color="auto"/>
                <w:lang w:val="en-US" w:eastAsia="zh-CN" w:bidi="ar-SA"/>
              </w:rPr>
            </w:pPr>
            <w:r>
              <w:rPr>
                <w:rFonts w:hint="default" w:ascii="Times New Roman" w:hAnsi="Times New Roman" w:eastAsia="宋体" w:cs="Times New Roman"/>
                <w:b/>
                <w:color w:val="auto"/>
                <w:sz w:val="21"/>
                <w:szCs w:val="21"/>
                <w:highlight w:val="none"/>
                <w:u w:val="none" w:color="auto"/>
              </w:rPr>
              <w:t>最大超标倍数</w:t>
            </w:r>
          </w:p>
        </w:tc>
        <w:tc>
          <w:tcPr>
            <w:tcW w:w="792" w:type="dxa"/>
            <w:vMerge w:val="restart"/>
            <w:tcBorders>
              <w:tl2br w:val="nil"/>
              <w:tr2bl w:val="nil"/>
            </w:tcBorders>
            <w:noWrap w:val="0"/>
            <w:vAlign w:val="center"/>
          </w:tcPr>
          <w:p w14:paraId="60E24BB3">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达标情况</w:t>
            </w:r>
          </w:p>
        </w:tc>
        <w:tc>
          <w:tcPr>
            <w:tcW w:w="1020" w:type="dxa"/>
            <w:vMerge w:val="restart"/>
            <w:tcBorders>
              <w:tl2br w:val="nil"/>
              <w:tr2bl w:val="nil"/>
            </w:tcBorders>
            <w:noWrap w:val="0"/>
            <w:vAlign w:val="center"/>
          </w:tcPr>
          <w:p w14:paraId="0A6C3C20">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单位</w:t>
            </w:r>
          </w:p>
        </w:tc>
      </w:tr>
      <w:tr w14:paraId="4AA79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5" w:type="dxa"/>
            <w:vMerge w:val="continue"/>
            <w:tcBorders>
              <w:tl2br w:val="nil"/>
              <w:tr2bl w:val="nil"/>
            </w:tcBorders>
            <w:noWrap w:val="0"/>
            <w:vAlign w:val="center"/>
          </w:tcPr>
          <w:p w14:paraId="5C167180">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p>
        </w:tc>
        <w:tc>
          <w:tcPr>
            <w:tcW w:w="1275" w:type="dxa"/>
            <w:vMerge w:val="continue"/>
            <w:tcBorders>
              <w:tl2br w:val="nil"/>
              <w:tr2bl w:val="nil"/>
            </w:tcBorders>
            <w:noWrap w:val="0"/>
            <w:vAlign w:val="center"/>
          </w:tcPr>
          <w:p w14:paraId="27C9AE97">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p>
        </w:tc>
        <w:tc>
          <w:tcPr>
            <w:tcW w:w="885" w:type="dxa"/>
            <w:tcBorders>
              <w:tl2br w:val="nil"/>
              <w:tr2bl w:val="nil"/>
            </w:tcBorders>
            <w:noWrap w:val="0"/>
            <w:vAlign w:val="center"/>
          </w:tcPr>
          <w:p w14:paraId="40581326">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第一次</w:t>
            </w:r>
          </w:p>
        </w:tc>
        <w:tc>
          <w:tcPr>
            <w:tcW w:w="855" w:type="dxa"/>
            <w:tcBorders>
              <w:tl2br w:val="nil"/>
              <w:tr2bl w:val="nil"/>
            </w:tcBorders>
            <w:noWrap w:val="0"/>
            <w:vAlign w:val="center"/>
          </w:tcPr>
          <w:p w14:paraId="637B562A">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第二次</w:t>
            </w:r>
          </w:p>
        </w:tc>
        <w:tc>
          <w:tcPr>
            <w:tcW w:w="885" w:type="dxa"/>
            <w:tcBorders>
              <w:tl2br w:val="nil"/>
              <w:tr2bl w:val="nil"/>
            </w:tcBorders>
            <w:noWrap w:val="0"/>
            <w:vAlign w:val="center"/>
          </w:tcPr>
          <w:p w14:paraId="711C24A7">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第三次</w:t>
            </w:r>
          </w:p>
        </w:tc>
        <w:tc>
          <w:tcPr>
            <w:tcW w:w="1110" w:type="dxa"/>
            <w:vMerge w:val="continue"/>
            <w:tcBorders>
              <w:tl2br w:val="nil"/>
              <w:tr2bl w:val="nil"/>
            </w:tcBorders>
            <w:noWrap w:val="0"/>
            <w:vAlign w:val="center"/>
          </w:tcPr>
          <w:p w14:paraId="34EC904C">
            <w:pPr>
              <w:adjustRightInd w:val="0"/>
              <w:snapToGrid w:val="0"/>
              <w:spacing w:line="240" w:lineRule="auto"/>
              <w:jc w:val="center"/>
              <w:rPr>
                <w:rFonts w:hint="default" w:ascii="Times New Roman" w:hAnsi="Times New Roman" w:eastAsia="宋体" w:cs="Times New Roman"/>
                <w:b/>
                <w:color w:val="auto"/>
                <w:kern w:val="2"/>
                <w:sz w:val="21"/>
                <w:szCs w:val="21"/>
                <w:highlight w:val="none"/>
                <w:u w:val="none" w:color="auto"/>
                <w:lang w:val="en-US" w:eastAsia="zh-CN" w:bidi="ar-SA"/>
              </w:rPr>
            </w:pPr>
          </w:p>
        </w:tc>
        <w:tc>
          <w:tcPr>
            <w:tcW w:w="812" w:type="dxa"/>
            <w:vMerge w:val="continue"/>
            <w:tcBorders>
              <w:tl2br w:val="nil"/>
              <w:tr2bl w:val="nil"/>
            </w:tcBorders>
            <w:noWrap w:val="0"/>
            <w:vAlign w:val="center"/>
          </w:tcPr>
          <w:p w14:paraId="7406A9FD">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714" w:type="dxa"/>
            <w:gridSpan w:val="2"/>
            <w:vMerge w:val="continue"/>
            <w:tcBorders>
              <w:tl2br w:val="nil"/>
              <w:tr2bl w:val="nil"/>
            </w:tcBorders>
            <w:noWrap w:val="0"/>
            <w:vAlign w:val="center"/>
          </w:tcPr>
          <w:p w14:paraId="05A410E1">
            <w:pPr>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p>
        </w:tc>
        <w:tc>
          <w:tcPr>
            <w:tcW w:w="792" w:type="dxa"/>
            <w:vMerge w:val="continue"/>
            <w:tcBorders>
              <w:tl2br w:val="nil"/>
              <w:tr2bl w:val="nil"/>
            </w:tcBorders>
            <w:noWrap w:val="0"/>
            <w:vAlign w:val="center"/>
          </w:tcPr>
          <w:p w14:paraId="7532CD75">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p>
        </w:tc>
        <w:tc>
          <w:tcPr>
            <w:tcW w:w="1020" w:type="dxa"/>
            <w:vMerge w:val="continue"/>
            <w:tcBorders>
              <w:tl2br w:val="nil"/>
              <w:tr2bl w:val="nil"/>
            </w:tcBorders>
            <w:noWrap w:val="0"/>
            <w:vAlign w:val="center"/>
          </w:tcPr>
          <w:p w14:paraId="000428EF">
            <w:pPr>
              <w:bidi w:val="0"/>
              <w:jc w:val="center"/>
              <w:rPr>
                <w:rFonts w:hint="default" w:ascii="Times New Roman" w:hAnsi="Times New Roman" w:eastAsia="宋体" w:cs="Times New Roman"/>
                <w:b/>
                <w:bCs/>
                <w:color w:val="auto"/>
                <w:sz w:val="21"/>
                <w:szCs w:val="21"/>
                <w:highlight w:val="none"/>
                <w:u w:val="none" w:color="auto"/>
                <w:vertAlign w:val="baseline"/>
                <w:lang w:val="en-US" w:eastAsia="zh-CN"/>
              </w:rPr>
            </w:pPr>
          </w:p>
        </w:tc>
      </w:tr>
      <w:tr w14:paraId="63E08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restart"/>
            <w:tcBorders>
              <w:tl2br w:val="nil"/>
              <w:tr2bl w:val="nil"/>
            </w:tcBorders>
            <w:noWrap w:val="0"/>
            <w:vAlign w:val="center"/>
          </w:tcPr>
          <w:p w14:paraId="4A2626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D1</w:t>
            </w:r>
          </w:p>
        </w:tc>
        <w:tc>
          <w:tcPr>
            <w:tcW w:w="1275" w:type="dxa"/>
            <w:tcBorders>
              <w:tl2br w:val="nil"/>
              <w:tr2bl w:val="nil"/>
            </w:tcBorders>
            <w:noWrap w:val="0"/>
            <w:vAlign w:val="center"/>
          </w:tcPr>
          <w:p w14:paraId="0BA8EC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pH值</w:t>
            </w:r>
          </w:p>
        </w:tc>
        <w:tc>
          <w:tcPr>
            <w:tcW w:w="885" w:type="dxa"/>
            <w:tcBorders>
              <w:tl2br w:val="nil"/>
              <w:tr2bl w:val="nil"/>
            </w:tcBorders>
            <w:noWrap w:val="0"/>
            <w:vAlign w:val="center"/>
          </w:tcPr>
          <w:p w14:paraId="3A68E78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6.8</w:t>
            </w:r>
          </w:p>
        </w:tc>
        <w:tc>
          <w:tcPr>
            <w:tcW w:w="855" w:type="dxa"/>
            <w:tcBorders>
              <w:tl2br w:val="nil"/>
              <w:tr2bl w:val="nil"/>
            </w:tcBorders>
            <w:noWrap w:val="0"/>
            <w:vAlign w:val="center"/>
          </w:tcPr>
          <w:p w14:paraId="52DD6F91">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7.3</w:t>
            </w:r>
          </w:p>
        </w:tc>
        <w:tc>
          <w:tcPr>
            <w:tcW w:w="885" w:type="dxa"/>
            <w:tcBorders>
              <w:tl2br w:val="nil"/>
              <w:tr2bl w:val="nil"/>
            </w:tcBorders>
            <w:noWrap w:val="0"/>
            <w:vAlign w:val="center"/>
          </w:tcPr>
          <w:p w14:paraId="122DAA0A">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7.4</w:t>
            </w:r>
          </w:p>
        </w:tc>
        <w:tc>
          <w:tcPr>
            <w:tcW w:w="1110" w:type="dxa"/>
            <w:tcBorders>
              <w:tl2br w:val="nil"/>
              <w:tr2bl w:val="nil"/>
            </w:tcBorders>
            <w:noWrap w:val="0"/>
            <w:vAlign w:val="center"/>
          </w:tcPr>
          <w:p w14:paraId="266E21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6.5~8.5</w:t>
            </w:r>
          </w:p>
        </w:tc>
        <w:tc>
          <w:tcPr>
            <w:tcW w:w="812" w:type="dxa"/>
            <w:tcBorders>
              <w:tl2br w:val="nil"/>
              <w:tr2bl w:val="nil"/>
            </w:tcBorders>
            <w:noWrap w:val="0"/>
            <w:vAlign w:val="center"/>
          </w:tcPr>
          <w:p w14:paraId="1ED094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48090F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1636DA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2C05D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无量纲</w:t>
            </w:r>
          </w:p>
        </w:tc>
      </w:tr>
      <w:tr w14:paraId="6C731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019BFF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3F3ADE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氨氮</w:t>
            </w:r>
          </w:p>
        </w:tc>
        <w:tc>
          <w:tcPr>
            <w:tcW w:w="885" w:type="dxa"/>
            <w:tcBorders>
              <w:tl2br w:val="nil"/>
              <w:tr2bl w:val="nil"/>
            </w:tcBorders>
            <w:noWrap w:val="0"/>
            <w:vAlign w:val="center"/>
          </w:tcPr>
          <w:p w14:paraId="5736610F">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285D5CCC">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6752604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01983D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0.50</w:t>
            </w:r>
          </w:p>
        </w:tc>
        <w:tc>
          <w:tcPr>
            <w:tcW w:w="812" w:type="dxa"/>
            <w:tcBorders>
              <w:tl2br w:val="nil"/>
              <w:tr2bl w:val="nil"/>
            </w:tcBorders>
            <w:noWrap w:val="0"/>
            <w:vAlign w:val="center"/>
          </w:tcPr>
          <w:p w14:paraId="00F10E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29AD0A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43A07B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C4AD834">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mg/L</w:t>
            </w:r>
          </w:p>
        </w:tc>
      </w:tr>
      <w:tr w14:paraId="20749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08380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67642C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亚硝酸盐</w:t>
            </w:r>
          </w:p>
        </w:tc>
        <w:tc>
          <w:tcPr>
            <w:tcW w:w="885" w:type="dxa"/>
            <w:tcBorders>
              <w:tl2br w:val="nil"/>
              <w:tr2bl w:val="nil"/>
            </w:tcBorders>
            <w:noWrap w:val="0"/>
            <w:vAlign w:val="center"/>
          </w:tcPr>
          <w:p w14:paraId="080678DA">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050625E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190165A8">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0BA513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1.00</w:t>
            </w:r>
          </w:p>
        </w:tc>
        <w:tc>
          <w:tcPr>
            <w:tcW w:w="812" w:type="dxa"/>
            <w:tcBorders>
              <w:tl2br w:val="nil"/>
              <w:tr2bl w:val="nil"/>
            </w:tcBorders>
            <w:noWrap w:val="0"/>
            <w:vAlign w:val="center"/>
          </w:tcPr>
          <w:p w14:paraId="0B29BD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7CFBEC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4200AA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5533F78">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1A9C5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C4F29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1C5FD1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硝酸盐</w:t>
            </w:r>
          </w:p>
        </w:tc>
        <w:tc>
          <w:tcPr>
            <w:tcW w:w="885" w:type="dxa"/>
            <w:tcBorders>
              <w:tl2br w:val="nil"/>
              <w:tr2bl w:val="nil"/>
            </w:tcBorders>
            <w:noWrap w:val="0"/>
            <w:vAlign w:val="center"/>
          </w:tcPr>
          <w:p w14:paraId="31551C5E">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12.1</w:t>
            </w:r>
          </w:p>
        </w:tc>
        <w:tc>
          <w:tcPr>
            <w:tcW w:w="855" w:type="dxa"/>
            <w:tcBorders>
              <w:tl2br w:val="nil"/>
              <w:tr2bl w:val="nil"/>
            </w:tcBorders>
            <w:noWrap w:val="0"/>
            <w:vAlign w:val="center"/>
          </w:tcPr>
          <w:p w14:paraId="1E712FF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12.1</w:t>
            </w:r>
          </w:p>
        </w:tc>
        <w:tc>
          <w:tcPr>
            <w:tcW w:w="885" w:type="dxa"/>
            <w:tcBorders>
              <w:tl2br w:val="nil"/>
              <w:tr2bl w:val="nil"/>
            </w:tcBorders>
            <w:noWrap w:val="0"/>
            <w:vAlign w:val="center"/>
          </w:tcPr>
          <w:p w14:paraId="23F5FDE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13.4</w:t>
            </w:r>
          </w:p>
        </w:tc>
        <w:tc>
          <w:tcPr>
            <w:tcW w:w="1110" w:type="dxa"/>
            <w:tcBorders>
              <w:tl2br w:val="nil"/>
              <w:tr2bl w:val="nil"/>
            </w:tcBorders>
            <w:noWrap w:val="0"/>
            <w:vAlign w:val="center"/>
          </w:tcPr>
          <w:p w14:paraId="1BECC3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20.0</w:t>
            </w:r>
          </w:p>
        </w:tc>
        <w:tc>
          <w:tcPr>
            <w:tcW w:w="812" w:type="dxa"/>
            <w:tcBorders>
              <w:tl2br w:val="nil"/>
              <w:tr2bl w:val="nil"/>
            </w:tcBorders>
            <w:noWrap w:val="0"/>
            <w:vAlign w:val="center"/>
          </w:tcPr>
          <w:p w14:paraId="737981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5EF454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4F2C47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56CAF4B">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707C3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6A19A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p>
        </w:tc>
        <w:tc>
          <w:tcPr>
            <w:tcW w:w="1275" w:type="dxa"/>
            <w:tcBorders>
              <w:tl2br w:val="nil"/>
              <w:tr2bl w:val="nil"/>
            </w:tcBorders>
            <w:noWrap w:val="0"/>
            <w:vAlign w:val="center"/>
          </w:tcPr>
          <w:p w14:paraId="7FB48F2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挥发酚</w:t>
            </w:r>
          </w:p>
        </w:tc>
        <w:tc>
          <w:tcPr>
            <w:tcW w:w="885" w:type="dxa"/>
            <w:tcBorders>
              <w:tl2br w:val="nil"/>
              <w:tr2bl w:val="nil"/>
            </w:tcBorders>
            <w:noWrap w:val="0"/>
            <w:vAlign w:val="center"/>
          </w:tcPr>
          <w:p w14:paraId="35C2B03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7A1D8D1E">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5F7E468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2D2B39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0.002</w:t>
            </w:r>
          </w:p>
        </w:tc>
        <w:tc>
          <w:tcPr>
            <w:tcW w:w="812" w:type="dxa"/>
            <w:tcBorders>
              <w:tl2br w:val="nil"/>
              <w:tr2bl w:val="nil"/>
            </w:tcBorders>
            <w:noWrap w:val="0"/>
            <w:vAlign w:val="center"/>
          </w:tcPr>
          <w:p w14:paraId="4DEA58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52648B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3DABDA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E5476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2E8A3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973C6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1F733F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氰化物</w:t>
            </w:r>
          </w:p>
        </w:tc>
        <w:tc>
          <w:tcPr>
            <w:tcW w:w="885" w:type="dxa"/>
            <w:tcBorders>
              <w:tl2br w:val="nil"/>
              <w:tr2bl w:val="nil"/>
            </w:tcBorders>
            <w:noWrap w:val="0"/>
            <w:vAlign w:val="center"/>
          </w:tcPr>
          <w:p w14:paraId="117270F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1158249F">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4E72227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4EC56A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0.05</w:t>
            </w:r>
          </w:p>
        </w:tc>
        <w:tc>
          <w:tcPr>
            <w:tcW w:w="812" w:type="dxa"/>
            <w:tcBorders>
              <w:tl2br w:val="nil"/>
              <w:tr2bl w:val="nil"/>
            </w:tcBorders>
            <w:noWrap w:val="0"/>
            <w:vAlign w:val="center"/>
          </w:tcPr>
          <w:p w14:paraId="1B1EAE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031FD5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56F332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3B03F077">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mg/L</w:t>
            </w:r>
          </w:p>
        </w:tc>
      </w:tr>
      <w:tr w14:paraId="47668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366C5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7C6493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汞</w:t>
            </w:r>
          </w:p>
        </w:tc>
        <w:tc>
          <w:tcPr>
            <w:tcW w:w="885" w:type="dxa"/>
            <w:tcBorders>
              <w:tl2br w:val="nil"/>
              <w:tr2bl w:val="nil"/>
            </w:tcBorders>
            <w:noWrap w:val="0"/>
            <w:vAlign w:val="center"/>
          </w:tcPr>
          <w:p w14:paraId="43059B2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0.00060</w:t>
            </w:r>
          </w:p>
        </w:tc>
        <w:tc>
          <w:tcPr>
            <w:tcW w:w="855" w:type="dxa"/>
            <w:tcBorders>
              <w:tl2br w:val="nil"/>
              <w:tr2bl w:val="nil"/>
            </w:tcBorders>
            <w:noWrap w:val="0"/>
            <w:vAlign w:val="center"/>
          </w:tcPr>
          <w:p w14:paraId="04F5E979">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0.00059</w:t>
            </w:r>
          </w:p>
        </w:tc>
        <w:tc>
          <w:tcPr>
            <w:tcW w:w="885" w:type="dxa"/>
            <w:tcBorders>
              <w:tl2br w:val="nil"/>
              <w:tr2bl w:val="nil"/>
            </w:tcBorders>
            <w:noWrap w:val="0"/>
            <w:vAlign w:val="center"/>
          </w:tcPr>
          <w:p w14:paraId="61AA5D4C">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0.00054</w:t>
            </w:r>
          </w:p>
        </w:tc>
        <w:tc>
          <w:tcPr>
            <w:tcW w:w="1110" w:type="dxa"/>
            <w:tcBorders>
              <w:tl2br w:val="nil"/>
              <w:tr2bl w:val="nil"/>
            </w:tcBorders>
            <w:noWrap w:val="0"/>
            <w:vAlign w:val="center"/>
          </w:tcPr>
          <w:p w14:paraId="65A3DD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0.001</w:t>
            </w:r>
          </w:p>
        </w:tc>
        <w:tc>
          <w:tcPr>
            <w:tcW w:w="812" w:type="dxa"/>
            <w:tcBorders>
              <w:tl2br w:val="nil"/>
              <w:tr2bl w:val="nil"/>
            </w:tcBorders>
            <w:noWrap w:val="0"/>
            <w:vAlign w:val="center"/>
          </w:tcPr>
          <w:p w14:paraId="2ADA5E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27E572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43D24B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BB8E178">
            <w:pPr>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223EA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A14CC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2105C9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砷</w:t>
            </w:r>
          </w:p>
        </w:tc>
        <w:tc>
          <w:tcPr>
            <w:tcW w:w="885" w:type="dxa"/>
            <w:tcBorders>
              <w:tl2br w:val="nil"/>
              <w:tr2bl w:val="nil"/>
            </w:tcBorders>
            <w:noWrap w:val="0"/>
            <w:vAlign w:val="center"/>
          </w:tcPr>
          <w:p w14:paraId="18A66113">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0.0017</w:t>
            </w:r>
          </w:p>
        </w:tc>
        <w:tc>
          <w:tcPr>
            <w:tcW w:w="855" w:type="dxa"/>
            <w:tcBorders>
              <w:tl2br w:val="nil"/>
              <w:tr2bl w:val="nil"/>
            </w:tcBorders>
            <w:noWrap w:val="0"/>
            <w:vAlign w:val="center"/>
          </w:tcPr>
          <w:p w14:paraId="6D157461">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0.0016</w:t>
            </w:r>
          </w:p>
        </w:tc>
        <w:tc>
          <w:tcPr>
            <w:tcW w:w="885" w:type="dxa"/>
            <w:tcBorders>
              <w:tl2br w:val="nil"/>
              <w:tr2bl w:val="nil"/>
            </w:tcBorders>
            <w:noWrap w:val="0"/>
            <w:vAlign w:val="center"/>
          </w:tcPr>
          <w:p w14:paraId="25D894DF">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0.0016</w:t>
            </w:r>
          </w:p>
        </w:tc>
        <w:tc>
          <w:tcPr>
            <w:tcW w:w="1110" w:type="dxa"/>
            <w:tcBorders>
              <w:tl2br w:val="nil"/>
              <w:tr2bl w:val="nil"/>
            </w:tcBorders>
            <w:noWrap w:val="0"/>
            <w:vAlign w:val="center"/>
          </w:tcPr>
          <w:p w14:paraId="0D79B2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0.01</w:t>
            </w:r>
          </w:p>
        </w:tc>
        <w:tc>
          <w:tcPr>
            <w:tcW w:w="812" w:type="dxa"/>
            <w:tcBorders>
              <w:tl2br w:val="nil"/>
              <w:tr2bl w:val="nil"/>
            </w:tcBorders>
            <w:noWrap w:val="0"/>
            <w:vAlign w:val="center"/>
          </w:tcPr>
          <w:p w14:paraId="4ADDEB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6F3F5A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05C3AA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101431F2">
            <w:pPr>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449C3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74EE9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44A6ED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六价铬</w:t>
            </w:r>
          </w:p>
        </w:tc>
        <w:tc>
          <w:tcPr>
            <w:tcW w:w="885" w:type="dxa"/>
            <w:tcBorders>
              <w:tl2br w:val="nil"/>
              <w:tr2bl w:val="nil"/>
            </w:tcBorders>
            <w:noWrap w:val="0"/>
            <w:vAlign w:val="center"/>
          </w:tcPr>
          <w:p w14:paraId="3EBFCF47">
            <w:pPr>
              <w:adjustRightInd w:val="0"/>
              <w:snapToGrid w:val="0"/>
              <w:ind w:left="-56" w:leftChars="-2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7BD2279F">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50C10F6B">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10979C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0.05</w:t>
            </w:r>
          </w:p>
        </w:tc>
        <w:tc>
          <w:tcPr>
            <w:tcW w:w="812" w:type="dxa"/>
            <w:tcBorders>
              <w:tl2br w:val="nil"/>
              <w:tr2bl w:val="nil"/>
            </w:tcBorders>
            <w:noWrap w:val="0"/>
            <w:vAlign w:val="center"/>
          </w:tcPr>
          <w:p w14:paraId="466410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51AF38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6E45C9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C5C74B9">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7EB27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C50B7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33060E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总硬度</w:t>
            </w:r>
          </w:p>
        </w:tc>
        <w:tc>
          <w:tcPr>
            <w:tcW w:w="885" w:type="dxa"/>
            <w:tcBorders>
              <w:tl2br w:val="nil"/>
              <w:tr2bl w:val="nil"/>
            </w:tcBorders>
            <w:noWrap w:val="0"/>
            <w:vAlign w:val="center"/>
          </w:tcPr>
          <w:p w14:paraId="438DB84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110</w:t>
            </w:r>
          </w:p>
        </w:tc>
        <w:tc>
          <w:tcPr>
            <w:tcW w:w="855" w:type="dxa"/>
            <w:tcBorders>
              <w:tl2br w:val="nil"/>
              <w:tr2bl w:val="nil"/>
            </w:tcBorders>
            <w:noWrap w:val="0"/>
            <w:vAlign w:val="center"/>
          </w:tcPr>
          <w:p w14:paraId="7BB30CD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114</w:t>
            </w:r>
          </w:p>
        </w:tc>
        <w:tc>
          <w:tcPr>
            <w:tcW w:w="885" w:type="dxa"/>
            <w:tcBorders>
              <w:tl2br w:val="nil"/>
              <w:tr2bl w:val="nil"/>
            </w:tcBorders>
            <w:noWrap w:val="0"/>
            <w:vAlign w:val="center"/>
          </w:tcPr>
          <w:p w14:paraId="5FD4948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133</w:t>
            </w:r>
          </w:p>
        </w:tc>
        <w:tc>
          <w:tcPr>
            <w:tcW w:w="1110" w:type="dxa"/>
            <w:tcBorders>
              <w:tl2br w:val="nil"/>
              <w:tr2bl w:val="nil"/>
            </w:tcBorders>
            <w:noWrap w:val="0"/>
            <w:vAlign w:val="center"/>
          </w:tcPr>
          <w:p w14:paraId="3EA9CD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450</w:t>
            </w:r>
          </w:p>
        </w:tc>
        <w:tc>
          <w:tcPr>
            <w:tcW w:w="812" w:type="dxa"/>
            <w:tcBorders>
              <w:tl2br w:val="nil"/>
              <w:tr2bl w:val="nil"/>
            </w:tcBorders>
            <w:noWrap w:val="0"/>
            <w:vAlign w:val="center"/>
          </w:tcPr>
          <w:p w14:paraId="46329C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235ED7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69008C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4D80B263">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3ECFC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A6095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48F1D3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铅</w:t>
            </w:r>
          </w:p>
        </w:tc>
        <w:tc>
          <w:tcPr>
            <w:tcW w:w="885" w:type="dxa"/>
            <w:tcBorders>
              <w:tl2br w:val="nil"/>
              <w:tr2bl w:val="nil"/>
            </w:tcBorders>
            <w:noWrap w:val="0"/>
            <w:vAlign w:val="center"/>
          </w:tcPr>
          <w:p w14:paraId="0A3FB747">
            <w:pPr>
              <w:adjustRightInd w:val="0"/>
              <w:snapToGrid w:val="0"/>
              <w:ind w:left="-56" w:leftChars="-2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04F29A23">
            <w:pPr>
              <w:adjustRightInd w:val="0"/>
              <w:snapToGrid w:val="0"/>
              <w:ind w:left="-56" w:leftChars="-2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5E4A780F">
            <w:pPr>
              <w:adjustRightInd w:val="0"/>
              <w:snapToGrid w:val="0"/>
              <w:ind w:left="-56" w:leftChars="-2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0B2F85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0.01</w:t>
            </w:r>
          </w:p>
        </w:tc>
        <w:tc>
          <w:tcPr>
            <w:tcW w:w="812" w:type="dxa"/>
            <w:tcBorders>
              <w:tl2br w:val="nil"/>
              <w:tr2bl w:val="nil"/>
            </w:tcBorders>
            <w:noWrap w:val="0"/>
            <w:vAlign w:val="center"/>
          </w:tcPr>
          <w:p w14:paraId="40DF29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5C92E9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08F3C3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6825FD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794CA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09D44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50061D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氟化物</w:t>
            </w:r>
          </w:p>
        </w:tc>
        <w:tc>
          <w:tcPr>
            <w:tcW w:w="885" w:type="dxa"/>
            <w:tcBorders>
              <w:tl2br w:val="nil"/>
              <w:tr2bl w:val="nil"/>
            </w:tcBorders>
            <w:noWrap w:val="0"/>
            <w:vAlign w:val="center"/>
          </w:tcPr>
          <w:p w14:paraId="48C612B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0.035</w:t>
            </w:r>
          </w:p>
        </w:tc>
        <w:tc>
          <w:tcPr>
            <w:tcW w:w="855" w:type="dxa"/>
            <w:tcBorders>
              <w:tl2br w:val="nil"/>
              <w:tr2bl w:val="nil"/>
            </w:tcBorders>
            <w:noWrap w:val="0"/>
            <w:vAlign w:val="center"/>
          </w:tcPr>
          <w:p w14:paraId="5C8FBB3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0.040</w:t>
            </w:r>
          </w:p>
        </w:tc>
        <w:tc>
          <w:tcPr>
            <w:tcW w:w="885" w:type="dxa"/>
            <w:tcBorders>
              <w:tl2br w:val="nil"/>
              <w:tr2bl w:val="nil"/>
            </w:tcBorders>
            <w:noWrap w:val="0"/>
            <w:vAlign w:val="center"/>
          </w:tcPr>
          <w:p w14:paraId="6563A12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0.039</w:t>
            </w:r>
          </w:p>
        </w:tc>
        <w:tc>
          <w:tcPr>
            <w:tcW w:w="1110" w:type="dxa"/>
            <w:tcBorders>
              <w:tl2br w:val="nil"/>
              <w:tr2bl w:val="nil"/>
            </w:tcBorders>
            <w:noWrap w:val="0"/>
            <w:vAlign w:val="center"/>
          </w:tcPr>
          <w:p w14:paraId="472E65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w:t>
            </w:r>
          </w:p>
        </w:tc>
        <w:tc>
          <w:tcPr>
            <w:tcW w:w="812" w:type="dxa"/>
            <w:tcBorders>
              <w:tl2br w:val="nil"/>
              <w:tr2bl w:val="nil"/>
            </w:tcBorders>
            <w:noWrap w:val="0"/>
            <w:vAlign w:val="center"/>
          </w:tcPr>
          <w:p w14:paraId="6A690A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24D8F2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4B2551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EC2074C">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51F8A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0C9718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447EA5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镉</w:t>
            </w:r>
          </w:p>
        </w:tc>
        <w:tc>
          <w:tcPr>
            <w:tcW w:w="885" w:type="dxa"/>
            <w:tcBorders>
              <w:tl2br w:val="nil"/>
              <w:tr2bl w:val="nil"/>
            </w:tcBorders>
            <w:noWrap w:val="0"/>
            <w:vAlign w:val="center"/>
          </w:tcPr>
          <w:p w14:paraId="6660FDAC">
            <w:pPr>
              <w:adjustRightInd w:val="0"/>
              <w:snapToGrid w:val="0"/>
              <w:ind w:left="-56" w:leftChars="-2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74D0EBB8">
            <w:pPr>
              <w:adjustRightInd w:val="0"/>
              <w:snapToGrid w:val="0"/>
              <w:ind w:left="-56" w:leftChars="-2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7C6C195B">
            <w:pPr>
              <w:adjustRightInd w:val="0"/>
              <w:snapToGrid w:val="0"/>
              <w:ind w:left="-56" w:leftChars="-2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7C3775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0.005</w:t>
            </w:r>
          </w:p>
        </w:tc>
        <w:tc>
          <w:tcPr>
            <w:tcW w:w="812" w:type="dxa"/>
            <w:tcBorders>
              <w:tl2br w:val="nil"/>
              <w:tr2bl w:val="nil"/>
            </w:tcBorders>
            <w:noWrap w:val="0"/>
            <w:vAlign w:val="center"/>
          </w:tcPr>
          <w:p w14:paraId="1FB26C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3901B6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7C31B52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3138D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11BC6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38F74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15E934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铁</w:t>
            </w:r>
          </w:p>
        </w:tc>
        <w:tc>
          <w:tcPr>
            <w:tcW w:w="885" w:type="dxa"/>
            <w:tcBorders>
              <w:tl2br w:val="nil"/>
              <w:tr2bl w:val="nil"/>
            </w:tcBorders>
            <w:noWrap w:val="0"/>
            <w:vAlign w:val="center"/>
          </w:tcPr>
          <w:p w14:paraId="0E0EAF60">
            <w:pPr>
              <w:adjustRightInd w:val="0"/>
              <w:snapToGrid w:val="0"/>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5123BF6C">
            <w:pPr>
              <w:adjustRightInd w:val="0"/>
              <w:snapToGrid w:val="0"/>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15543D57">
            <w:pPr>
              <w:adjustRightInd w:val="0"/>
              <w:snapToGrid w:val="0"/>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3A8434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0.3</w:t>
            </w:r>
          </w:p>
        </w:tc>
        <w:tc>
          <w:tcPr>
            <w:tcW w:w="812" w:type="dxa"/>
            <w:tcBorders>
              <w:tl2br w:val="nil"/>
              <w:tr2bl w:val="nil"/>
            </w:tcBorders>
            <w:noWrap w:val="0"/>
            <w:vAlign w:val="center"/>
          </w:tcPr>
          <w:p w14:paraId="390ED0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575CF5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3D5476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036A6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5DBEC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0F609C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21B9E4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锰</w:t>
            </w:r>
          </w:p>
        </w:tc>
        <w:tc>
          <w:tcPr>
            <w:tcW w:w="885" w:type="dxa"/>
            <w:tcBorders>
              <w:tl2br w:val="nil"/>
              <w:tr2bl w:val="nil"/>
            </w:tcBorders>
            <w:noWrap w:val="0"/>
            <w:vAlign w:val="center"/>
          </w:tcPr>
          <w:p w14:paraId="064066AB">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4EC4CAF5">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26AAA1FE">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3497F2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0.10</w:t>
            </w:r>
          </w:p>
        </w:tc>
        <w:tc>
          <w:tcPr>
            <w:tcW w:w="812" w:type="dxa"/>
            <w:tcBorders>
              <w:tl2br w:val="nil"/>
              <w:tr2bl w:val="nil"/>
            </w:tcBorders>
            <w:noWrap w:val="0"/>
            <w:vAlign w:val="center"/>
          </w:tcPr>
          <w:p w14:paraId="598A4A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3B7C82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228A5D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6F12CD5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27C9F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001FFD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088FD8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锌</w:t>
            </w:r>
          </w:p>
        </w:tc>
        <w:tc>
          <w:tcPr>
            <w:tcW w:w="885" w:type="dxa"/>
            <w:tcBorders>
              <w:tl2br w:val="nil"/>
              <w:tr2bl w:val="nil"/>
            </w:tcBorders>
            <w:noWrap w:val="0"/>
            <w:vAlign w:val="center"/>
          </w:tcPr>
          <w:p w14:paraId="122DC748">
            <w:pPr>
              <w:adjustRightInd w:val="0"/>
              <w:snapToGrid w:val="0"/>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727DAE81">
            <w:pPr>
              <w:adjustRightInd w:val="0"/>
              <w:snapToGrid w:val="0"/>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7BE2321B">
            <w:pPr>
              <w:adjustRightInd w:val="0"/>
              <w:snapToGrid w:val="0"/>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059946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1.00</w:t>
            </w:r>
          </w:p>
        </w:tc>
        <w:tc>
          <w:tcPr>
            <w:tcW w:w="812" w:type="dxa"/>
            <w:tcBorders>
              <w:tl2br w:val="nil"/>
              <w:tr2bl w:val="nil"/>
            </w:tcBorders>
            <w:noWrap w:val="0"/>
            <w:vAlign w:val="center"/>
          </w:tcPr>
          <w:p w14:paraId="6D0D18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2EC912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7B44D94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9D5E4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4B3F3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F9575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201845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铜</w:t>
            </w:r>
          </w:p>
        </w:tc>
        <w:tc>
          <w:tcPr>
            <w:tcW w:w="885" w:type="dxa"/>
            <w:tcBorders>
              <w:tl2br w:val="nil"/>
              <w:tr2bl w:val="nil"/>
            </w:tcBorders>
            <w:noWrap w:val="0"/>
            <w:vAlign w:val="center"/>
          </w:tcPr>
          <w:p w14:paraId="6B2EF37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32EA4E49">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76000C29">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6CC9DA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w:t>
            </w:r>
          </w:p>
        </w:tc>
        <w:tc>
          <w:tcPr>
            <w:tcW w:w="812" w:type="dxa"/>
            <w:tcBorders>
              <w:tl2br w:val="nil"/>
              <w:tr2bl w:val="nil"/>
            </w:tcBorders>
            <w:noWrap w:val="0"/>
            <w:vAlign w:val="center"/>
          </w:tcPr>
          <w:p w14:paraId="38A9C0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32EC77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1B65FD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E173FD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0C35B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48598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0947EF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镍</w:t>
            </w:r>
          </w:p>
        </w:tc>
        <w:tc>
          <w:tcPr>
            <w:tcW w:w="885" w:type="dxa"/>
            <w:tcBorders>
              <w:tl2br w:val="nil"/>
              <w:tr2bl w:val="nil"/>
            </w:tcBorders>
            <w:noWrap w:val="0"/>
            <w:vAlign w:val="center"/>
          </w:tcPr>
          <w:p w14:paraId="4D0566D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3934677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487C585A">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282C0D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0.02</w:t>
            </w:r>
          </w:p>
        </w:tc>
        <w:tc>
          <w:tcPr>
            <w:tcW w:w="812" w:type="dxa"/>
            <w:tcBorders>
              <w:tl2br w:val="nil"/>
              <w:tr2bl w:val="nil"/>
            </w:tcBorders>
            <w:noWrap w:val="0"/>
            <w:vAlign w:val="center"/>
          </w:tcPr>
          <w:p w14:paraId="5F48D1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77122C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3E0B57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3332F2D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4254F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D403F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3C3BFC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溶解性总固体</w:t>
            </w:r>
          </w:p>
        </w:tc>
        <w:tc>
          <w:tcPr>
            <w:tcW w:w="885" w:type="dxa"/>
            <w:tcBorders>
              <w:tl2br w:val="nil"/>
              <w:tr2bl w:val="nil"/>
            </w:tcBorders>
            <w:noWrap w:val="0"/>
            <w:vAlign w:val="center"/>
          </w:tcPr>
          <w:p w14:paraId="4E9E7B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141</w:t>
            </w:r>
          </w:p>
        </w:tc>
        <w:tc>
          <w:tcPr>
            <w:tcW w:w="855" w:type="dxa"/>
            <w:tcBorders>
              <w:tl2br w:val="nil"/>
              <w:tr2bl w:val="nil"/>
            </w:tcBorders>
            <w:noWrap w:val="0"/>
            <w:vAlign w:val="center"/>
          </w:tcPr>
          <w:p w14:paraId="63AB4C6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136</w:t>
            </w:r>
          </w:p>
        </w:tc>
        <w:tc>
          <w:tcPr>
            <w:tcW w:w="885" w:type="dxa"/>
            <w:tcBorders>
              <w:tl2br w:val="nil"/>
              <w:tr2bl w:val="nil"/>
            </w:tcBorders>
            <w:noWrap w:val="0"/>
            <w:vAlign w:val="center"/>
          </w:tcPr>
          <w:p w14:paraId="14E9B88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135</w:t>
            </w:r>
          </w:p>
        </w:tc>
        <w:tc>
          <w:tcPr>
            <w:tcW w:w="1110" w:type="dxa"/>
            <w:tcBorders>
              <w:tl2br w:val="nil"/>
              <w:tr2bl w:val="nil"/>
            </w:tcBorders>
            <w:noWrap w:val="0"/>
            <w:vAlign w:val="center"/>
          </w:tcPr>
          <w:p w14:paraId="38EB0A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1000</w:t>
            </w:r>
          </w:p>
        </w:tc>
        <w:tc>
          <w:tcPr>
            <w:tcW w:w="812" w:type="dxa"/>
            <w:tcBorders>
              <w:tl2br w:val="nil"/>
              <w:tr2bl w:val="nil"/>
            </w:tcBorders>
            <w:noWrap w:val="0"/>
            <w:vAlign w:val="center"/>
          </w:tcPr>
          <w:p w14:paraId="418AF4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00A688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4FFD641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E66A05B">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373D8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A4432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3DA51A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高锰酸盐指数</w:t>
            </w:r>
          </w:p>
        </w:tc>
        <w:tc>
          <w:tcPr>
            <w:tcW w:w="885" w:type="dxa"/>
            <w:tcBorders>
              <w:tl2br w:val="nil"/>
              <w:tr2bl w:val="nil"/>
            </w:tcBorders>
            <w:noWrap w:val="0"/>
            <w:vAlign w:val="center"/>
          </w:tcPr>
          <w:p w14:paraId="2E8AA16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2.13</w:t>
            </w:r>
          </w:p>
        </w:tc>
        <w:tc>
          <w:tcPr>
            <w:tcW w:w="855" w:type="dxa"/>
            <w:tcBorders>
              <w:tl2br w:val="nil"/>
              <w:tr2bl w:val="nil"/>
            </w:tcBorders>
            <w:noWrap w:val="0"/>
            <w:vAlign w:val="center"/>
          </w:tcPr>
          <w:p w14:paraId="6C9D5EB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2.96</w:t>
            </w:r>
          </w:p>
        </w:tc>
        <w:tc>
          <w:tcPr>
            <w:tcW w:w="885" w:type="dxa"/>
            <w:tcBorders>
              <w:tl2br w:val="nil"/>
              <w:tr2bl w:val="nil"/>
            </w:tcBorders>
            <w:noWrap w:val="0"/>
            <w:vAlign w:val="center"/>
          </w:tcPr>
          <w:p w14:paraId="0293EC1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2.83</w:t>
            </w:r>
          </w:p>
        </w:tc>
        <w:tc>
          <w:tcPr>
            <w:tcW w:w="1110" w:type="dxa"/>
            <w:tcBorders>
              <w:tl2br w:val="nil"/>
              <w:tr2bl w:val="nil"/>
            </w:tcBorders>
            <w:noWrap w:val="0"/>
            <w:vAlign w:val="center"/>
          </w:tcPr>
          <w:p w14:paraId="051BED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3.0</w:t>
            </w:r>
          </w:p>
        </w:tc>
        <w:tc>
          <w:tcPr>
            <w:tcW w:w="812" w:type="dxa"/>
            <w:tcBorders>
              <w:tl2br w:val="nil"/>
              <w:tr2bl w:val="nil"/>
            </w:tcBorders>
            <w:noWrap w:val="0"/>
            <w:vAlign w:val="center"/>
          </w:tcPr>
          <w:p w14:paraId="5E9DC1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378A7C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4B313E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147299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044CA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00D3E7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509D85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总大肠菌群</w:t>
            </w:r>
          </w:p>
        </w:tc>
        <w:tc>
          <w:tcPr>
            <w:tcW w:w="885" w:type="dxa"/>
            <w:tcBorders>
              <w:tl2br w:val="nil"/>
              <w:tr2bl w:val="nil"/>
            </w:tcBorders>
            <w:noWrap w:val="0"/>
            <w:vAlign w:val="center"/>
          </w:tcPr>
          <w:p w14:paraId="1B16371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20</w:t>
            </w:r>
          </w:p>
        </w:tc>
        <w:tc>
          <w:tcPr>
            <w:tcW w:w="855" w:type="dxa"/>
            <w:tcBorders>
              <w:tl2br w:val="nil"/>
              <w:tr2bl w:val="nil"/>
            </w:tcBorders>
            <w:noWrap w:val="0"/>
            <w:vAlign w:val="center"/>
          </w:tcPr>
          <w:p w14:paraId="3F9CBBE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&lt;20</w:t>
            </w:r>
          </w:p>
        </w:tc>
        <w:tc>
          <w:tcPr>
            <w:tcW w:w="885" w:type="dxa"/>
            <w:tcBorders>
              <w:tl2br w:val="nil"/>
              <w:tr2bl w:val="nil"/>
            </w:tcBorders>
            <w:noWrap w:val="0"/>
            <w:vAlign w:val="center"/>
          </w:tcPr>
          <w:p w14:paraId="33D21E0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20</w:t>
            </w:r>
          </w:p>
        </w:tc>
        <w:tc>
          <w:tcPr>
            <w:tcW w:w="1110" w:type="dxa"/>
            <w:tcBorders>
              <w:tl2br w:val="nil"/>
              <w:tr2bl w:val="nil"/>
            </w:tcBorders>
            <w:noWrap w:val="0"/>
            <w:vAlign w:val="center"/>
          </w:tcPr>
          <w:p w14:paraId="6CCEEC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30</w:t>
            </w:r>
          </w:p>
        </w:tc>
        <w:tc>
          <w:tcPr>
            <w:tcW w:w="812" w:type="dxa"/>
            <w:tcBorders>
              <w:tl2br w:val="nil"/>
              <w:tr2bl w:val="nil"/>
            </w:tcBorders>
            <w:noWrap w:val="0"/>
            <w:vAlign w:val="center"/>
          </w:tcPr>
          <w:p w14:paraId="355634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0A1168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4FF953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3D04628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MPN/L</w:t>
            </w:r>
          </w:p>
        </w:tc>
      </w:tr>
      <w:tr w14:paraId="7D270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90204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p>
        </w:tc>
        <w:tc>
          <w:tcPr>
            <w:tcW w:w="1275" w:type="dxa"/>
            <w:tcBorders>
              <w:tl2br w:val="nil"/>
              <w:tr2bl w:val="nil"/>
            </w:tcBorders>
            <w:noWrap w:val="0"/>
            <w:vAlign w:val="center"/>
          </w:tcPr>
          <w:p w14:paraId="51D207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细菌总数</w:t>
            </w:r>
          </w:p>
        </w:tc>
        <w:tc>
          <w:tcPr>
            <w:tcW w:w="885" w:type="dxa"/>
            <w:tcBorders>
              <w:tl2br w:val="nil"/>
              <w:tr2bl w:val="nil"/>
            </w:tcBorders>
            <w:noWrap w:val="0"/>
            <w:vAlign w:val="center"/>
          </w:tcPr>
          <w:p w14:paraId="0E1B1F5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35</w:t>
            </w:r>
          </w:p>
        </w:tc>
        <w:tc>
          <w:tcPr>
            <w:tcW w:w="855" w:type="dxa"/>
            <w:tcBorders>
              <w:tl2br w:val="nil"/>
              <w:tr2bl w:val="nil"/>
            </w:tcBorders>
            <w:noWrap w:val="0"/>
            <w:vAlign w:val="center"/>
          </w:tcPr>
          <w:p w14:paraId="3FAFA6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32</w:t>
            </w:r>
          </w:p>
        </w:tc>
        <w:tc>
          <w:tcPr>
            <w:tcW w:w="885" w:type="dxa"/>
            <w:tcBorders>
              <w:tl2br w:val="nil"/>
              <w:tr2bl w:val="nil"/>
            </w:tcBorders>
            <w:noWrap w:val="0"/>
            <w:vAlign w:val="center"/>
          </w:tcPr>
          <w:p w14:paraId="716A60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31</w:t>
            </w:r>
          </w:p>
        </w:tc>
        <w:tc>
          <w:tcPr>
            <w:tcW w:w="1110" w:type="dxa"/>
            <w:tcBorders>
              <w:tl2br w:val="nil"/>
              <w:tr2bl w:val="nil"/>
            </w:tcBorders>
            <w:noWrap w:val="0"/>
            <w:vAlign w:val="center"/>
          </w:tcPr>
          <w:p w14:paraId="647D07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w:t>
            </w:r>
          </w:p>
        </w:tc>
        <w:tc>
          <w:tcPr>
            <w:tcW w:w="812" w:type="dxa"/>
            <w:tcBorders>
              <w:tl2br w:val="nil"/>
              <w:tr2bl w:val="nil"/>
            </w:tcBorders>
            <w:noWrap w:val="0"/>
            <w:vAlign w:val="center"/>
          </w:tcPr>
          <w:p w14:paraId="28FA41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4" w:type="dxa"/>
            <w:gridSpan w:val="2"/>
            <w:tcBorders>
              <w:tl2br w:val="nil"/>
              <w:tr2bl w:val="nil"/>
            </w:tcBorders>
            <w:noWrap w:val="0"/>
            <w:vAlign w:val="center"/>
          </w:tcPr>
          <w:p w14:paraId="32A6CC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2" w:type="dxa"/>
            <w:tcBorders>
              <w:tl2br w:val="nil"/>
              <w:tr2bl w:val="nil"/>
            </w:tcBorders>
            <w:noWrap w:val="0"/>
            <w:vAlign w:val="center"/>
          </w:tcPr>
          <w:p w14:paraId="65C261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FFBF2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CFU/mL</w:t>
            </w:r>
          </w:p>
        </w:tc>
      </w:tr>
      <w:tr w14:paraId="66B94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AC7AB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4504C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K</w:t>
            </w:r>
            <w:r>
              <w:rPr>
                <w:rFonts w:hint="default" w:ascii="Times New Roman" w:hAnsi="Times New Roman" w:eastAsia="宋体" w:cs="Times New Roman"/>
                <w:color w:val="auto"/>
                <w:sz w:val="21"/>
                <w:szCs w:val="21"/>
                <w:highlight w:val="none"/>
                <w:u w:val="none" w:color="auto"/>
                <w:vertAlign w:val="superscript"/>
                <w:lang w:val="en-US" w:eastAsia="zh-CN"/>
              </w:rPr>
              <w:t>+</w:t>
            </w:r>
          </w:p>
        </w:tc>
        <w:tc>
          <w:tcPr>
            <w:tcW w:w="885" w:type="dxa"/>
            <w:tcBorders>
              <w:tl2br w:val="nil"/>
              <w:tr2bl w:val="nil"/>
            </w:tcBorders>
            <w:noWrap w:val="0"/>
            <w:vAlign w:val="center"/>
          </w:tcPr>
          <w:p w14:paraId="17966DB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0.170</w:t>
            </w:r>
          </w:p>
        </w:tc>
        <w:tc>
          <w:tcPr>
            <w:tcW w:w="855" w:type="dxa"/>
            <w:tcBorders>
              <w:tl2br w:val="nil"/>
              <w:tr2bl w:val="nil"/>
            </w:tcBorders>
            <w:noWrap w:val="0"/>
            <w:vAlign w:val="center"/>
          </w:tcPr>
          <w:p w14:paraId="0EBB51F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0.180</w:t>
            </w:r>
          </w:p>
        </w:tc>
        <w:tc>
          <w:tcPr>
            <w:tcW w:w="885" w:type="dxa"/>
            <w:tcBorders>
              <w:tl2br w:val="nil"/>
              <w:tr2bl w:val="nil"/>
            </w:tcBorders>
            <w:noWrap w:val="0"/>
            <w:vAlign w:val="center"/>
          </w:tcPr>
          <w:p w14:paraId="170C0DB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0.178</w:t>
            </w:r>
          </w:p>
        </w:tc>
        <w:tc>
          <w:tcPr>
            <w:tcW w:w="1110" w:type="dxa"/>
            <w:tcBorders>
              <w:tl2br w:val="nil"/>
              <w:tr2bl w:val="nil"/>
            </w:tcBorders>
            <w:noWrap w:val="0"/>
            <w:vAlign w:val="center"/>
          </w:tcPr>
          <w:p w14:paraId="468D82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43601D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1FE48D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26608E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227EE633">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6DB1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50149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10CFB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Na</w:t>
            </w:r>
            <w:r>
              <w:rPr>
                <w:rFonts w:hint="default" w:ascii="Times New Roman" w:hAnsi="Times New Roman" w:eastAsia="宋体" w:cs="Times New Roman"/>
                <w:color w:val="auto"/>
                <w:sz w:val="21"/>
                <w:szCs w:val="21"/>
                <w:highlight w:val="none"/>
                <w:u w:val="none" w:color="auto"/>
                <w:vertAlign w:val="superscript"/>
                <w:lang w:val="en-US" w:eastAsia="zh-CN"/>
              </w:rPr>
              <w:t>+</w:t>
            </w:r>
          </w:p>
        </w:tc>
        <w:tc>
          <w:tcPr>
            <w:tcW w:w="885" w:type="dxa"/>
            <w:tcBorders>
              <w:tl2br w:val="nil"/>
              <w:tr2bl w:val="nil"/>
            </w:tcBorders>
            <w:noWrap w:val="0"/>
            <w:vAlign w:val="center"/>
          </w:tcPr>
          <w:p w14:paraId="1CD897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52.2</w:t>
            </w:r>
          </w:p>
        </w:tc>
        <w:tc>
          <w:tcPr>
            <w:tcW w:w="855" w:type="dxa"/>
            <w:tcBorders>
              <w:tl2br w:val="nil"/>
              <w:tr2bl w:val="nil"/>
            </w:tcBorders>
            <w:noWrap w:val="0"/>
            <w:vAlign w:val="center"/>
          </w:tcPr>
          <w:p w14:paraId="4D60C31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48.7</w:t>
            </w:r>
          </w:p>
        </w:tc>
        <w:tc>
          <w:tcPr>
            <w:tcW w:w="885" w:type="dxa"/>
            <w:tcBorders>
              <w:tl2br w:val="nil"/>
              <w:tr2bl w:val="nil"/>
            </w:tcBorders>
            <w:noWrap w:val="0"/>
            <w:vAlign w:val="center"/>
          </w:tcPr>
          <w:p w14:paraId="0F5226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50.3</w:t>
            </w:r>
          </w:p>
        </w:tc>
        <w:tc>
          <w:tcPr>
            <w:tcW w:w="1110" w:type="dxa"/>
            <w:tcBorders>
              <w:tl2br w:val="nil"/>
              <w:tr2bl w:val="nil"/>
            </w:tcBorders>
            <w:noWrap w:val="0"/>
            <w:vAlign w:val="center"/>
          </w:tcPr>
          <w:p w14:paraId="73504E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200</w:t>
            </w:r>
          </w:p>
        </w:tc>
        <w:tc>
          <w:tcPr>
            <w:tcW w:w="812" w:type="dxa"/>
            <w:tcBorders>
              <w:tl2br w:val="nil"/>
              <w:tr2bl w:val="nil"/>
            </w:tcBorders>
            <w:noWrap w:val="0"/>
            <w:vAlign w:val="center"/>
          </w:tcPr>
          <w:p w14:paraId="2F6EE6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7654B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1D4725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62C461F">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032B7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D26A8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448E3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Ca</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5108BE5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20</w:t>
            </w:r>
          </w:p>
        </w:tc>
        <w:tc>
          <w:tcPr>
            <w:tcW w:w="855" w:type="dxa"/>
            <w:tcBorders>
              <w:tl2br w:val="nil"/>
              <w:tr2bl w:val="nil"/>
            </w:tcBorders>
            <w:noWrap w:val="0"/>
            <w:vAlign w:val="center"/>
          </w:tcPr>
          <w:p w14:paraId="6216E2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22</w:t>
            </w:r>
          </w:p>
        </w:tc>
        <w:tc>
          <w:tcPr>
            <w:tcW w:w="885" w:type="dxa"/>
            <w:tcBorders>
              <w:tl2br w:val="nil"/>
              <w:tr2bl w:val="nil"/>
            </w:tcBorders>
            <w:noWrap w:val="0"/>
            <w:vAlign w:val="center"/>
          </w:tcPr>
          <w:p w14:paraId="3FAE12A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21</w:t>
            </w:r>
          </w:p>
        </w:tc>
        <w:tc>
          <w:tcPr>
            <w:tcW w:w="1110" w:type="dxa"/>
            <w:tcBorders>
              <w:tl2br w:val="nil"/>
              <w:tr2bl w:val="nil"/>
            </w:tcBorders>
            <w:noWrap w:val="0"/>
            <w:vAlign w:val="center"/>
          </w:tcPr>
          <w:p w14:paraId="75AC87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3B56AD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4D352D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0AA8F2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3997BE3A">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7FAA6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4F157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3F30DE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551061D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16</w:t>
            </w:r>
          </w:p>
        </w:tc>
        <w:tc>
          <w:tcPr>
            <w:tcW w:w="855" w:type="dxa"/>
            <w:tcBorders>
              <w:tl2br w:val="nil"/>
              <w:tr2bl w:val="nil"/>
            </w:tcBorders>
            <w:noWrap w:val="0"/>
            <w:vAlign w:val="center"/>
          </w:tcPr>
          <w:p w14:paraId="688154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17</w:t>
            </w:r>
          </w:p>
        </w:tc>
        <w:tc>
          <w:tcPr>
            <w:tcW w:w="885" w:type="dxa"/>
            <w:tcBorders>
              <w:tl2br w:val="nil"/>
              <w:tr2bl w:val="nil"/>
            </w:tcBorders>
            <w:noWrap w:val="0"/>
            <w:vAlign w:val="center"/>
          </w:tcPr>
          <w:p w14:paraId="46BC334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16</w:t>
            </w:r>
          </w:p>
        </w:tc>
        <w:tc>
          <w:tcPr>
            <w:tcW w:w="1110" w:type="dxa"/>
            <w:tcBorders>
              <w:tl2br w:val="nil"/>
              <w:tr2bl w:val="nil"/>
            </w:tcBorders>
            <w:noWrap w:val="0"/>
            <w:vAlign w:val="center"/>
          </w:tcPr>
          <w:p w14:paraId="65D9FA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1C38B8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3E78B1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48434F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6B390C03">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3BC18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B6BCA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EE4ED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CO</w:t>
            </w:r>
            <w:r>
              <w:rPr>
                <w:rFonts w:hint="default" w:ascii="Times New Roman" w:hAnsi="Times New Roman" w:eastAsia="宋体" w:cs="Times New Roman"/>
                <w:color w:val="auto"/>
                <w:sz w:val="21"/>
                <w:szCs w:val="21"/>
                <w:highlight w:val="none"/>
                <w:u w:val="none" w:color="auto"/>
                <w:vertAlign w:val="subscript"/>
                <w:lang w:val="en-US" w:eastAsia="zh-CN"/>
              </w:rPr>
              <w:t>3</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67B6668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ND</w:t>
            </w:r>
          </w:p>
        </w:tc>
        <w:tc>
          <w:tcPr>
            <w:tcW w:w="855" w:type="dxa"/>
            <w:tcBorders>
              <w:tl2br w:val="nil"/>
              <w:tr2bl w:val="nil"/>
            </w:tcBorders>
            <w:noWrap w:val="0"/>
            <w:vAlign w:val="center"/>
          </w:tcPr>
          <w:p w14:paraId="37A0C2D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ND</w:t>
            </w:r>
          </w:p>
        </w:tc>
        <w:tc>
          <w:tcPr>
            <w:tcW w:w="885" w:type="dxa"/>
            <w:tcBorders>
              <w:tl2br w:val="nil"/>
              <w:tr2bl w:val="nil"/>
            </w:tcBorders>
            <w:noWrap w:val="0"/>
            <w:vAlign w:val="center"/>
          </w:tcPr>
          <w:p w14:paraId="751248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ND</w:t>
            </w:r>
          </w:p>
        </w:tc>
        <w:tc>
          <w:tcPr>
            <w:tcW w:w="1110" w:type="dxa"/>
            <w:tcBorders>
              <w:tl2br w:val="nil"/>
              <w:tr2bl w:val="nil"/>
            </w:tcBorders>
            <w:noWrap w:val="0"/>
            <w:vAlign w:val="center"/>
          </w:tcPr>
          <w:p w14:paraId="5FCB4B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53417D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18BC45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0484EC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6348BF4A">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6E4BC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1C045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640D61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HCO</w:t>
            </w:r>
            <w:r>
              <w:rPr>
                <w:rFonts w:hint="default" w:ascii="Times New Roman" w:hAnsi="Times New Roman" w:eastAsia="宋体" w:cs="Times New Roman"/>
                <w:color w:val="auto"/>
                <w:sz w:val="21"/>
                <w:szCs w:val="21"/>
                <w:highlight w:val="none"/>
                <w:u w:val="none" w:color="auto"/>
                <w:vertAlign w:val="subscript"/>
                <w:lang w:val="en-US" w:eastAsia="zh-CN"/>
              </w:rPr>
              <w:t>3</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701175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106</w:t>
            </w:r>
          </w:p>
        </w:tc>
        <w:tc>
          <w:tcPr>
            <w:tcW w:w="855" w:type="dxa"/>
            <w:tcBorders>
              <w:tl2br w:val="nil"/>
              <w:tr2bl w:val="nil"/>
            </w:tcBorders>
            <w:noWrap w:val="0"/>
            <w:vAlign w:val="center"/>
          </w:tcPr>
          <w:p w14:paraId="112BB1B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109</w:t>
            </w:r>
          </w:p>
        </w:tc>
        <w:tc>
          <w:tcPr>
            <w:tcW w:w="885" w:type="dxa"/>
            <w:tcBorders>
              <w:tl2br w:val="nil"/>
              <w:tr2bl w:val="nil"/>
            </w:tcBorders>
            <w:noWrap w:val="0"/>
            <w:vAlign w:val="center"/>
          </w:tcPr>
          <w:p w14:paraId="26AF53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104</w:t>
            </w:r>
          </w:p>
        </w:tc>
        <w:tc>
          <w:tcPr>
            <w:tcW w:w="1110" w:type="dxa"/>
            <w:tcBorders>
              <w:tl2br w:val="nil"/>
              <w:tr2bl w:val="nil"/>
            </w:tcBorders>
            <w:noWrap w:val="0"/>
            <w:vAlign w:val="center"/>
          </w:tcPr>
          <w:p w14:paraId="55A9FF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10312A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7770E6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3743F9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290CED56">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5ECB5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D2093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C25E6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Cl</w:t>
            </w:r>
            <w:r>
              <w:rPr>
                <w:rFonts w:hint="default" w:ascii="Times New Roman" w:hAnsi="Times New Roman" w:eastAsia="宋体" w:cs="Times New Roman"/>
                <w:color w:val="auto"/>
                <w:sz w:val="21"/>
                <w:szCs w:val="21"/>
                <w:highlight w:val="none"/>
                <w:u w:val="none" w:color="auto"/>
                <w:vertAlign w:val="superscript"/>
                <w:lang w:val="en-US" w:eastAsia="zh-CN"/>
              </w:rPr>
              <w:t>-</w:t>
            </w:r>
          </w:p>
        </w:tc>
        <w:tc>
          <w:tcPr>
            <w:tcW w:w="885" w:type="dxa"/>
            <w:tcBorders>
              <w:tl2br w:val="nil"/>
              <w:tr2bl w:val="nil"/>
            </w:tcBorders>
            <w:noWrap w:val="0"/>
            <w:vAlign w:val="center"/>
          </w:tcPr>
          <w:p w14:paraId="48A69D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17.4</w:t>
            </w:r>
          </w:p>
        </w:tc>
        <w:tc>
          <w:tcPr>
            <w:tcW w:w="855" w:type="dxa"/>
            <w:tcBorders>
              <w:tl2br w:val="nil"/>
              <w:tr2bl w:val="nil"/>
            </w:tcBorders>
            <w:noWrap w:val="0"/>
            <w:vAlign w:val="center"/>
          </w:tcPr>
          <w:p w14:paraId="0E9570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17.2</w:t>
            </w:r>
          </w:p>
        </w:tc>
        <w:tc>
          <w:tcPr>
            <w:tcW w:w="885" w:type="dxa"/>
            <w:tcBorders>
              <w:tl2br w:val="nil"/>
              <w:tr2bl w:val="nil"/>
            </w:tcBorders>
            <w:noWrap w:val="0"/>
            <w:vAlign w:val="center"/>
          </w:tcPr>
          <w:p w14:paraId="59A45E5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16.6</w:t>
            </w:r>
          </w:p>
        </w:tc>
        <w:tc>
          <w:tcPr>
            <w:tcW w:w="1110" w:type="dxa"/>
            <w:tcBorders>
              <w:tl2br w:val="nil"/>
              <w:tr2bl w:val="nil"/>
            </w:tcBorders>
            <w:noWrap w:val="0"/>
            <w:vAlign w:val="center"/>
          </w:tcPr>
          <w:p w14:paraId="53072C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250</w:t>
            </w:r>
          </w:p>
        </w:tc>
        <w:tc>
          <w:tcPr>
            <w:tcW w:w="812" w:type="dxa"/>
            <w:tcBorders>
              <w:tl2br w:val="nil"/>
              <w:tr2bl w:val="nil"/>
            </w:tcBorders>
            <w:noWrap w:val="0"/>
            <w:vAlign w:val="center"/>
          </w:tcPr>
          <w:p w14:paraId="0BE65F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2DFCA5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360559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1CC8A269">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mg/L</w:t>
            </w:r>
          </w:p>
        </w:tc>
      </w:tr>
      <w:tr w14:paraId="6F7D8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45ED6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50F6E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SO</w:t>
            </w:r>
            <w:r>
              <w:rPr>
                <w:rFonts w:hint="default" w:ascii="Times New Roman" w:hAnsi="Times New Roman" w:eastAsia="宋体" w:cs="Times New Roman"/>
                <w:color w:val="auto"/>
                <w:sz w:val="21"/>
                <w:szCs w:val="21"/>
                <w:highlight w:val="none"/>
                <w:u w:val="none" w:color="auto"/>
                <w:vertAlign w:val="subscript"/>
                <w:lang w:val="en-US" w:eastAsia="zh-CN"/>
              </w:rPr>
              <w:t>4</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0D284783">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45FB7E24">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64F62689">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6FB66D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250</w:t>
            </w:r>
          </w:p>
        </w:tc>
        <w:tc>
          <w:tcPr>
            <w:tcW w:w="812" w:type="dxa"/>
            <w:tcBorders>
              <w:tl2br w:val="nil"/>
              <w:tr2bl w:val="nil"/>
            </w:tcBorders>
            <w:noWrap w:val="0"/>
            <w:vAlign w:val="center"/>
          </w:tcPr>
          <w:p w14:paraId="6CF266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F7886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13D032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D830517">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4F559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restart"/>
            <w:tcBorders>
              <w:tl2br w:val="nil"/>
              <w:tr2bl w:val="nil"/>
            </w:tcBorders>
            <w:noWrap w:val="0"/>
            <w:vAlign w:val="center"/>
          </w:tcPr>
          <w:p w14:paraId="6F9D7F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D</w:t>
            </w:r>
            <w:r>
              <w:rPr>
                <w:rFonts w:hint="default" w:ascii="Times New Roman" w:hAnsi="Times New Roman" w:eastAsia="宋体" w:cs="Times New Roman"/>
                <w:color w:val="auto"/>
                <w:sz w:val="21"/>
                <w:szCs w:val="21"/>
                <w:highlight w:val="none"/>
                <w:u w:val="none" w:color="auto"/>
                <w:lang w:val="en-US" w:eastAsia="zh-CN"/>
              </w:rPr>
              <w:t>2</w:t>
            </w:r>
          </w:p>
        </w:tc>
        <w:tc>
          <w:tcPr>
            <w:tcW w:w="1275" w:type="dxa"/>
            <w:tcBorders>
              <w:tl2br w:val="nil"/>
              <w:tr2bl w:val="nil"/>
            </w:tcBorders>
            <w:noWrap w:val="0"/>
            <w:vAlign w:val="center"/>
          </w:tcPr>
          <w:p w14:paraId="4BD7A7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pH值</w:t>
            </w:r>
          </w:p>
        </w:tc>
        <w:tc>
          <w:tcPr>
            <w:tcW w:w="885" w:type="dxa"/>
            <w:tcBorders>
              <w:tl2br w:val="nil"/>
              <w:tr2bl w:val="nil"/>
            </w:tcBorders>
            <w:noWrap w:val="0"/>
            <w:vAlign w:val="center"/>
          </w:tcPr>
          <w:p w14:paraId="6EFF2CD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7.1</w:t>
            </w:r>
          </w:p>
        </w:tc>
        <w:tc>
          <w:tcPr>
            <w:tcW w:w="855" w:type="dxa"/>
            <w:tcBorders>
              <w:tl2br w:val="nil"/>
              <w:tr2bl w:val="nil"/>
            </w:tcBorders>
            <w:noWrap w:val="0"/>
            <w:vAlign w:val="center"/>
          </w:tcPr>
          <w:p w14:paraId="3B8485E9">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7.5</w:t>
            </w:r>
          </w:p>
        </w:tc>
        <w:tc>
          <w:tcPr>
            <w:tcW w:w="885" w:type="dxa"/>
            <w:tcBorders>
              <w:tl2br w:val="nil"/>
              <w:tr2bl w:val="nil"/>
            </w:tcBorders>
            <w:noWrap w:val="0"/>
            <w:vAlign w:val="center"/>
          </w:tcPr>
          <w:p w14:paraId="3B62065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7.2</w:t>
            </w:r>
          </w:p>
        </w:tc>
        <w:tc>
          <w:tcPr>
            <w:tcW w:w="1110" w:type="dxa"/>
            <w:tcBorders>
              <w:tl2br w:val="nil"/>
              <w:tr2bl w:val="nil"/>
            </w:tcBorders>
            <w:noWrap w:val="0"/>
            <w:vAlign w:val="center"/>
          </w:tcPr>
          <w:p w14:paraId="72D9A5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6.5~8.5</w:t>
            </w:r>
          </w:p>
        </w:tc>
        <w:tc>
          <w:tcPr>
            <w:tcW w:w="812" w:type="dxa"/>
            <w:tcBorders>
              <w:tl2br w:val="nil"/>
              <w:tr2bl w:val="nil"/>
            </w:tcBorders>
            <w:noWrap w:val="0"/>
            <w:vAlign w:val="center"/>
          </w:tcPr>
          <w:p w14:paraId="1EA7DF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2A66CA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AE9AC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950C9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无量纲</w:t>
            </w:r>
          </w:p>
        </w:tc>
      </w:tr>
      <w:tr w14:paraId="111722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45E51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3B7532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氨氮</w:t>
            </w:r>
          </w:p>
        </w:tc>
        <w:tc>
          <w:tcPr>
            <w:tcW w:w="885" w:type="dxa"/>
            <w:tcBorders>
              <w:tl2br w:val="nil"/>
              <w:tr2bl w:val="nil"/>
            </w:tcBorders>
            <w:noWrap w:val="0"/>
            <w:vAlign w:val="center"/>
          </w:tcPr>
          <w:p w14:paraId="561F134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39A0AA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3B49925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1CD96D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0.50</w:t>
            </w:r>
          </w:p>
        </w:tc>
        <w:tc>
          <w:tcPr>
            <w:tcW w:w="812" w:type="dxa"/>
            <w:tcBorders>
              <w:tl2br w:val="nil"/>
              <w:tr2bl w:val="nil"/>
            </w:tcBorders>
            <w:noWrap w:val="0"/>
            <w:vAlign w:val="center"/>
          </w:tcPr>
          <w:p w14:paraId="2EC4D6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660874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6882AC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6A52A245">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mg/L</w:t>
            </w:r>
          </w:p>
        </w:tc>
      </w:tr>
      <w:tr w14:paraId="36273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8513E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37EBA6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亚硝酸盐</w:t>
            </w:r>
          </w:p>
        </w:tc>
        <w:tc>
          <w:tcPr>
            <w:tcW w:w="885" w:type="dxa"/>
            <w:tcBorders>
              <w:tl2br w:val="nil"/>
              <w:tr2bl w:val="nil"/>
            </w:tcBorders>
            <w:noWrap w:val="0"/>
            <w:vAlign w:val="center"/>
          </w:tcPr>
          <w:p w14:paraId="25AFDFB9">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475E9325">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43519B2C">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7A22A2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1.00</w:t>
            </w:r>
          </w:p>
        </w:tc>
        <w:tc>
          <w:tcPr>
            <w:tcW w:w="812" w:type="dxa"/>
            <w:tcBorders>
              <w:tl2br w:val="nil"/>
              <w:tr2bl w:val="nil"/>
            </w:tcBorders>
            <w:noWrap w:val="0"/>
            <w:vAlign w:val="center"/>
          </w:tcPr>
          <w:p w14:paraId="12BF77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2A453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359B38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EBF3AF3">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10DE4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070D8F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ED6A2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硝酸盐</w:t>
            </w:r>
          </w:p>
        </w:tc>
        <w:tc>
          <w:tcPr>
            <w:tcW w:w="885" w:type="dxa"/>
            <w:tcBorders>
              <w:tl2br w:val="nil"/>
              <w:tr2bl w:val="nil"/>
            </w:tcBorders>
            <w:noWrap w:val="0"/>
            <w:vAlign w:val="center"/>
          </w:tcPr>
          <w:p w14:paraId="5D9DCC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19.3</w:t>
            </w:r>
          </w:p>
        </w:tc>
        <w:tc>
          <w:tcPr>
            <w:tcW w:w="855" w:type="dxa"/>
            <w:tcBorders>
              <w:tl2br w:val="nil"/>
              <w:tr2bl w:val="nil"/>
            </w:tcBorders>
            <w:noWrap w:val="0"/>
            <w:vAlign w:val="center"/>
          </w:tcPr>
          <w:p w14:paraId="47D28D0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19.0</w:t>
            </w:r>
          </w:p>
        </w:tc>
        <w:tc>
          <w:tcPr>
            <w:tcW w:w="885" w:type="dxa"/>
            <w:tcBorders>
              <w:tl2br w:val="nil"/>
              <w:tr2bl w:val="nil"/>
            </w:tcBorders>
            <w:noWrap w:val="0"/>
            <w:vAlign w:val="center"/>
          </w:tcPr>
          <w:p w14:paraId="4AB65D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19.4</w:t>
            </w:r>
          </w:p>
        </w:tc>
        <w:tc>
          <w:tcPr>
            <w:tcW w:w="1110" w:type="dxa"/>
            <w:tcBorders>
              <w:tl2br w:val="nil"/>
              <w:tr2bl w:val="nil"/>
            </w:tcBorders>
            <w:noWrap w:val="0"/>
            <w:vAlign w:val="center"/>
          </w:tcPr>
          <w:p w14:paraId="5FD79D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20.0</w:t>
            </w:r>
          </w:p>
        </w:tc>
        <w:tc>
          <w:tcPr>
            <w:tcW w:w="812" w:type="dxa"/>
            <w:tcBorders>
              <w:tl2br w:val="nil"/>
              <w:tr2bl w:val="nil"/>
            </w:tcBorders>
            <w:noWrap w:val="0"/>
            <w:vAlign w:val="center"/>
          </w:tcPr>
          <w:p w14:paraId="610D8D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2CA5EA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57775C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C121DCB">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2F9DF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F7F51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43DB42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挥发酚</w:t>
            </w:r>
          </w:p>
        </w:tc>
        <w:tc>
          <w:tcPr>
            <w:tcW w:w="885" w:type="dxa"/>
            <w:tcBorders>
              <w:tl2br w:val="nil"/>
              <w:tr2bl w:val="nil"/>
            </w:tcBorders>
            <w:noWrap w:val="0"/>
            <w:vAlign w:val="center"/>
          </w:tcPr>
          <w:p w14:paraId="134495EF">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73054031">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78B7D1AA">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37BB11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0.002</w:t>
            </w:r>
          </w:p>
        </w:tc>
        <w:tc>
          <w:tcPr>
            <w:tcW w:w="812" w:type="dxa"/>
            <w:tcBorders>
              <w:tl2br w:val="nil"/>
              <w:tr2bl w:val="nil"/>
            </w:tcBorders>
            <w:noWrap w:val="0"/>
            <w:vAlign w:val="center"/>
          </w:tcPr>
          <w:p w14:paraId="02C69C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3056CB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782189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F7042D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39361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275E0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EA9E7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氰化物</w:t>
            </w:r>
          </w:p>
        </w:tc>
        <w:tc>
          <w:tcPr>
            <w:tcW w:w="885" w:type="dxa"/>
            <w:tcBorders>
              <w:tl2br w:val="nil"/>
              <w:tr2bl w:val="nil"/>
            </w:tcBorders>
            <w:noWrap w:val="0"/>
            <w:vAlign w:val="center"/>
          </w:tcPr>
          <w:p w14:paraId="50CFE9E1">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63F22B48">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7AD3866F">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1EB311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0.05</w:t>
            </w:r>
          </w:p>
        </w:tc>
        <w:tc>
          <w:tcPr>
            <w:tcW w:w="812" w:type="dxa"/>
            <w:tcBorders>
              <w:tl2br w:val="nil"/>
              <w:tr2bl w:val="nil"/>
            </w:tcBorders>
            <w:noWrap w:val="0"/>
            <w:vAlign w:val="center"/>
          </w:tcPr>
          <w:p w14:paraId="1AAF84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25D4D11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4EA3F2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22271E4">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mg/L</w:t>
            </w:r>
          </w:p>
        </w:tc>
      </w:tr>
      <w:tr w14:paraId="3AEE1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C8A3B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43A96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汞</w:t>
            </w:r>
          </w:p>
        </w:tc>
        <w:tc>
          <w:tcPr>
            <w:tcW w:w="885" w:type="dxa"/>
            <w:tcBorders>
              <w:tl2br w:val="nil"/>
              <w:tr2bl w:val="nil"/>
            </w:tcBorders>
            <w:noWrap w:val="0"/>
            <w:vAlign w:val="center"/>
          </w:tcPr>
          <w:p w14:paraId="6F99B54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0.00031</w:t>
            </w:r>
          </w:p>
        </w:tc>
        <w:tc>
          <w:tcPr>
            <w:tcW w:w="855" w:type="dxa"/>
            <w:tcBorders>
              <w:tl2br w:val="nil"/>
              <w:tr2bl w:val="nil"/>
            </w:tcBorders>
            <w:noWrap w:val="0"/>
            <w:vAlign w:val="center"/>
          </w:tcPr>
          <w:p w14:paraId="3DE54B0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0.00023</w:t>
            </w:r>
          </w:p>
        </w:tc>
        <w:tc>
          <w:tcPr>
            <w:tcW w:w="885" w:type="dxa"/>
            <w:tcBorders>
              <w:tl2br w:val="nil"/>
              <w:tr2bl w:val="nil"/>
            </w:tcBorders>
            <w:noWrap w:val="0"/>
            <w:vAlign w:val="center"/>
          </w:tcPr>
          <w:p w14:paraId="5FD0FB5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0.00021</w:t>
            </w:r>
          </w:p>
        </w:tc>
        <w:tc>
          <w:tcPr>
            <w:tcW w:w="1110" w:type="dxa"/>
            <w:tcBorders>
              <w:tl2br w:val="nil"/>
              <w:tr2bl w:val="nil"/>
            </w:tcBorders>
            <w:noWrap w:val="0"/>
            <w:vAlign w:val="center"/>
          </w:tcPr>
          <w:p w14:paraId="4653A3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0.001</w:t>
            </w:r>
          </w:p>
        </w:tc>
        <w:tc>
          <w:tcPr>
            <w:tcW w:w="812" w:type="dxa"/>
            <w:tcBorders>
              <w:tl2br w:val="nil"/>
              <w:tr2bl w:val="nil"/>
            </w:tcBorders>
            <w:noWrap w:val="0"/>
            <w:vAlign w:val="center"/>
          </w:tcPr>
          <w:p w14:paraId="38E17C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6D4B03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388EBF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28D84D69">
            <w:pPr>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2245A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BB667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1303C6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砷</w:t>
            </w:r>
          </w:p>
        </w:tc>
        <w:tc>
          <w:tcPr>
            <w:tcW w:w="885" w:type="dxa"/>
            <w:tcBorders>
              <w:tl2br w:val="nil"/>
              <w:tr2bl w:val="nil"/>
            </w:tcBorders>
            <w:noWrap w:val="0"/>
            <w:vAlign w:val="center"/>
          </w:tcPr>
          <w:p w14:paraId="27D6FF1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4A6D521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66B0003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59F033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0.01</w:t>
            </w:r>
          </w:p>
        </w:tc>
        <w:tc>
          <w:tcPr>
            <w:tcW w:w="812" w:type="dxa"/>
            <w:tcBorders>
              <w:tl2br w:val="nil"/>
              <w:tr2bl w:val="nil"/>
            </w:tcBorders>
            <w:noWrap w:val="0"/>
            <w:vAlign w:val="center"/>
          </w:tcPr>
          <w:p w14:paraId="507106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3AB4C8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2AA2DE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40579DD2">
            <w:pPr>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4DE83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2C52D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67CF13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六价铬</w:t>
            </w:r>
          </w:p>
        </w:tc>
        <w:tc>
          <w:tcPr>
            <w:tcW w:w="885" w:type="dxa"/>
            <w:tcBorders>
              <w:tl2br w:val="nil"/>
              <w:tr2bl w:val="nil"/>
            </w:tcBorders>
            <w:noWrap w:val="0"/>
            <w:vAlign w:val="center"/>
          </w:tcPr>
          <w:p w14:paraId="3C7C6DA9">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053238C8">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7718BDAE">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3D677B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0.05</w:t>
            </w:r>
          </w:p>
        </w:tc>
        <w:tc>
          <w:tcPr>
            <w:tcW w:w="812" w:type="dxa"/>
            <w:tcBorders>
              <w:tl2br w:val="nil"/>
              <w:tr2bl w:val="nil"/>
            </w:tcBorders>
            <w:noWrap w:val="0"/>
            <w:vAlign w:val="center"/>
          </w:tcPr>
          <w:p w14:paraId="449985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3FE8E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12AC3B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D8DB10B">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73996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049EE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5002F1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总硬度</w:t>
            </w:r>
          </w:p>
        </w:tc>
        <w:tc>
          <w:tcPr>
            <w:tcW w:w="885" w:type="dxa"/>
            <w:tcBorders>
              <w:tl2br w:val="nil"/>
              <w:tr2bl w:val="nil"/>
            </w:tcBorders>
            <w:noWrap w:val="0"/>
            <w:vAlign w:val="center"/>
          </w:tcPr>
          <w:p w14:paraId="6039137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110</w:t>
            </w:r>
          </w:p>
        </w:tc>
        <w:tc>
          <w:tcPr>
            <w:tcW w:w="855" w:type="dxa"/>
            <w:tcBorders>
              <w:tl2br w:val="nil"/>
              <w:tr2bl w:val="nil"/>
            </w:tcBorders>
            <w:noWrap w:val="0"/>
            <w:vAlign w:val="center"/>
          </w:tcPr>
          <w:p w14:paraId="0043728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106</w:t>
            </w:r>
          </w:p>
        </w:tc>
        <w:tc>
          <w:tcPr>
            <w:tcW w:w="885" w:type="dxa"/>
            <w:tcBorders>
              <w:tl2br w:val="nil"/>
              <w:tr2bl w:val="nil"/>
            </w:tcBorders>
            <w:noWrap w:val="0"/>
            <w:vAlign w:val="center"/>
          </w:tcPr>
          <w:p w14:paraId="6FB9161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135</w:t>
            </w:r>
          </w:p>
        </w:tc>
        <w:tc>
          <w:tcPr>
            <w:tcW w:w="1110" w:type="dxa"/>
            <w:tcBorders>
              <w:tl2br w:val="nil"/>
              <w:tr2bl w:val="nil"/>
            </w:tcBorders>
            <w:noWrap w:val="0"/>
            <w:vAlign w:val="center"/>
          </w:tcPr>
          <w:p w14:paraId="3C82B3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450</w:t>
            </w:r>
          </w:p>
        </w:tc>
        <w:tc>
          <w:tcPr>
            <w:tcW w:w="812" w:type="dxa"/>
            <w:tcBorders>
              <w:tl2br w:val="nil"/>
              <w:tr2bl w:val="nil"/>
            </w:tcBorders>
            <w:noWrap w:val="0"/>
            <w:vAlign w:val="center"/>
          </w:tcPr>
          <w:p w14:paraId="1A3FCC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3C96DF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500D0E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CBBD2A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27870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A76A8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69EAE2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铅</w:t>
            </w:r>
          </w:p>
        </w:tc>
        <w:tc>
          <w:tcPr>
            <w:tcW w:w="885" w:type="dxa"/>
            <w:tcBorders>
              <w:tl2br w:val="nil"/>
              <w:tr2bl w:val="nil"/>
            </w:tcBorders>
            <w:noWrap w:val="0"/>
            <w:vAlign w:val="center"/>
          </w:tcPr>
          <w:p w14:paraId="5E731EA8">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18EF0603">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29F0AA7E">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6304A7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0.01</w:t>
            </w:r>
          </w:p>
        </w:tc>
        <w:tc>
          <w:tcPr>
            <w:tcW w:w="812" w:type="dxa"/>
            <w:tcBorders>
              <w:tl2br w:val="nil"/>
              <w:tr2bl w:val="nil"/>
            </w:tcBorders>
            <w:noWrap w:val="0"/>
            <w:vAlign w:val="center"/>
          </w:tcPr>
          <w:p w14:paraId="59E5D2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748E92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21008B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6CF85F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19142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5A109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70AA0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氟化物</w:t>
            </w:r>
          </w:p>
        </w:tc>
        <w:tc>
          <w:tcPr>
            <w:tcW w:w="885" w:type="dxa"/>
            <w:tcBorders>
              <w:tl2br w:val="nil"/>
              <w:tr2bl w:val="nil"/>
            </w:tcBorders>
            <w:noWrap w:val="0"/>
            <w:vAlign w:val="center"/>
          </w:tcPr>
          <w:p w14:paraId="4B285B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0.033</w:t>
            </w:r>
          </w:p>
        </w:tc>
        <w:tc>
          <w:tcPr>
            <w:tcW w:w="855" w:type="dxa"/>
            <w:tcBorders>
              <w:tl2br w:val="nil"/>
              <w:tr2bl w:val="nil"/>
            </w:tcBorders>
            <w:noWrap w:val="0"/>
            <w:vAlign w:val="center"/>
          </w:tcPr>
          <w:p w14:paraId="32CC435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0.028</w:t>
            </w:r>
          </w:p>
        </w:tc>
        <w:tc>
          <w:tcPr>
            <w:tcW w:w="885" w:type="dxa"/>
            <w:tcBorders>
              <w:tl2br w:val="nil"/>
              <w:tr2bl w:val="nil"/>
            </w:tcBorders>
            <w:noWrap w:val="0"/>
            <w:vAlign w:val="center"/>
          </w:tcPr>
          <w:p w14:paraId="208A15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0.034</w:t>
            </w:r>
          </w:p>
        </w:tc>
        <w:tc>
          <w:tcPr>
            <w:tcW w:w="1110" w:type="dxa"/>
            <w:tcBorders>
              <w:tl2br w:val="nil"/>
              <w:tr2bl w:val="nil"/>
            </w:tcBorders>
            <w:noWrap w:val="0"/>
            <w:vAlign w:val="center"/>
          </w:tcPr>
          <w:p w14:paraId="1E996F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w:t>
            </w:r>
          </w:p>
        </w:tc>
        <w:tc>
          <w:tcPr>
            <w:tcW w:w="812" w:type="dxa"/>
            <w:tcBorders>
              <w:tl2br w:val="nil"/>
              <w:tr2bl w:val="nil"/>
            </w:tcBorders>
            <w:noWrap w:val="0"/>
            <w:vAlign w:val="center"/>
          </w:tcPr>
          <w:p w14:paraId="5511C5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64C9E6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D2E99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4EC0D1BC">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2CFE2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08E90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0ACBA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镉</w:t>
            </w:r>
          </w:p>
        </w:tc>
        <w:tc>
          <w:tcPr>
            <w:tcW w:w="885" w:type="dxa"/>
            <w:tcBorders>
              <w:tl2br w:val="nil"/>
              <w:tr2bl w:val="nil"/>
            </w:tcBorders>
            <w:noWrap w:val="0"/>
            <w:vAlign w:val="center"/>
          </w:tcPr>
          <w:p w14:paraId="55071C4B">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08CFC719">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3D792BC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2D337B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0.005</w:t>
            </w:r>
          </w:p>
        </w:tc>
        <w:tc>
          <w:tcPr>
            <w:tcW w:w="812" w:type="dxa"/>
            <w:tcBorders>
              <w:tl2br w:val="nil"/>
              <w:tr2bl w:val="nil"/>
            </w:tcBorders>
            <w:noWrap w:val="0"/>
            <w:vAlign w:val="center"/>
          </w:tcPr>
          <w:p w14:paraId="4FE27B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52BD7E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740D6F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B90EB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2A8DD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039F6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8D765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铁</w:t>
            </w:r>
          </w:p>
        </w:tc>
        <w:tc>
          <w:tcPr>
            <w:tcW w:w="885" w:type="dxa"/>
            <w:tcBorders>
              <w:tl2br w:val="nil"/>
              <w:tr2bl w:val="nil"/>
            </w:tcBorders>
            <w:noWrap w:val="0"/>
            <w:vAlign w:val="center"/>
          </w:tcPr>
          <w:p w14:paraId="4C31630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4E4323A1">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4D65D575">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368BD4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0.3</w:t>
            </w:r>
          </w:p>
        </w:tc>
        <w:tc>
          <w:tcPr>
            <w:tcW w:w="812" w:type="dxa"/>
            <w:tcBorders>
              <w:tl2br w:val="nil"/>
              <w:tr2bl w:val="nil"/>
            </w:tcBorders>
            <w:noWrap w:val="0"/>
            <w:vAlign w:val="center"/>
          </w:tcPr>
          <w:p w14:paraId="7184AD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2CAA1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694553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4CCBA09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14CF0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9C89D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30DB5C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锰</w:t>
            </w:r>
          </w:p>
        </w:tc>
        <w:tc>
          <w:tcPr>
            <w:tcW w:w="885" w:type="dxa"/>
            <w:tcBorders>
              <w:tl2br w:val="nil"/>
              <w:tr2bl w:val="nil"/>
            </w:tcBorders>
            <w:noWrap w:val="0"/>
            <w:vAlign w:val="center"/>
          </w:tcPr>
          <w:p w14:paraId="1B71E6B5">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234D524D">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1863D5FB">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0E7C18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0.10</w:t>
            </w:r>
          </w:p>
        </w:tc>
        <w:tc>
          <w:tcPr>
            <w:tcW w:w="812" w:type="dxa"/>
            <w:tcBorders>
              <w:tl2br w:val="nil"/>
              <w:tr2bl w:val="nil"/>
            </w:tcBorders>
            <w:noWrap w:val="0"/>
            <w:vAlign w:val="center"/>
          </w:tcPr>
          <w:p w14:paraId="251CE3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579837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44E2F3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49E34E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4ACFD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CE507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15394A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锌</w:t>
            </w:r>
          </w:p>
        </w:tc>
        <w:tc>
          <w:tcPr>
            <w:tcW w:w="885" w:type="dxa"/>
            <w:tcBorders>
              <w:tl2br w:val="nil"/>
              <w:tr2bl w:val="nil"/>
            </w:tcBorders>
            <w:noWrap w:val="0"/>
            <w:vAlign w:val="center"/>
          </w:tcPr>
          <w:p w14:paraId="512D468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1DC7C894">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5EF2667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1F5D6D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1.00</w:t>
            </w:r>
          </w:p>
        </w:tc>
        <w:tc>
          <w:tcPr>
            <w:tcW w:w="812" w:type="dxa"/>
            <w:tcBorders>
              <w:tl2br w:val="nil"/>
              <w:tr2bl w:val="nil"/>
            </w:tcBorders>
            <w:noWrap w:val="0"/>
            <w:vAlign w:val="center"/>
          </w:tcPr>
          <w:p w14:paraId="35E81DA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3CE98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6C4D1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4983D2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17077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B09E0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18364D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铜</w:t>
            </w:r>
          </w:p>
        </w:tc>
        <w:tc>
          <w:tcPr>
            <w:tcW w:w="885" w:type="dxa"/>
            <w:tcBorders>
              <w:tl2br w:val="nil"/>
              <w:tr2bl w:val="nil"/>
            </w:tcBorders>
            <w:noWrap w:val="0"/>
            <w:vAlign w:val="center"/>
          </w:tcPr>
          <w:p w14:paraId="01A58705">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6DDB447C">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3D2D794A">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6187F0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w:t>
            </w:r>
          </w:p>
        </w:tc>
        <w:tc>
          <w:tcPr>
            <w:tcW w:w="812" w:type="dxa"/>
            <w:tcBorders>
              <w:tl2br w:val="nil"/>
              <w:tr2bl w:val="nil"/>
            </w:tcBorders>
            <w:noWrap w:val="0"/>
            <w:vAlign w:val="center"/>
          </w:tcPr>
          <w:p w14:paraId="75866D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93390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1BB609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615A407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78B19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BD4D7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51DB49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镍</w:t>
            </w:r>
          </w:p>
        </w:tc>
        <w:tc>
          <w:tcPr>
            <w:tcW w:w="885" w:type="dxa"/>
            <w:tcBorders>
              <w:tl2br w:val="nil"/>
              <w:tr2bl w:val="nil"/>
            </w:tcBorders>
            <w:noWrap w:val="0"/>
            <w:vAlign w:val="center"/>
          </w:tcPr>
          <w:p w14:paraId="6CA47D3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382CCA3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04569994">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311EB8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0.02</w:t>
            </w:r>
          </w:p>
        </w:tc>
        <w:tc>
          <w:tcPr>
            <w:tcW w:w="812" w:type="dxa"/>
            <w:tcBorders>
              <w:tl2br w:val="nil"/>
              <w:tr2bl w:val="nil"/>
            </w:tcBorders>
            <w:noWrap w:val="0"/>
            <w:vAlign w:val="center"/>
          </w:tcPr>
          <w:p w14:paraId="148A3F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3513B4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5F5BF4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1399A5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59AEC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69382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2A70B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溶解性总固体</w:t>
            </w:r>
          </w:p>
        </w:tc>
        <w:tc>
          <w:tcPr>
            <w:tcW w:w="885" w:type="dxa"/>
            <w:tcBorders>
              <w:tl2br w:val="nil"/>
              <w:tr2bl w:val="nil"/>
            </w:tcBorders>
            <w:noWrap w:val="0"/>
            <w:vAlign w:val="center"/>
          </w:tcPr>
          <w:p w14:paraId="17D7012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145</w:t>
            </w:r>
          </w:p>
        </w:tc>
        <w:tc>
          <w:tcPr>
            <w:tcW w:w="855" w:type="dxa"/>
            <w:tcBorders>
              <w:tl2br w:val="nil"/>
              <w:tr2bl w:val="nil"/>
            </w:tcBorders>
            <w:noWrap w:val="0"/>
            <w:vAlign w:val="center"/>
          </w:tcPr>
          <w:p w14:paraId="359ABA7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134</w:t>
            </w:r>
          </w:p>
        </w:tc>
        <w:tc>
          <w:tcPr>
            <w:tcW w:w="885" w:type="dxa"/>
            <w:tcBorders>
              <w:tl2br w:val="nil"/>
              <w:tr2bl w:val="nil"/>
            </w:tcBorders>
            <w:noWrap w:val="0"/>
            <w:vAlign w:val="center"/>
          </w:tcPr>
          <w:p w14:paraId="66031F7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125</w:t>
            </w:r>
          </w:p>
        </w:tc>
        <w:tc>
          <w:tcPr>
            <w:tcW w:w="1110" w:type="dxa"/>
            <w:tcBorders>
              <w:tl2br w:val="nil"/>
              <w:tr2bl w:val="nil"/>
            </w:tcBorders>
            <w:noWrap w:val="0"/>
            <w:vAlign w:val="center"/>
          </w:tcPr>
          <w:p w14:paraId="341EE0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1000</w:t>
            </w:r>
          </w:p>
        </w:tc>
        <w:tc>
          <w:tcPr>
            <w:tcW w:w="812" w:type="dxa"/>
            <w:tcBorders>
              <w:tl2br w:val="nil"/>
              <w:tr2bl w:val="nil"/>
            </w:tcBorders>
            <w:noWrap w:val="0"/>
            <w:vAlign w:val="center"/>
          </w:tcPr>
          <w:p w14:paraId="7E4CEB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3C047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3217F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353EBBBB">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5E5D3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3D96F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13AF25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高锰酸盐指数</w:t>
            </w:r>
          </w:p>
        </w:tc>
        <w:tc>
          <w:tcPr>
            <w:tcW w:w="885" w:type="dxa"/>
            <w:tcBorders>
              <w:tl2br w:val="nil"/>
              <w:tr2bl w:val="nil"/>
            </w:tcBorders>
            <w:noWrap w:val="0"/>
            <w:vAlign w:val="center"/>
          </w:tcPr>
          <w:p w14:paraId="480872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2.02</w:t>
            </w:r>
          </w:p>
        </w:tc>
        <w:tc>
          <w:tcPr>
            <w:tcW w:w="855" w:type="dxa"/>
            <w:tcBorders>
              <w:tl2br w:val="nil"/>
              <w:tr2bl w:val="nil"/>
            </w:tcBorders>
            <w:noWrap w:val="0"/>
            <w:vAlign w:val="center"/>
          </w:tcPr>
          <w:p w14:paraId="625BF0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2.90</w:t>
            </w:r>
          </w:p>
        </w:tc>
        <w:tc>
          <w:tcPr>
            <w:tcW w:w="885" w:type="dxa"/>
            <w:tcBorders>
              <w:tl2br w:val="nil"/>
              <w:tr2bl w:val="nil"/>
            </w:tcBorders>
            <w:noWrap w:val="0"/>
            <w:vAlign w:val="center"/>
          </w:tcPr>
          <w:p w14:paraId="0F06B46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2.85</w:t>
            </w:r>
          </w:p>
        </w:tc>
        <w:tc>
          <w:tcPr>
            <w:tcW w:w="1110" w:type="dxa"/>
            <w:tcBorders>
              <w:tl2br w:val="nil"/>
              <w:tr2bl w:val="nil"/>
            </w:tcBorders>
            <w:noWrap w:val="0"/>
            <w:vAlign w:val="center"/>
          </w:tcPr>
          <w:p w14:paraId="7DA878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3.0</w:t>
            </w:r>
          </w:p>
        </w:tc>
        <w:tc>
          <w:tcPr>
            <w:tcW w:w="812" w:type="dxa"/>
            <w:tcBorders>
              <w:tl2br w:val="nil"/>
              <w:tr2bl w:val="nil"/>
            </w:tcBorders>
            <w:noWrap w:val="0"/>
            <w:vAlign w:val="center"/>
          </w:tcPr>
          <w:p w14:paraId="7E1CD8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90128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699F4F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A2AE6E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2F8B9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1C6D3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122273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总大肠菌群</w:t>
            </w:r>
          </w:p>
        </w:tc>
        <w:tc>
          <w:tcPr>
            <w:tcW w:w="885" w:type="dxa"/>
            <w:tcBorders>
              <w:tl2br w:val="nil"/>
              <w:tr2bl w:val="nil"/>
            </w:tcBorders>
            <w:noWrap w:val="0"/>
            <w:vAlign w:val="center"/>
          </w:tcPr>
          <w:p w14:paraId="4DADCC3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&lt;20</w:t>
            </w:r>
          </w:p>
        </w:tc>
        <w:tc>
          <w:tcPr>
            <w:tcW w:w="855" w:type="dxa"/>
            <w:tcBorders>
              <w:tl2br w:val="nil"/>
              <w:tr2bl w:val="nil"/>
            </w:tcBorders>
            <w:noWrap w:val="0"/>
            <w:vAlign w:val="center"/>
          </w:tcPr>
          <w:p w14:paraId="499B5B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&lt;20</w:t>
            </w:r>
          </w:p>
        </w:tc>
        <w:tc>
          <w:tcPr>
            <w:tcW w:w="885" w:type="dxa"/>
            <w:tcBorders>
              <w:tl2br w:val="nil"/>
              <w:tr2bl w:val="nil"/>
            </w:tcBorders>
            <w:noWrap w:val="0"/>
            <w:vAlign w:val="center"/>
          </w:tcPr>
          <w:p w14:paraId="6A8F8E7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&lt;20</w:t>
            </w:r>
          </w:p>
        </w:tc>
        <w:tc>
          <w:tcPr>
            <w:tcW w:w="1110" w:type="dxa"/>
            <w:tcBorders>
              <w:tl2br w:val="nil"/>
              <w:tr2bl w:val="nil"/>
            </w:tcBorders>
            <w:noWrap w:val="0"/>
            <w:vAlign w:val="center"/>
          </w:tcPr>
          <w:p w14:paraId="580A94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30</w:t>
            </w:r>
          </w:p>
        </w:tc>
        <w:tc>
          <w:tcPr>
            <w:tcW w:w="812" w:type="dxa"/>
            <w:tcBorders>
              <w:tl2br w:val="nil"/>
              <w:tr2bl w:val="nil"/>
            </w:tcBorders>
            <w:noWrap w:val="0"/>
            <w:vAlign w:val="center"/>
          </w:tcPr>
          <w:p w14:paraId="55515E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42C3E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41C94F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5283DD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MPN/L</w:t>
            </w:r>
          </w:p>
        </w:tc>
      </w:tr>
      <w:tr w14:paraId="3BA83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6C9F9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3F2420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细菌总数</w:t>
            </w:r>
          </w:p>
        </w:tc>
        <w:tc>
          <w:tcPr>
            <w:tcW w:w="885" w:type="dxa"/>
            <w:tcBorders>
              <w:tl2br w:val="nil"/>
              <w:tr2bl w:val="nil"/>
            </w:tcBorders>
            <w:noWrap w:val="0"/>
            <w:vAlign w:val="center"/>
          </w:tcPr>
          <w:p w14:paraId="7029260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28</w:t>
            </w:r>
          </w:p>
        </w:tc>
        <w:tc>
          <w:tcPr>
            <w:tcW w:w="855" w:type="dxa"/>
            <w:tcBorders>
              <w:tl2br w:val="nil"/>
              <w:tr2bl w:val="nil"/>
            </w:tcBorders>
            <w:noWrap w:val="0"/>
            <w:vAlign w:val="center"/>
          </w:tcPr>
          <w:p w14:paraId="3958F6F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32</w:t>
            </w:r>
          </w:p>
        </w:tc>
        <w:tc>
          <w:tcPr>
            <w:tcW w:w="885" w:type="dxa"/>
            <w:tcBorders>
              <w:tl2br w:val="nil"/>
              <w:tr2bl w:val="nil"/>
            </w:tcBorders>
            <w:noWrap w:val="0"/>
            <w:vAlign w:val="center"/>
          </w:tcPr>
          <w:p w14:paraId="0EE838E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37</w:t>
            </w:r>
          </w:p>
        </w:tc>
        <w:tc>
          <w:tcPr>
            <w:tcW w:w="1110" w:type="dxa"/>
            <w:tcBorders>
              <w:tl2br w:val="nil"/>
              <w:tr2bl w:val="nil"/>
            </w:tcBorders>
            <w:noWrap w:val="0"/>
            <w:vAlign w:val="center"/>
          </w:tcPr>
          <w:p w14:paraId="01C6A8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w:t>
            </w:r>
          </w:p>
        </w:tc>
        <w:tc>
          <w:tcPr>
            <w:tcW w:w="812" w:type="dxa"/>
            <w:tcBorders>
              <w:tl2br w:val="nil"/>
              <w:tr2bl w:val="nil"/>
            </w:tcBorders>
            <w:noWrap w:val="0"/>
            <w:vAlign w:val="center"/>
          </w:tcPr>
          <w:p w14:paraId="6145E6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F3B13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FE910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AC3EA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CFU/mL</w:t>
            </w:r>
          </w:p>
        </w:tc>
      </w:tr>
      <w:tr w14:paraId="2C0E5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3AD08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4411D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K</w:t>
            </w:r>
            <w:r>
              <w:rPr>
                <w:rFonts w:hint="default" w:ascii="Times New Roman" w:hAnsi="Times New Roman" w:eastAsia="宋体" w:cs="Times New Roman"/>
                <w:color w:val="auto"/>
                <w:sz w:val="21"/>
                <w:szCs w:val="21"/>
                <w:highlight w:val="none"/>
                <w:u w:val="none" w:color="auto"/>
                <w:vertAlign w:val="superscript"/>
                <w:lang w:val="en-US" w:eastAsia="zh-CN"/>
              </w:rPr>
              <w:t>+</w:t>
            </w:r>
          </w:p>
        </w:tc>
        <w:tc>
          <w:tcPr>
            <w:tcW w:w="885" w:type="dxa"/>
            <w:tcBorders>
              <w:tl2br w:val="nil"/>
              <w:tr2bl w:val="nil"/>
            </w:tcBorders>
            <w:noWrap w:val="0"/>
            <w:vAlign w:val="center"/>
          </w:tcPr>
          <w:p w14:paraId="58F3558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0.277</w:t>
            </w:r>
          </w:p>
        </w:tc>
        <w:tc>
          <w:tcPr>
            <w:tcW w:w="855" w:type="dxa"/>
            <w:tcBorders>
              <w:tl2br w:val="nil"/>
              <w:tr2bl w:val="nil"/>
            </w:tcBorders>
            <w:noWrap w:val="0"/>
            <w:vAlign w:val="center"/>
          </w:tcPr>
          <w:p w14:paraId="40FCF2E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0.339</w:t>
            </w:r>
          </w:p>
        </w:tc>
        <w:tc>
          <w:tcPr>
            <w:tcW w:w="885" w:type="dxa"/>
            <w:tcBorders>
              <w:tl2br w:val="nil"/>
              <w:tr2bl w:val="nil"/>
            </w:tcBorders>
            <w:noWrap w:val="0"/>
            <w:vAlign w:val="center"/>
          </w:tcPr>
          <w:p w14:paraId="66694F2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0.346</w:t>
            </w:r>
          </w:p>
        </w:tc>
        <w:tc>
          <w:tcPr>
            <w:tcW w:w="1110" w:type="dxa"/>
            <w:tcBorders>
              <w:tl2br w:val="nil"/>
              <w:tr2bl w:val="nil"/>
            </w:tcBorders>
            <w:noWrap w:val="0"/>
            <w:vAlign w:val="center"/>
          </w:tcPr>
          <w:p w14:paraId="01E63C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78DB6E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64B880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06BAC0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6D1E2229">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575E0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247CF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1FC933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Na</w:t>
            </w:r>
            <w:r>
              <w:rPr>
                <w:rFonts w:hint="default" w:ascii="Times New Roman" w:hAnsi="Times New Roman" w:eastAsia="宋体" w:cs="Times New Roman"/>
                <w:color w:val="auto"/>
                <w:sz w:val="21"/>
                <w:szCs w:val="21"/>
                <w:highlight w:val="none"/>
                <w:u w:val="none" w:color="auto"/>
                <w:vertAlign w:val="superscript"/>
                <w:lang w:val="en-US" w:eastAsia="zh-CN"/>
              </w:rPr>
              <w:t>+</w:t>
            </w:r>
          </w:p>
        </w:tc>
        <w:tc>
          <w:tcPr>
            <w:tcW w:w="885" w:type="dxa"/>
            <w:tcBorders>
              <w:tl2br w:val="nil"/>
              <w:tr2bl w:val="nil"/>
            </w:tcBorders>
            <w:noWrap w:val="0"/>
            <w:vAlign w:val="center"/>
          </w:tcPr>
          <w:p w14:paraId="6C7570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41.7</w:t>
            </w:r>
          </w:p>
        </w:tc>
        <w:tc>
          <w:tcPr>
            <w:tcW w:w="855" w:type="dxa"/>
            <w:tcBorders>
              <w:tl2br w:val="nil"/>
              <w:tr2bl w:val="nil"/>
            </w:tcBorders>
            <w:noWrap w:val="0"/>
            <w:vAlign w:val="center"/>
          </w:tcPr>
          <w:p w14:paraId="4D0AB65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43.9</w:t>
            </w:r>
          </w:p>
        </w:tc>
        <w:tc>
          <w:tcPr>
            <w:tcW w:w="885" w:type="dxa"/>
            <w:tcBorders>
              <w:tl2br w:val="nil"/>
              <w:tr2bl w:val="nil"/>
            </w:tcBorders>
            <w:noWrap w:val="0"/>
            <w:vAlign w:val="center"/>
          </w:tcPr>
          <w:p w14:paraId="46DA4FE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42.1</w:t>
            </w:r>
          </w:p>
        </w:tc>
        <w:tc>
          <w:tcPr>
            <w:tcW w:w="1110" w:type="dxa"/>
            <w:tcBorders>
              <w:tl2br w:val="nil"/>
              <w:tr2bl w:val="nil"/>
            </w:tcBorders>
            <w:noWrap w:val="0"/>
            <w:vAlign w:val="center"/>
          </w:tcPr>
          <w:p w14:paraId="46CE43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200</w:t>
            </w:r>
          </w:p>
        </w:tc>
        <w:tc>
          <w:tcPr>
            <w:tcW w:w="812" w:type="dxa"/>
            <w:tcBorders>
              <w:tl2br w:val="nil"/>
              <w:tr2bl w:val="nil"/>
            </w:tcBorders>
            <w:noWrap w:val="0"/>
            <w:vAlign w:val="center"/>
          </w:tcPr>
          <w:p w14:paraId="2F4F36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47F06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2CF6C0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0D6F519">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0DF9C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F6930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4B8A3F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Ca</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7FBA52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16</w:t>
            </w:r>
          </w:p>
        </w:tc>
        <w:tc>
          <w:tcPr>
            <w:tcW w:w="855" w:type="dxa"/>
            <w:tcBorders>
              <w:tl2br w:val="nil"/>
              <w:tr2bl w:val="nil"/>
            </w:tcBorders>
            <w:noWrap w:val="0"/>
            <w:vAlign w:val="center"/>
          </w:tcPr>
          <w:p w14:paraId="5E31E47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16</w:t>
            </w:r>
          </w:p>
        </w:tc>
        <w:tc>
          <w:tcPr>
            <w:tcW w:w="885" w:type="dxa"/>
            <w:tcBorders>
              <w:tl2br w:val="nil"/>
              <w:tr2bl w:val="nil"/>
            </w:tcBorders>
            <w:noWrap w:val="0"/>
            <w:vAlign w:val="center"/>
          </w:tcPr>
          <w:p w14:paraId="42B05B5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17</w:t>
            </w:r>
          </w:p>
        </w:tc>
        <w:tc>
          <w:tcPr>
            <w:tcW w:w="1110" w:type="dxa"/>
            <w:tcBorders>
              <w:tl2br w:val="nil"/>
              <w:tr2bl w:val="nil"/>
            </w:tcBorders>
            <w:noWrap w:val="0"/>
            <w:vAlign w:val="center"/>
          </w:tcPr>
          <w:p w14:paraId="281478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74E43F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19AD40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53C47E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0821A5C8">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47F1C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090D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B91AE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0540381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17</w:t>
            </w:r>
          </w:p>
        </w:tc>
        <w:tc>
          <w:tcPr>
            <w:tcW w:w="855" w:type="dxa"/>
            <w:tcBorders>
              <w:tl2br w:val="nil"/>
              <w:tr2bl w:val="nil"/>
            </w:tcBorders>
            <w:noWrap w:val="0"/>
            <w:vAlign w:val="center"/>
          </w:tcPr>
          <w:p w14:paraId="224841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15</w:t>
            </w:r>
          </w:p>
        </w:tc>
        <w:tc>
          <w:tcPr>
            <w:tcW w:w="885" w:type="dxa"/>
            <w:tcBorders>
              <w:tl2br w:val="nil"/>
              <w:tr2bl w:val="nil"/>
            </w:tcBorders>
            <w:noWrap w:val="0"/>
            <w:vAlign w:val="center"/>
          </w:tcPr>
          <w:p w14:paraId="429D1E4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16</w:t>
            </w:r>
          </w:p>
        </w:tc>
        <w:tc>
          <w:tcPr>
            <w:tcW w:w="1110" w:type="dxa"/>
            <w:tcBorders>
              <w:tl2br w:val="nil"/>
              <w:tr2bl w:val="nil"/>
            </w:tcBorders>
            <w:noWrap w:val="0"/>
            <w:vAlign w:val="center"/>
          </w:tcPr>
          <w:p w14:paraId="5FBCA0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367BCD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68FAC4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72C9A2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31B7A5F4">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3B70C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CF898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EBE52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CO</w:t>
            </w:r>
            <w:r>
              <w:rPr>
                <w:rFonts w:hint="default" w:ascii="Times New Roman" w:hAnsi="Times New Roman" w:eastAsia="宋体" w:cs="Times New Roman"/>
                <w:color w:val="auto"/>
                <w:sz w:val="21"/>
                <w:szCs w:val="21"/>
                <w:highlight w:val="none"/>
                <w:u w:val="none" w:color="auto"/>
                <w:vertAlign w:val="subscript"/>
                <w:lang w:val="en-US" w:eastAsia="zh-CN"/>
              </w:rPr>
              <w:t>3</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5A54997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ND</w:t>
            </w:r>
          </w:p>
        </w:tc>
        <w:tc>
          <w:tcPr>
            <w:tcW w:w="855" w:type="dxa"/>
            <w:tcBorders>
              <w:tl2br w:val="nil"/>
              <w:tr2bl w:val="nil"/>
            </w:tcBorders>
            <w:noWrap w:val="0"/>
            <w:vAlign w:val="center"/>
          </w:tcPr>
          <w:p w14:paraId="1E6676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ND</w:t>
            </w:r>
          </w:p>
        </w:tc>
        <w:tc>
          <w:tcPr>
            <w:tcW w:w="885" w:type="dxa"/>
            <w:tcBorders>
              <w:tl2br w:val="nil"/>
              <w:tr2bl w:val="nil"/>
            </w:tcBorders>
            <w:noWrap w:val="0"/>
            <w:vAlign w:val="center"/>
          </w:tcPr>
          <w:p w14:paraId="59CBB02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ND</w:t>
            </w:r>
          </w:p>
        </w:tc>
        <w:tc>
          <w:tcPr>
            <w:tcW w:w="1110" w:type="dxa"/>
            <w:tcBorders>
              <w:tl2br w:val="nil"/>
              <w:tr2bl w:val="nil"/>
            </w:tcBorders>
            <w:noWrap w:val="0"/>
            <w:vAlign w:val="center"/>
          </w:tcPr>
          <w:p w14:paraId="5B9BC2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04C379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6824B0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58839E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7AFA5FDE">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0DC82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63B3B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C6AAA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HCO</w:t>
            </w:r>
            <w:r>
              <w:rPr>
                <w:rFonts w:hint="default" w:ascii="Times New Roman" w:hAnsi="Times New Roman" w:eastAsia="宋体" w:cs="Times New Roman"/>
                <w:color w:val="auto"/>
                <w:sz w:val="21"/>
                <w:szCs w:val="21"/>
                <w:highlight w:val="none"/>
                <w:u w:val="none" w:color="auto"/>
                <w:vertAlign w:val="subscript"/>
                <w:lang w:val="en-US" w:eastAsia="zh-CN"/>
              </w:rPr>
              <w:t>3</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7EC2BB6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31</w:t>
            </w:r>
          </w:p>
        </w:tc>
        <w:tc>
          <w:tcPr>
            <w:tcW w:w="855" w:type="dxa"/>
            <w:tcBorders>
              <w:tl2br w:val="nil"/>
              <w:tr2bl w:val="nil"/>
            </w:tcBorders>
            <w:noWrap w:val="0"/>
            <w:vAlign w:val="center"/>
          </w:tcPr>
          <w:p w14:paraId="71AB688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35</w:t>
            </w:r>
          </w:p>
        </w:tc>
        <w:tc>
          <w:tcPr>
            <w:tcW w:w="885" w:type="dxa"/>
            <w:tcBorders>
              <w:tl2br w:val="nil"/>
              <w:tr2bl w:val="nil"/>
            </w:tcBorders>
            <w:noWrap w:val="0"/>
            <w:vAlign w:val="center"/>
          </w:tcPr>
          <w:p w14:paraId="34D332B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35</w:t>
            </w:r>
          </w:p>
        </w:tc>
        <w:tc>
          <w:tcPr>
            <w:tcW w:w="1110" w:type="dxa"/>
            <w:tcBorders>
              <w:tl2br w:val="nil"/>
              <w:tr2bl w:val="nil"/>
            </w:tcBorders>
            <w:noWrap w:val="0"/>
            <w:vAlign w:val="center"/>
          </w:tcPr>
          <w:p w14:paraId="58228D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017054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7F1955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105EE0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2EA42A4E">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7A2A7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723C2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74D63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Cl</w:t>
            </w:r>
            <w:r>
              <w:rPr>
                <w:rFonts w:hint="default" w:ascii="Times New Roman" w:hAnsi="Times New Roman" w:eastAsia="宋体" w:cs="Times New Roman"/>
                <w:color w:val="auto"/>
                <w:sz w:val="21"/>
                <w:szCs w:val="21"/>
                <w:highlight w:val="none"/>
                <w:u w:val="none" w:color="auto"/>
                <w:vertAlign w:val="superscript"/>
                <w:lang w:val="en-US" w:eastAsia="zh-CN"/>
              </w:rPr>
              <w:t>-</w:t>
            </w:r>
          </w:p>
        </w:tc>
        <w:tc>
          <w:tcPr>
            <w:tcW w:w="885" w:type="dxa"/>
            <w:tcBorders>
              <w:tl2br w:val="nil"/>
              <w:tr2bl w:val="nil"/>
            </w:tcBorders>
            <w:noWrap w:val="0"/>
            <w:vAlign w:val="center"/>
          </w:tcPr>
          <w:p w14:paraId="3E0E6E8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11.6</w:t>
            </w:r>
          </w:p>
        </w:tc>
        <w:tc>
          <w:tcPr>
            <w:tcW w:w="855" w:type="dxa"/>
            <w:tcBorders>
              <w:tl2br w:val="nil"/>
              <w:tr2bl w:val="nil"/>
            </w:tcBorders>
            <w:noWrap w:val="0"/>
            <w:vAlign w:val="center"/>
          </w:tcPr>
          <w:p w14:paraId="783FBCF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11.5</w:t>
            </w:r>
          </w:p>
        </w:tc>
        <w:tc>
          <w:tcPr>
            <w:tcW w:w="885" w:type="dxa"/>
            <w:tcBorders>
              <w:tl2br w:val="nil"/>
              <w:tr2bl w:val="nil"/>
            </w:tcBorders>
            <w:noWrap w:val="0"/>
            <w:vAlign w:val="center"/>
          </w:tcPr>
          <w:p w14:paraId="0F0D5F5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12.2</w:t>
            </w:r>
          </w:p>
        </w:tc>
        <w:tc>
          <w:tcPr>
            <w:tcW w:w="1110" w:type="dxa"/>
            <w:tcBorders>
              <w:tl2br w:val="nil"/>
              <w:tr2bl w:val="nil"/>
            </w:tcBorders>
            <w:noWrap w:val="0"/>
            <w:vAlign w:val="center"/>
          </w:tcPr>
          <w:p w14:paraId="4B32B0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250</w:t>
            </w:r>
          </w:p>
        </w:tc>
        <w:tc>
          <w:tcPr>
            <w:tcW w:w="812" w:type="dxa"/>
            <w:tcBorders>
              <w:tl2br w:val="nil"/>
              <w:tr2bl w:val="nil"/>
            </w:tcBorders>
            <w:noWrap w:val="0"/>
            <w:vAlign w:val="center"/>
          </w:tcPr>
          <w:p w14:paraId="4296EE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2505EB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42BB75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121BDC2F">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mg/L</w:t>
            </w:r>
          </w:p>
        </w:tc>
      </w:tr>
      <w:tr w14:paraId="47658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D5235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06456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SO</w:t>
            </w:r>
            <w:r>
              <w:rPr>
                <w:rFonts w:hint="default" w:ascii="Times New Roman" w:hAnsi="Times New Roman" w:eastAsia="宋体" w:cs="Times New Roman"/>
                <w:color w:val="auto"/>
                <w:sz w:val="21"/>
                <w:szCs w:val="21"/>
                <w:highlight w:val="none"/>
                <w:u w:val="none" w:color="auto"/>
                <w:vertAlign w:val="subscript"/>
                <w:lang w:val="en-US" w:eastAsia="zh-CN"/>
              </w:rPr>
              <w:t>4</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2901893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660B084D">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1156949B">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47B098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250</w:t>
            </w:r>
          </w:p>
        </w:tc>
        <w:tc>
          <w:tcPr>
            <w:tcW w:w="812" w:type="dxa"/>
            <w:tcBorders>
              <w:tl2br w:val="nil"/>
              <w:tr2bl w:val="nil"/>
            </w:tcBorders>
            <w:noWrap w:val="0"/>
            <w:vAlign w:val="center"/>
          </w:tcPr>
          <w:p w14:paraId="46F541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577555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3894A4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62EFFF71">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772B6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restart"/>
            <w:tcBorders>
              <w:tl2br w:val="nil"/>
              <w:tr2bl w:val="nil"/>
            </w:tcBorders>
            <w:noWrap w:val="0"/>
            <w:vAlign w:val="center"/>
          </w:tcPr>
          <w:p w14:paraId="63F0A8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D</w:t>
            </w:r>
            <w:r>
              <w:rPr>
                <w:rFonts w:hint="default" w:ascii="Times New Roman" w:hAnsi="Times New Roman" w:eastAsia="宋体" w:cs="Times New Roman"/>
                <w:color w:val="auto"/>
                <w:sz w:val="21"/>
                <w:szCs w:val="21"/>
                <w:highlight w:val="none"/>
                <w:u w:val="none" w:color="auto"/>
                <w:lang w:val="en-US" w:eastAsia="zh-CN"/>
              </w:rPr>
              <w:t>3</w:t>
            </w:r>
          </w:p>
        </w:tc>
        <w:tc>
          <w:tcPr>
            <w:tcW w:w="1275" w:type="dxa"/>
            <w:tcBorders>
              <w:tl2br w:val="nil"/>
              <w:tr2bl w:val="nil"/>
            </w:tcBorders>
            <w:noWrap w:val="0"/>
            <w:vAlign w:val="center"/>
          </w:tcPr>
          <w:p w14:paraId="542410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pH值</w:t>
            </w:r>
          </w:p>
        </w:tc>
        <w:tc>
          <w:tcPr>
            <w:tcW w:w="885" w:type="dxa"/>
            <w:tcBorders>
              <w:tl2br w:val="nil"/>
              <w:tr2bl w:val="nil"/>
            </w:tcBorders>
            <w:noWrap w:val="0"/>
            <w:vAlign w:val="center"/>
          </w:tcPr>
          <w:p w14:paraId="5E8E37EC">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6.9</w:t>
            </w:r>
          </w:p>
        </w:tc>
        <w:tc>
          <w:tcPr>
            <w:tcW w:w="855" w:type="dxa"/>
            <w:tcBorders>
              <w:tl2br w:val="nil"/>
              <w:tr2bl w:val="nil"/>
            </w:tcBorders>
            <w:noWrap w:val="0"/>
            <w:vAlign w:val="center"/>
          </w:tcPr>
          <w:p w14:paraId="4A420FB1">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7.7</w:t>
            </w:r>
          </w:p>
        </w:tc>
        <w:tc>
          <w:tcPr>
            <w:tcW w:w="885" w:type="dxa"/>
            <w:tcBorders>
              <w:tl2br w:val="nil"/>
              <w:tr2bl w:val="nil"/>
            </w:tcBorders>
            <w:noWrap w:val="0"/>
            <w:vAlign w:val="center"/>
          </w:tcPr>
          <w:p w14:paraId="6871A5F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7.0</w:t>
            </w:r>
          </w:p>
        </w:tc>
        <w:tc>
          <w:tcPr>
            <w:tcW w:w="1110" w:type="dxa"/>
            <w:tcBorders>
              <w:tl2br w:val="nil"/>
              <w:tr2bl w:val="nil"/>
            </w:tcBorders>
            <w:noWrap w:val="0"/>
            <w:vAlign w:val="center"/>
          </w:tcPr>
          <w:p w14:paraId="7C4660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6.5~8.5</w:t>
            </w:r>
          </w:p>
        </w:tc>
        <w:tc>
          <w:tcPr>
            <w:tcW w:w="812" w:type="dxa"/>
            <w:tcBorders>
              <w:tl2br w:val="nil"/>
              <w:tr2bl w:val="nil"/>
            </w:tcBorders>
            <w:noWrap w:val="0"/>
            <w:vAlign w:val="center"/>
          </w:tcPr>
          <w:p w14:paraId="7E3F29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4D5FF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56BCBE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CAC15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无量纲</w:t>
            </w:r>
          </w:p>
        </w:tc>
      </w:tr>
      <w:tr w14:paraId="32AFD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20C36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43B97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氨氮</w:t>
            </w:r>
          </w:p>
        </w:tc>
        <w:tc>
          <w:tcPr>
            <w:tcW w:w="885" w:type="dxa"/>
            <w:tcBorders>
              <w:tl2br w:val="nil"/>
              <w:tr2bl w:val="nil"/>
            </w:tcBorders>
            <w:noWrap w:val="0"/>
            <w:vAlign w:val="center"/>
          </w:tcPr>
          <w:p w14:paraId="260C864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372E2241">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438FFE6C">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65B9BE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0.50</w:t>
            </w:r>
          </w:p>
        </w:tc>
        <w:tc>
          <w:tcPr>
            <w:tcW w:w="812" w:type="dxa"/>
            <w:tcBorders>
              <w:tl2br w:val="nil"/>
              <w:tr2bl w:val="nil"/>
            </w:tcBorders>
            <w:noWrap w:val="0"/>
            <w:vAlign w:val="center"/>
          </w:tcPr>
          <w:p w14:paraId="307BE9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437E84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76EB5D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12522B30">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mg/L</w:t>
            </w:r>
          </w:p>
        </w:tc>
      </w:tr>
      <w:tr w14:paraId="56404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F8055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557B8D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亚硝酸盐</w:t>
            </w:r>
          </w:p>
        </w:tc>
        <w:tc>
          <w:tcPr>
            <w:tcW w:w="885" w:type="dxa"/>
            <w:tcBorders>
              <w:tl2br w:val="nil"/>
              <w:tr2bl w:val="nil"/>
            </w:tcBorders>
            <w:noWrap w:val="0"/>
            <w:vAlign w:val="center"/>
          </w:tcPr>
          <w:p w14:paraId="0F19FCBA">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5F3DE48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7D574D0C">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66D5CA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1.00</w:t>
            </w:r>
          </w:p>
        </w:tc>
        <w:tc>
          <w:tcPr>
            <w:tcW w:w="812" w:type="dxa"/>
            <w:tcBorders>
              <w:tl2br w:val="nil"/>
              <w:tr2bl w:val="nil"/>
            </w:tcBorders>
            <w:noWrap w:val="0"/>
            <w:vAlign w:val="center"/>
          </w:tcPr>
          <w:p w14:paraId="0E1697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588A6A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3D09EF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3E9D6BA3">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4C701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2BF33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660103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硝酸盐</w:t>
            </w:r>
          </w:p>
        </w:tc>
        <w:tc>
          <w:tcPr>
            <w:tcW w:w="885" w:type="dxa"/>
            <w:tcBorders>
              <w:tl2br w:val="nil"/>
              <w:tr2bl w:val="nil"/>
            </w:tcBorders>
            <w:noWrap w:val="0"/>
            <w:vAlign w:val="center"/>
          </w:tcPr>
          <w:p w14:paraId="5EFC93A9">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18.5</w:t>
            </w:r>
          </w:p>
        </w:tc>
        <w:tc>
          <w:tcPr>
            <w:tcW w:w="855" w:type="dxa"/>
            <w:tcBorders>
              <w:tl2br w:val="nil"/>
              <w:tr2bl w:val="nil"/>
            </w:tcBorders>
            <w:noWrap w:val="0"/>
            <w:vAlign w:val="center"/>
          </w:tcPr>
          <w:p w14:paraId="0FDE3310">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18.3</w:t>
            </w:r>
          </w:p>
        </w:tc>
        <w:tc>
          <w:tcPr>
            <w:tcW w:w="885" w:type="dxa"/>
            <w:tcBorders>
              <w:tl2br w:val="nil"/>
              <w:tr2bl w:val="nil"/>
            </w:tcBorders>
            <w:noWrap w:val="0"/>
            <w:vAlign w:val="center"/>
          </w:tcPr>
          <w:p w14:paraId="1DCCE5F1">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19.3</w:t>
            </w:r>
          </w:p>
        </w:tc>
        <w:tc>
          <w:tcPr>
            <w:tcW w:w="1110" w:type="dxa"/>
            <w:tcBorders>
              <w:tl2br w:val="nil"/>
              <w:tr2bl w:val="nil"/>
            </w:tcBorders>
            <w:noWrap w:val="0"/>
            <w:vAlign w:val="center"/>
          </w:tcPr>
          <w:p w14:paraId="65135F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20.0</w:t>
            </w:r>
          </w:p>
        </w:tc>
        <w:tc>
          <w:tcPr>
            <w:tcW w:w="812" w:type="dxa"/>
            <w:tcBorders>
              <w:tl2br w:val="nil"/>
              <w:tr2bl w:val="nil"/>
            </w:tcBorders>
            <w:noWrap w:val="0"/>
            <w:vAlign w:val="center"/>
          </w:tcPr>
          <w:p w14:paraId="4EEE13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443B8C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43AC94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83925B5">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0DFC6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7C84D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67E643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挥发酚</w:t>
            </w:r>
          </w:p>
        </w:tc>
        <w:tc>
          <w:tcPr>
            <w:tcW w:w="885" w:type="dxa"/>
            <w:tcBorders>
              <w:tl2br w:val="nil"/>
              <w:tr2bl w:val="nil"/>
            </w:tcBorders>
            <w:noWrap w:val="0"/>
            <w:vAlign w:val="center"/>
          </w:tcPr>
          <w:p w14:paraId="75BCA3BB">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53908DB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02739524">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5E68D2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0.002</w:t>
            </w:r>
          </w:p>
        </w:tc>
        <w:tc>
          <w:tcPr>
            <w:tcW w:w="812" w:type="dxa"/>
            <w:tcBorders>
              <w:tl2br w:val="nil"/>
              <w:tr2bl w:val="nil"/>
            </w:tcBorders>
            <w:noWrap w:val="0"/>
            <w:vAlign w:val="center"/>
          </w:tcPr>
          <w:p w14:paraId="4A90B0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6F0659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6B49A7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3B1BD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2BC73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BBCAA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D3000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氰化物</w:t>
            </w:r>
          </w:p>
        </w:tc>
        <w:tc>
          <w:tcPr>
            <w:tcW w:w="885" w:type="dxa"/>
            <w:tcBorders>
              <w:tl2br w:val="nil"/>
              <w:tr2bl w:val="nil"/>
            </w:tcBorders>
            <w:noWrap w:val="0"/>
            <w:vAlign w:val="center"/>
          </w:tcPr>
          <w:p w14:paraId="1F06EA1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554A4300">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60699364">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4405C8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0.05</w:t>
            </w:r>
          </w:p>
        </w:tc>
        <w:tc>
          <w:tcPr>
            <w:tcW w:w="812" w:type="dxa"/>
            <w:tcBorders>
              <w:tl2br w:val="nil"/>
              <w:tr2bl w:val="nil"/>
            </w:tcBorders>
            <w:noWrap w:val="0"/>
            <w:vAlign w:val="center"/>
          </w:tcPr>
          <w:p w14:paraId="4F3CDA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D021B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7BB5FF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6439BBC8">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mg/L</w:t>
            </w:r>
          </w:p>
        </w:tc>
      </w:tr>
      <w:tr w14:paraId="04839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F9243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E43CE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汞</w:t>
            </w:r>
          </w:p>
        </w:tc>
        <w:tc>
          <w:tcPr>
            <w:tcW w:w="885" w:type="dxa"/>
            <w:tcBorders>
              <w:tl2br w:val="nil"/>
              <w:tr2bl w:val="nil"/>
            </w:tcBorders>
            <w:noWrap w:val="0"/>
            <w:vAlign w:val="center"/>
          </w:tcPr>
          <w:p w14:paraId="3CC3D3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0.00017</w:t>
            </w:r>
          </w:p>
        </w:tc>
        <w:tc>
          <w:tcPr>
            <w:tcW w:w="855" w:type="dxa"/>
            <w:tcBorders>
              <w:tl2br w:val="nil"/>
              <w:tr2bl w:val="nil"/>
            </w:tcBorders>
            <w:noWrap w:val="0"/>
            <w:vAlign w:val="center"/>
          </w:tcPr>
          <w:p w14:paraId="7FE6E38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0.00020</w:t>
            </w:r>
          </w:p>
        </w:tc>
        <w:tc>
          <w:tcPr>
            <w:tcW w:w="885" w:type="dxa"/>
            <w:tcBorders>
              <w:tl2br w:val="nil"/>
              <w:tr2bl w:val="nil"/>
            </w:tcBorders>
            <w:noWrap w:val="0"/>
            <w:vAlign w:val="center"/>
          </w:tcPr>
          <w:p w14:paraId="00D824C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0.00018</w:t>
            </w:r>
          </w:p>
        </w:tc>
        <w:tc>
          <w:tcPr>
            <w:tcW w:w="1110" w:type="dxa"/>
            <w:tcBorders>
              <w:tl2br w:val="nil"/>
              <w:tr2bl w:val="nil"/>
            </w:tcBorders>
            <w:noWrap w:val="0"/>
            <w:vAlign w:val="center"/>
          </w:tcPr>
          <w:p w14:paraId="66A189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0.001</w:t>
            </w:r>
          </w:p>
        </w:tc>
        <w:tc>
          <w:tcPr>
            <w:tcW w:w="812" w:type="dxa"/>
            <w:tcBorders>
              <w:tl2br w:val="nil"/>
              <w:tr2bl w:val="nil"/>
            </w:tcBorders>
            <w:noWrap w:val="0"/>
            <w:vAlign w:val="center"/>
          </w:tcPr>
          <w:p w14:paraId="4F0498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C6B4E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43B20E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1668C1EB">
            <w:pPr>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5157E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8663B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0CFDA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砷</w:t>
            </w:r>
          </w:p>
        </w:tc>
        <w:tc>
          <w:tcPr>
            <w:tcW w:w="885" w:type="dxa"/>
            <w:tcBorders>
              <w:tl2br w:val="nil"/>
              <w:tr2bl w:val="nil"/>
            </w:tcBorders>
            <w:noWrap w:val="0"/>
            <w:vAlign w:val="center"/>
          </w:tcPr>
          <w:p w14:paraId="24DD908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097D37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0DC0BC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6F5AD3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0.01</w:t>
            </w:r>
          </w:p>
        </w:tc>
        <w:tc>
          <w:tcPr>
            <w:tcW w:w="812" w:type="dxa"/>
            <w:tcBorders>
              <w:tl2br w:val="nil"/>
              <w:tr2bl w:val="nil"/>
            </w:tcBorders>
            <w:noWrap w:val="0"/>
            <w:vAlign w:val="center"/>
          </w:tcPr>
          <w:p w14:paraId="56E5C7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DD092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42DB16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FC4A95E">
            <w:pPr>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1EA37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C7C9C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CF881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六价铬</w:t>
            </w:r>
          </w:p>
        </w:tc>
        <w:tc>
          <w:tcPr>
            <w:tcW w:w="885" w:type="dxa"/>
            <w:tcBorders>
              <w:tl2br w:val="nil"/>
              <w:tr2bl w:val="nil"/>
            </w:tcBorders>
            <w:noWrap w:val="0"/>
            <w:vAlign w:val="center"/>
          </w:tcPr>
          <w:p w14:paraId="6E8F584E">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7C089EBF">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2F37F83E">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333847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0.05</w:t>
            </w:r>
          </w:p>
        </w:tc>
        <w:tc>
          <w:tcPr>
            <w:tcW w:w="812" w:type="dxa"/>
            <w:tcBorders>
              <w:tl2br w:val="nil"/>
              <w:tr2bl w:val="nil"/>
            </w:tcBorders>
            <w:noWrap w:val="0"/>
            <w:vAlign w:val="center"/>
          </w:tcPr>
          <w:p w14:paraId="6464E1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D5D5E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1AA481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7B974D5">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1BFA3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CB635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42B6FE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总硬度</w:t>
            </w:r>
          </w:p>
        </w:tc>
        <w:tc>
          <w:tcPr>
            <w:tcW w:w="885" w:type="dxa"/>
            <w:tcBorders>
              <w:tl2br w:val="nil"/>
              <w:tr2bl w:val="nil"/>
            </w:tcBorders>
            <w:noWrap w:val="0"/>
            <w:vAlign w:val="center"/>
          </w:tcPr>
          <w:p w14:paraId="67464CF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107</w:t>
            </w:r>
          </w:p>
        </w:tc>
        <w:tc>
          <w:tcPr>
            <w:tcW w:w="855" w:type="dxa"/>
            <w:tcBorders>
              <w:tl2br w:val="nil"/>
              <w:tr2bl w:val="nil"/>
            </w:tcBorders>
            <w:noWrap w:val="0"/>
            <w:vAlign w:val="center"/>
          </w:tcPr>
          <w:p w14:paraId="6DD4723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112</w:t>
            </w:r>
          </w:p>
        </w:tc>
        <w:tc>
          <w:tcPr>
            <w:tcW w:w="885" w:type="dxa"/>
            <w:tcBorders>
              <w:tl2br w:val="nil"/>
              <w:tr2bl w:val="nil"/>
            </w:tcBorders>
            <w:noWrap w:val="0"/>
            <w:vAlign w:val="center"/>
          </w:tcPr>
          <w:p w14:paraId="0CD1084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119</w:t>
            </w:r>
          </w:p>
        </w:tc>
        <w:tc>
          <w:tcPr>
            <w:tcW w:w="1110" w:type="dxa"/>
            <w:tcBorders>
              <w:tl2br w:val="nil"/>
              <w:tr2bl w:val="nil"/>
            </w:tcBorders>
            <w:noWrap w:val="0"/>
            <w:vAlign w:val="center"/>
          </w:tcPr>
          <w:p w14:paraId="182739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450</w:t>
            </w:r>
          </w:p>
        </w:tc>
        <w:tc>
          <w:tcPr>
            <w:tcW w:w="812" w:type="dxa"/>
            <w:tcBorders>
              <w:tl2br w:val="nil"/>
              <w:tr2bl w:val="nil"/>
            </w:tcBorders>
            <w:noWrap w:val="0"/>
            <w:vAlign w:val="center"/>
          </w:tcPr>
          <w:p w14:paraId="22921C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90CD2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AD6EC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B0ACFB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157C7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F5EC0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15EEAE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铅</w:t>
            </w:r>
          </w:p>
        </w:tc>
        <w:tc>
          <w:tcPr>
            <w:tcW w:w="885" w:type="dxa"/>
            <w:tcBorders>
              <w:tl2br w:val="nil"/>
              <w:tr2bl w:val="nil"/>
            </w:tcBorders>
            <w:noWrap w:val="0"/>
            <w:vAlign w:val="center"/>
          </w:tcPr>
          <w:p w14:paraId="4781406A">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6319717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4966EB7B">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013653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0.01</w:t>
            </w:r>
          </w:p>
        </w:tc>
        <w:tc>
          <w:tcPr>
            <w:tcW w:w="812" w:type="dxa"/>
            <w:tcBorders>
              <w:tl2br w:val="nil"/>
              <w:tr2bl w:val="nil"/>
            </w:tcBorders>
            <w:noWrap w:val="0"/>
            <w:vAlign w:val="center"/>
          </w:tcPr>
          <w:p w14:paraId="3FD731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583F6F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57E504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370F63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59DCB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06A144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633569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氟化物</w:t>
            </w:r>
          </w:p>
        </w:tc>
        <w:tc>
          <w:tcPr>
            <w:tcW w:w="885" w:type="dxa"/>
            <w:tcBorders>
              <w:tl2br w:val="nil"/>
              <w:tr2bl w:val="nil"/>
            </w:tcBorders>
            <w:noWrap w:val="0"/>
            <w:vAlign w:val="center"/>
          </w:tcPr>
          <w:p w14:paraId="2ED7187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0.028</w:t>
            </w:r>
          </w:p>
        </w:tc>
        <w:tc>
          <w:tcPr>
            <w:tcW w:w="855" w:type="dxa"/>
            <w:tcBorders>
              <w:tl2br w:val="nil"/>
              <w:tr2bl w:val="nil"/>
            </w:tcBorders>
            <w:noWrap w:val="0"/>
            <w:vAlign w:val="center"/>
          </w:tcPr>
          <w:p w14:paraId="2CC71B5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0.024</w:t>
            </w:r>
          </w:p>
        </w:tc>
        <w:tc>
          <w:tcPr>
            <w:tcW w:w="885" w:type="dxa"/>
            <w:tcBorders>
              <w:tl2br w:val="nil"/>
              <w:tr2bl w:val="nil"/>
            </w:tcBorders>
            <w:noWrap w:val="0"/>
            <w:vAlign w:val="center"/>
          </w:tcPr>
          <w:p w14:paraId="18BC842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0.030</w:t>
            </w:r>
          </w:p>
        </w:tc>
        <w:tc>
          <w:tcPr>
            <w:tcW w:w="1110" w:type="dxa"/>
            <w:tcBorders>
              <w:tl2br w:val="nil"/>
              <w:tr2bl w:val="nil"/>
            </w:tcBorders>
            <w:noWrap w:val="0"/>
            <w:vAlign w:val="center"/>
          </w:tcPr>
          <w:p w14:paraId="5DC0F2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w:t>
            </w:r>
          </w:p>
        </w:tc>
        <w:tc>
          <w:tcPr>
            <w:tcW w:w="812" w:type="dxa"/>
            <w:tcBorders>
              <w:tl2br w:val="nil"/>
              <w:tr2bl w:val="nil"/>
            </w:tcBorders>
            <w:noWrap w:val="0"/>
            <w:vAlign w:val="center"/>
          </w:tcPr>
          <w:p w14:paraId="70F942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754CAD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25DE2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69CC2AF0">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30727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8D500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A0EE3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镉</w:t>
            </w:r>
          </w:p>
        </w:tc>
        <w:tc>
          <w:tcPr>
            <w:tcW w:w="885" w:type="dxa"/>
            <w:tcBorders>
              <w:tl2br w:val="nil"/>
              <w:tr2bl w:val="nil"/>
            </w:tcBorders>
            <w:noWrap w:val="0"/>
            <w:vAlign w:val="center"/>
          </w:tcPr>
          <w:p w14:paraId="742A202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42338F9D">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6327EDBA">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35A82B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0.005</w:t>
            </w:r>
          </w:p>
        </w:tc>
        <w:tc>
          <w:tcPr>
            <w:tcW w:w="812" w:type="dxa"/>
            <w:tcBorders>
              <w:tl2br w:val="nil"/>
              <w:tr2bl w:val="nil"/>
            </w:tcBorders>
            <w:noWrap w:val="0"/>
            <w:vAlign w:val="center"/>
          </w:tcPr>
          <w:p w14:paraId="6EF3B7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644D13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25A757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C4E348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50317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58CE5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5FBC16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铁</w:t>
            </w:r>
          </w:p>
        </w:tc>
        <w:tc>
          <w:tcPr>
            <w:tcW w:w="885" w:type="dxa"/>
            <w:tcBorders>
              <w:tl2br w:val="nil"/>
              <w:tr2bl w:val="nil"/>
            </w:tcBorders>
            <w:noWrap w:val="0"/>
            <w:vAlign w:val="center"/>
          </w:tcPr>
          <w:p w14:paraId="1AB1FE6B">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451BA288">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62794B52">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14ABF0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0.3</w:t>
            </w:r>
          </w:p>
        </w:tc>
        <w:tc>
          <w:tcPr>
            <w:tcW w:w="812" w:type="dxa"/>
            <w:tcBorders>
              <w:tl2br w:val="nil"/>
              <w:tr2bl w:val="nil"/>
            </w:tcBorders>
            <w:noWrap w:val="0"/>
            <w:vAlign w:val="center"/>
          </w:tcPr>
          <w:p w14:paraId="646C54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6EAC9F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9EE1B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04A8EE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46BFC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0C7CD2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6EFAC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锰</w:t>
            </w:r>
          </w:p>
        </w:tc>
        <w:tc>
          <w:tcPr>
            <w:tcW w:w="885" w:type="dxa"/>
            <w:tcBorders>
              <w:tl2br w:val="nil"/>
              <w:tr2bl w:val="nil"/>
            </w:tcBorders>
            <w:noWrap w:val="0"/>
            <w:vAlign w:val="center"/>
          </w:tcPr>
          <w:p w14:paraId="2104D37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2C266FB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7FB847D8">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05022B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0.10</w:t>
            </w:r>
          </w:p>
        </w:tc>
        <w:tc>
          <w:tcPr>
            <w:tcW w:w="812" w:type="dxa"/>
            <w:tcBorders>
              <w:tl2br w:val="nil"/>
              <w:tr2bl w:val="nil"/>
            </w:tcBorders>
            <w:noWrap w:val="0"/>
            <w:vAlign w:val="center"/>
          </w:tcPr>
          <w:p w14:paraId="4D80F1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1B11E0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5026BD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EB6D58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23F80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39942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33F24B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锌</w:t>
            </w:r>
          </w:p>
        </w:tc>
        <w:tc>
          <w:tcPr>
            <w:tcW w:w="885" w:type="dxa"/>
            <w:tcBorders>
              <w:tl2br w:val="nil"/>
              <w:tr2bl w:val="nil"/>
            </w:tcBorders>
            <w:noWrap w:val="0"/>
            <w:vAlign w:val="center"/>
          </w:tcPr>
          <w:p w14:paraId="68B287E0">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2F6CAF6E">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5A912D36">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77E840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1.00</w:t>
            </w:r>
          </w:p>
        </w:tc>
        <w:tc>
          <w:tcPr>
            <w:tcW w:w="812" w:type="dxa"/>
            <w:tcBorders>
              <w:tl2br w:val="nil"/>
              <w:tr2bl w:val="nil"/>
            </w:tcBorders>
            <w:noWrap w:val="0"/>
            <w:vAlign w:val="center"/>
          </w:tcPr>
          <w:p w14:paraId="66E1F3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25EF3E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545A3C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4D0B4AB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1FC37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66354D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01DDF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铜</w:t>
            </w:r>
          </w:p>
        </w:tc>
        <w:tc>
          <w:tcPr>
            <w:tcW w:w="885" w:type="dxa"/>
            <w:tcBorders>
              <w:tl2br w:val="nil"/>
              <w:tr2bl w:val="nil"/>
            </w:tcBorders>
            <w:noWrap w:val="0"/>
            <w:vAlign w:val="center"/>
          </w:tcPr>
          <w:p w14:paraId="270689D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436ECD2F">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793E6E67">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5DE9C9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w:t>
            </w:r>
          </w:p>
        </w:tc>
        <w:tc>
          <w:tcPr>
            <w:tcW w:w="812" w:type="dxa"/>
            <w:tcBorders>
              <w:tl2br w:val="nil"/>
              <w:tr2bl w:val="nil"/>
            </w:tcBorders>
            <w:noWrap w:val="0"/>
            <w:vAlign w:val="center"/>
          </w:tcPr>
          <w:p w14:paraId="028F9C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72C4F9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AEF7C2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ECE486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6B7CA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1793B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E32FC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镍</w:t>
            </w:r>
          </w:p>
        </w:tc>
        <w:tc>
          <w:tcPr>
            <w:tcW w:w="885" w:type="dxa"/>
            <w:tcBorders>
              <w:tl2br w:val="nil"/>
              <w:tr2bl w:val="nil"/>
            </w:tcBorders>
            <w:noWrap w:val="0"/>
            <w:vAlign w:val="center"/>
          </w:tcPr>
          <w:p w14:paraId="4565FBD1">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05846DC0">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6EE65905">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4EF21C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0.02</w:t>
            </w:r>
          </w:p>
        </w:tc>
        <w:tc>
          <w:tcPr>
            <w:tcW w:w="812" w:type="dxa"/>
            <w:tcBorders>
              <w:tl2br w:val="nil"/>
              <w:tr2bl w:val="nil"/>
            </w:tcBorders>
            <w:noWrap w:val="0"/>
            <w:vAlign w:val="center"/>
          </w:tcPr>
          <w:p w14:paraId="69415D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48A944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144B58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71ECB1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5C6F9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4BF08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50A386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溶解性总固体</w:t>
            </w:r>
          </w:p>
        </w:tc>
        <w:tc>
          <w:tcPr>
            <w:tcW w:w="885" w:type="dxa"/>
            <w:tcBorders>
              <w:tl2br w:val="nil"/>
              <w:tr2bl w:val="nil"/>
            </w:tcBorders>
            <w:noWrap w:val="0"/>
            <w:vAlign w:val="center"/>
          </w:tcPr>
          <w:p w14:paraId="1908D31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143</w:t>
            </w:r>
          </w:p>
        </w:tc>
        <w:tc>
          <w:tcPr>
            <w:tcW w:w="855" w:type="dxa"/>
            <w:tcBorders>
              <w:tl2br w:val="nil"/>
              <w:tr2bl w:val="nil"/>
            </w:tcBorders>
            <w:noWrap w:val="0"/>
            <w:vAlign w:val="center"/>
          </w:tcPr>
          <w:p w14:paraId="2C13E40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131</w:t>
            </w:r>
          </w:p>
        </w:tc>
        <w:tc>
          <w:tcPr>
            <w:tcW w:w="885" w:type="dxa"/>
            <w:tcBorders>
              <w:tl2br w:val="nil"/>
              <w:tr2bl w:val="nil"/>
            </w:tcBorders>
            <w:noWrap w:val="0"/>
            <w:vAlign w:val="center"/>
          </w:tcPr>
          <w:p w14:paraId="39BC13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129</w:t>
            </w:r>
          </w:p>
        </w:tc>
        <w:tc>
          <w:tcPr>
            <w:tcW w:w="1110" w:type="dxa"/>
            <w:tcBorders>
              <w:tl2br w:val="nil"/>
              <w:tr2bl w:val="nil"/>
            </w:tcBorders>
            <w:noWrap w:val="0"/>
            <w:vAlign w:val="center"/>
          </w:tcPr>
          <w:p w14:paraId="13846B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1000</w:t>
            </w:r>
          </w:p>
        </w:tc>
        <w:tc>
          <w:tcPr>
            <w:tcW w:w="812" w:type="dxa"/>
            <w:tcBorders>
              <w:tl2br w:val="nil"/>
              <w:tr2bl w:val="nil"/>
            </w:tcBorders>
            <w:noWrap w:val="0"/>
            <w:vAlign w:val="center"/>
          </w:tcPr>
          <w:p w14:paraId="584F55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3F5F5D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63EC9D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7FB02A15">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r w14:paraId="73046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342E0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4391C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高锰酸盐指数</w:t>
            </w:r>
          </w:p>
        </w:tc>
        <w:tc>
          <w:tcPr>
            <w:tcW w:w="885" w:type="dxa"/>
            <w:tcBorders>
              <w:tl2br w:val="nil"/>
              <w:tr2bl w:val="nil"/>
            </w:tcBorders>
            <w:noWrap w:val="0"/>
            <w:vAlign w:val="center"/>
          </w:tcPr>
          <w:p w14:paraId="0A3F41E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2.95</w:t>
            </w:r>
          </w:p>
        </w:tc>
        <w:tc>
          <w:tcPr>
            <w:tcW w:w="855" w:type="dxa"/>
            <w:tcBorders>
              <w:tl2br w:val="nil"/>
              <w:tr2bl w:val="nil"/>
            </w:tcBorders>
            <w:noWrap w:val="0"/>
            <w:vAlign w:val="center"/>
          </w:tcPr>
          <w:p w14:paraId="44EED7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2.03</w:t>
            </w:r>
          </w:p>
        </w:tc>
        <w:tc>
          <w:tcPr>
            <w:tcW w:w="885" w:type="dxa"/>
            <w:tcBorders>
              <w:tl2br w:val="nil"/>
              <w:tr2bl w:val="nil"/>
            </w:tcBorders>
            <w:noWrap w:val="0"/>
            <w:vAlign w:val="center"/>
          </w:tcPr>
          <w:p w14:paraId="1B207B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2.91</w:t>
            </w:r>
          </w:p>
        </w:tc>
        <w:tc>
          <w:tcPr>
            <w:tcW w:w="1110" w:type="dxa"/>
            <w:tcBorders>
              <w:tl2br w:val="nil"/>
              <w:tr2bl w:val="nil"/>
            </w:tcBorders>
            <w:noWrap w:val="0"/>
            <w:vAlign w:val="center"/>
          </w:tcPr>
          <w:p w14:paraId="06F50A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3.0</w:t>
            </w:r>
          </w:p>
        </w:tc>
        <w:tc>
          <w:tcPr>
            <w:tcW w:w="812" w:type="dxa"/>
            <w:tcBorders>
              <w:tl2br w:val="nil"/>
              <w:tr2bl w:val="nil"/>
            </w:tcBorders>
            <w:noWrap w:val="0"/>
            <w:vAlign w:val="center"/>
          </w:tcPr>
          <w:p w14:paraId="34C28F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320271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2F8498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4F0020B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mg/L</w:t>
            </w:r>
          </w:p>
        </w:tc>
      </w:tr>
      <w:tr w14:paraId="5C3EE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F0874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5DE1AB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总大肠菌群</w:t>
            </w:r>
          </w:p>
        </w:tc>
        <w:tc>
          <w:tcPr>
            <w:tcW w:w="885" w:type="dxa"/>
            <w:tcBorders>
              <w:tl2br w:val="nil"/>
              <w:tr2bl w:val="nil"/>
            </w:tcBorders>
            <w:noWrap w:val="0"/>
            <w:vAlign w:val="center"/>
          </w:tcPr>
          <w:p w14:paraId="2FCE90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20</w:t>
            </w:r>
          </w:p>
        </w:tc>
        <w:tc>
          <w:tcPr>
            <w:tcW w:w="855" w:type="dxa"/>
            <w:tcBorders>
              <w:tl2br w:val="nil"/>
              <w:tr2bl w:val="nil"/>
            </w:tcBorders>
            <w:noWrap w:val="0"/>
            <w:vAlign w:val="center"/>
          </w:tcPr>
          <w:p w14:paraId="75B3CCF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20</w:t>
            </w:r>
          </w:p>
        </w:tc>
        <w:tc>
          <w:tcPr>
            <w:tcW w:w="885" w:type="dxa"/>
            <w:tcBorders>
              <w:tl2br w:val="nil"/>
              <w:tr2bl w:val="nil"/>
            </w:tcBorders>
            <w:noWrap w:val="0"/>
            <w:vAlign w:val="center"/>
          </w:tcPr>
          <w:p w14:paraId="1A771EC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20</w:t>
            </w:r>
          </w:p>
        </w:tc>
        <w:tc>
          <w:tcPr>
            <w:tcW w:w="1110" w:type="dxa"/>
            <w:tcBorders>
              <w:tl2br w:val="nil"/>
              <w:tr2bl w:val="nil"/>
            </w:tcBorders>
            <w:noWrap w:val="0"/>
            <w:vAlign w:val="center"/>
          </w:tcPr>
          <w:p w14:paraId="6A944E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30</w:t>
            </w:r>
          </w:p>
        </w:tc>
        <w:tc>
          <w:tcPr>
            <w:tcW w:w="812" w:type="dxa"/>
            <w:tcBorders>
              <w:tl2br w:val="nil"/>
              <w:tr2bl w:val="nil"/>
            </w:tcBorders>
            <w:noWrap w:val="0"/>
            <w:vAlign w:val="center"/>
          </w:tcPr>
          <w:p w14:paraId="5A53B6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0F5164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523B1E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63960CF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MPN/L</w:t>
            </w:r>
          </w:p>
        </w:tc>
      </w:tr>
      <w:tr w14:paraId="618F8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EF256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DEBBA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细菌总数</w:t>
            </w:r>
          </w:p>
        </w:tc>
        <w:tc>
          <w:tcPr>
            <w:tcW w:w="885" w:type="dxa"/>
            <w:tcBorders>
              <w:tl2br w:val="nil"/>
              <w:tr2bl w:val="nil"/>
            </w:tcBorders>
            <w:noWrap w:val="0"/>
            <w:vAlign w:val="center"/>
          </w:tcPr>
          <w:p w14:paraId="4E0950E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34</w:t>
            </w:r>
          </w:p>
        </w:tc>
        <w:tc>
          <w:tcPr>
            <w:tcW w:w="855" w:type="dxa"/>
            <w:tcBorders>
              <w:tl2br w:val="nil"/>
              <w:tr2bl w:val="nil"/>
            </w:tcBorders>
            <w:noWrap w:val="0"/>
            <w:vAlign w:val="center"/>
          </w:tcPr>
          <w:p w14:paraId="41B25E9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29</w:t>
            </w:r>
          </w:p>
        </w:tc>
        <w:tc>
          <w:tcPr>
            <w:tcW w:w="885" w:type="dxa"/>
            <w:tcBorders>
              <w:tl2br w:val="nil"/>
              <w:tr2bl w:val="nil"/>
            </w:tcBorders>
            <w:noWrap w:val="0"/>
            <w:vAlign w:val="center"/>
          </w:tcPr>
          <w:p w14:paraId="75CF835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31</w:t>
            </w:r>
          </w:p>
        </w:tc>
        <w:tc>
          <w:tcPr>
            <w:tcW w:w="1110" w:type="dxa"/>
            <w:tcBorders>
              <w:tl2br w:val="nil"/>
              <w:tr2bl w:val="nil"/>
            </w:tcBorders>
            <w:noWrap w:val="0"/>
            <w:vAlign w:val="center"/>
          </w:tcPr>
          <w:p w14:paraId="40D175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w:t>
            </w:r>
          </w:p>
        </w:tc>
        <w:tc>
          <w:tcPr>
            <w:tcW w:w="812" w:type="dxa"/>
            <w:tcBorders>
              <w:tl2br w:val="nil"/>
              <w:tr2bl w:val="nil"/>
            </w:tcBorders>
            <w:noWrap w:val="0"/>
            <w:vAlign w:val="center"/>
          </w:tcPr>
          <w:p w14:paraId="04E31A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7E0F92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1705BD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0408347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CFU/mL</w:t>
            </w:r>
          </w:p>
        </w:tc>
      </w:tr>
      <w:tr w14:paraId="5BA5B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600C4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199B1B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K</w:t>
            </w:r>
            <w:r>
              <w:rPr>
                <w:rFonts w:hint="default" w:ascii="Times New Roman" w:hAnsi="Times New Roman" w:eastAsia="宋体" w:cs="Times New Roman"/>
                <w:color w:val="auto"/>
                <w:sz w:val="21"/>
                <w:szCs w:val="21"/>
                <w:highlight w:val="none"/>
                <w:u w:val="none" w:color="auto"/>
                <w:vertAlign w:val="superscript"/>
                <w:lang w:val="en-US" w:eastAsia="zh-CN"/>
              </w:rPr>
              <w:t>+</w:t>
            </w:r>
          </w:p>
        </w:tc>
        <w:tc>
          <w:tcPr>
            <w:tcW w:w="885" w:type="dxa"/>
            <w:tcBorders>
              <w:tl2br w:val="nil"/>
              <w:tr2bl w:val="nil"/>
            </w:tcBorders>
            <w:noWrap w:val="0"/>
            <w:vAlign w:val="center"/>
          </w:tcPr>
          <w:p w14:paraId="3C61B1D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0.121</w:t>
            </w:r>
          </w:p>
        </w:tc>
        <w:tc>
          <w:tcPr>
            <w:tcW w:w="855" w:type="dxa"/>
            <w:tcBorders>
              <w:tl2br w:val="nil"/>
              <w:tr2bl w:val="nil"/>
            </w:tcBorders>
            <w:noWrap w:val="0"/>
            <w:vAlign w:val="center"/>
          </w:tcPr>
          <w:p w14:paraId="1A95604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0.113</w:t>
            </w:r>
          </w:p>
        </w:tc>
        <w:tc>
          <w:tcPr>
            <w:tcW w:w="885" w:type="dxa"/>
            <w:tcBorders>
              <w:tl2br w:val="nil"/>
              <w:tr2bl w:val="nil"/>
            </w:tcBorders>
            <w:noWrap w:val="0"/>
            <w:vAlign w:val="center"/>
          </w:tcPr>
          <w:p w14:paraId="783A33E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0.115</w:t>
            </w:r>
          </w:p>
        </w:tc>
        <w:tc>
          <w:tcPr>
            <w:tcW w:w="1110" w:type="dxa"/>
            <w:tcBorders>
              <w:tl2br w:val="nil"/>
              <w:tr2bl w:val="nil"/>
            </w:tcBorders>
            <w:noWrap w:val="0"/>
            <w:vAlign w:val="center"/>
          </w:tcPr>
          <w:p w14:paraId="075032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44B720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47FE20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647235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678BB784">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36AE1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9390C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45995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Na</w:t>
            </w:r>
            <w:r>
              <w:rPr>
                <w:rFonts w:hint="default" w:ascii="Times New Roman" w:hAnsi="Times New Roman" w:eastAsia="宋体" w:cs="Times New Roman"/>
                <w:color w:val="auto"/>
                <w:sz w:val="21"/>
                <w:szCs w:val="21"/>
                <w:highlight w:val="none"/>
                <w:u w:val="none" w:color="auto"/>
                <w:vertAlign w:val="superscript"/>
                <w:lang w:val="en-US" w:eastAsia="zh-CN"/>
              </w:rPr>
              <w:t>+</w:t>
            </w:r>
          </w:p>
        </w:tc>
        <w:tc>
          <w:tcPr>
            <w:tcW w:w="885" w:type="dxa"/>
            <w:tcBorders>
              <w:tl2br w:val="nil"/>
              <w:tr2bl w:val="nil"/>
            </w:tcBorders>
            <w:noWrap w:val="0"/>
            <w:vAlign w:val="center"/>
          </w:tcPr>
          <w:p w14:paraId="3A370CF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35.2</w:t>
            </w:r>
          </w:p>
        </w:tc>
        <w:tc>
          <w:tcPr>
            <w:tcW w:w="855" w:type="dxa"/>
            <w:tcBorders>
              <w:tl2br w:val="nil"/>
              <w:tr2bl w:val="nil"/>
            </w:tcBorders>
            <w:noWrap w:val="0"/>
            <w:vAlign w:val="center"/>
          </w:tcPr>
          <w:p w14:paraId="1735DA8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33.1</w:t>
            </w:r>
          </w:p>
        </w:tc>
        <w:tc>
          <w:tcPr>
            <w:tcW w:w="885" w:type="dxa"/>
            <w:tcBorders>
              <w:tl2br w:val="nil"/>
              <w:tr2bl w:val="nil"/>
            </w:tcBorders>
            <w:noWrap w:val="0"/>
            <w:vAlign w:val="center"/>
          </w:tcPr>
          <w:p w14:paraId="7DBF0BB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30.6</w:t>
            </w:r>
          </w:p>
        </w:tc>
        <w:tc>
          <w:tcPr>
            <w:tcW w:w="1110" w:type="dxa"/>
            <w:tcBorders>
              <w:tl2br w:val="nil"/>
              <w:tr2bl w:val="nil"/>
            </w:tcBorders>
            <w:noWrap w:val="0"/>
            <w:vAlign w:val="center"/>
          </w:tcPr>
          <w:p w14:paraId="18878C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200</w:t>
            </w:r>
          </w:p>
        </w:tc>
        <w:tc>
          <w:tcPr>
            <w:tcW w:w="812" w:type="dxa"/>
            <w:tcBorders>
              <w:tl2br w:val="nil"/>
              <w:tr2bl w:val="nil"/>
            </w:tcBorders>
            <w:noWrap w:val="0"/>
            <w:vAlign w:val="center"/>
          </w:tcPr>
          <w:p w14:paraId="710EA4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7026FB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2A301A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6DC56EDD">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mg/L</w:t>
            </w:r>
          </w:p>
        </w:tc>
      </w:tr>
      <w:tr w14:paraId="4C786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5C003C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530963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Ca</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5EA9A87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17</w:t>
            </w:r>
          </w:p>
        </w:tc>
        <w:tc>
          <w:tcPr>
            <w:tcW w:w="855" w:type="dxa"/>
            <w:tcBorders>
              <w:tl2br w:val="nil"/>
              <w:tr2bl w:val="nil"/>
            </w:tcBorders>
            <w:noWrap w:val="0"/>
            <w:vAlign w:val="center"/>
          </w:tcPr>
          <w:p w14:paraId="7AB0EF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17</w:t>
            </w:r>
          </w:p>
        </w:tc>
        <w:tc>
          <w:tcPr>
            <w:tcW w:w="885" w:type="dxa"/>
            <w:tcBorders>
              <w:tl2br w:val="nil"/>
              <w:tr2bl w:val="nil"/>
            </w:tcBorders>
            <w:noWrap w:val="0"/>
            <w:vAlign w:val="center"/>
          </w:tcPr>
          <w:p w14:paraId="4E59AC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17</w:t>
            </w:r>
          </w:p>
        </w:tc>
        <w:tc>
          <w:tcPr>
            <w:tcW w:w="1110" w:type="dxa"/>
            <w:tcBorders>
              <w:tl2br w:val="nil"/>
              <w:tr2bl w:val="nil"/>
            </w:tcBorders>
            <w:noWrap w:val="0"/>
            <w:vAlign w:val="center"/>
          </w:tcPr>
          <w:p w14:paraId="2C71DF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729781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160314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137DCD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58A24F1B">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0500C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7EABDC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B6C57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653BFEE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17</w:t>
            </w:r>
          </w:p>
        </w:tc>
        <w:tc>
          <w:tcPr>
            <w:tcW w:w="855" w:type="dxa"/>
            <w:tcBorders>
              <w:tl2br w:val="nil"/>
              <w:tr2bl w:val="nil"/>
            </w:tcBorders>
            <w:noWrap w:val="0"/>
            <w:vAlign w:val="center"/>
          </w:tcPr>
          <w:p w14:paraId="2CE7E5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14</w:t>
            </w:r>
          </w:p>
        </w:tc>
        <w:tc>
          <w:tcPr>
            <w:tcW w:w="885" w:type="dxa"/>
            <w:tcBorders>
              <w:tl2br w:val="nil"/>
              <w:tr2bl w:val="nil"/>
            </w:tcBorders>
            <w:noWrap w:val="0"/>
            <w:vAlign w:val="center"/>
          </w:tcPr>
          <w:p w14:paraId="34F9B1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15</w:t>
            </w:r>
          </w:p>
        </w:tc>
        <w:tc>
          <w:tcPr>
            <w:tcW w:w="1110" w:type="dxa"/>
            <w:tcBorders>
              <w:tl2br w:val="nil"/>
              <w:tr2bl w:val="nil"/>
            </w:tcBorders>
            <w:noWrap w:val="0"/>
            <w:vAlign w:val="center"/>
          </w:tcPr>
          <w:p w14:paraId="5F91002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2FFA2D2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068018E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4750F8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1D36F435">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2C85A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1F265B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30ECC5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CO</w:t>
            </w:r>
            <w:r>
              <w:rPr>
                <w:rFonts w:hint="default" w:ascii="Times New Roman" w:hAnsi="Times New Roman" w:eastAsia="宋体" w:cs="Times New Roman"/>
                <w:color w:val="auto"/>
                <w:sz w:val="21"/>
                <w:szCs w:val="21"/>
                <w:highlight w:val="none"/>
                <w:u w:val="none" w:color="auto"/>
                <w:vertAlign w:val="subscript"/>
                <w:lang w:val="en-US" w:eastAsia="zh-CN"/>
              </w:rPr>
              <w:t>3</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49C2B51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ND</w:t>
            </w:r>
          </w:p>
        </w:tc>
        <w:tc>
          <w:tcPr>
            <w:tcW w:w="855" w:type="dxa"/>
            <w:tcBorders>
              <w:tl2br w:val="nil"/>
              <w:tr2bl w:val="nil"/>
            </w:tcBorders>
            <w:noWrap w:val="0"/>
            <w:vAlign w:val="center"/>
          </w:tcPr>
          <w:p w14:paraId="13D12A0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ND</w:t>
            </w:r>
          </w:p>
        </w:tc>
        <w:tc>
          <w:tcPr>
            <w:tcW w:w="885" w:type="dxa"/>
            <w:tcBorders>
              <w:tl2br w:val="nil"/>
              <w:tr2bl w:val="nil"/>
            </w:tcBorders>
            <w:noWrap w:val="0"/>
            <w:vAlign w:val="center"/>
          </w:tcPr>
          <w:p w14:paraId="1B1A5E4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ND</w:t>
            </w:r>
          </w:p>
        </w:tc>
        <w:tc>
          <w:tcPr>
            <w:tcW w:w="1110" w:type="dxa"/>
            <w:tcBorders>
              <w:tl2br w:val="nil"/>
              <w:tr2bl w:val="nil"/>
            </w:tcBorders>
            <w:noWrap w:val="0"/>
            <w:vAlign w:val="center"/>
          </w:tcPr>
          <w:p w14:paraId="6AC197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4CE638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7BCE20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0C3426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13366BCF">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6668C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312CDD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7EE065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HCO</w:t>
            </w:r>
            <w:r>
              <w:rPr>
                <w:rFonts w:hint="default" w:ascii="Times New Roman" w:hAnsi="Times New Roman" w:eastAsia="宋体" w:cs="Times New Roman"/>
                <w:color w:val="auto"/>
                <w:sz w:val="21"/>
                <w:szCs w:val="21"/>
                <w:highlight w:val="none"/>
                <w:u w:val="none" w:color="auto"/>
                <w:vertAlign w:val="subscript"/>
                <w:lang w:val="en-US" w:eastAsia="zh-CN"/>
              </w:rPr>
              <w:t>3</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39D014A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27</w:t>
            </w:r>
          </w:p>
        </w:tc>
        <w:tc>
          <w:tcPr>
            <w:tcW w:w="855" w:type="dxa"/>
            <w:tcBorders>
              <w:tl2br w:val="nil"/>
              <w:tr2bl w:val="nil"/>
            </w:tcBorders>
            <w:noWrap w:val="0"/>
            <w:vAlign w:val="center"/>
          </w:tcPr>
          <w:p w14:paraId="5082C7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26</w:t>
            </w:r>
          </w:p>
        </w:tc>
        <w:tc>
          <w:tcPr>
            <w:tcW w:w="885" w:type="dxa"/>
            <w:tcBorders>
              <w:tl2br w:val="nil"/>
              <w:tr2bl w:val="nil"/>
            </w:tcBorders>
            <w:noWrap w:val="0"/>
            <w:vAlign w:val="center"/>
          </w:tcPr>
          <w:p w14:paraId="08A7077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25</w:t>
            </w:r>
          </w:p>
        </w:tc>
        <w:tc>
          <w:tcPr>
            <w:tcW w:w="1110" w:type="dxa"/>
            <w:tcBorders>
              <w:tl2br w:val="nil"/>
              <w:tr2bl w:val="nil"/>
            </w:tcBorders>
            <w:noWrap w:val="0"/>
            <w:vAlign w:val="center"/>
          </w:tcPr>
          <w:p w14:paraId="5959F0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812" w:type="dxa"/>
            <w:tcBorders>
              <w:tl2br w:val="nil"/>
              <w:tr2bl w:val="nil"/>
            </w:tcBorders>
            <w:noWrap w:val="0"/>
            <w:vAlign w:val="center"/>
          </w:tcPr>
          <w:p w14:paraId="2F5CBFC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12" w:type="dxa"/>
            <w:tcBorders>
              <w:tl2br w:val="nil"/>
              <w:tr2bl w:val="nil"/>
            </w:tcBorders>
            <w:noWrap w:val="0"/>
            <w:vAlign w:val="center"/>
          </w:tcPr>
          <w:p w14:paraId="3D275E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794" w:type="dxa"/>
            <w:gridSpan w:val="2"/>
            <w:tcBorders>
              <w:tl2br w:val="nil"/>
              <w:tr2bl w:val="nil"/>
            </w:tcBorders>
            <w:noWrap w:val="0"/>
            <w:vAlign w:val="center"/>
          </w:tcPr>
          <w:p w14:paraId="04A045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020" w:type="dxa"/>
            <w:tcBorders>
              <w:tl2br w:val="nil"/>
              <w:tr2bl w:val="nil"/>
            </w:tcBorders>
            <w:noWrap w:val="0"/>
            <w:vAlign w:val="center"/>
          </w:tcPr>
          <w:p w14:paraId="0686E8D4">
            <w:pPr>
              <w:bidi w:val="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b w:val="0"/>
                <w:bCs w:val="0"/>
                <w:color w:val="auto"/>
                <w:sz w:val="21"/>
                <w:szCs w:val="21"/>
                <w:highlight w:val="none"/>
                <w:u w:val="none" w:color="auto"/>
              </w:rPr>
              <w:t>mg/L</w:t>
            </w:r>
          </w:p>
        </w:tc>
      </w:tr>
      <w:tr w14:paraId="53826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2C20E4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0CB4E8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Cl</w:t>
            </w:r>
            <w:r>
              <w:rPr>
                <w:rFonts w:hint="default" w:ascii="Times New Roman" w:hAnsi="Times New Roman" w:eastAsia="宋体" w:cs="Times New Roman"/>
                <w:color w:val="auto"/>
                <w:sz w:val="21"/>
                <w:szCs w:val="21"/>
                <w:highlight w:val="none"/>
                <w:u w:val="none" w:color="auto"/>
                <w:vertAlign w:val="superscript"/>
                <w:lang w:val="en-US" w:eastAsia="zh-CN"/>
              </w:rPr>
              <w:t>-</w:t>
            </w:r>
          </w:p>
        </w:tc>
        <w:tc>
          <w:tcPr>
            <w:tcW w:w="885" w:type="dxa"/>
            <w:tcBorders>
              <w:tl2br w:val="nil"/>
              <w:tr2bl w:val="nil"/>
            </w:tcBorders>
            <w:noWrap w:val="0"/>
            <w:vAlign w:val="center"/>
          </w:tcPr>
          <w:p w14:paraId="1C5D34A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8.50</w:t>
            </w:r>
          </w:p>
        </w:tc>
        <w:tc>
          <w:tcPr>
            <w:tcW w:w="855" w:type="dxa"/>
            <w:tcBorders>
              <w:tl2br w:val="nil"/>
              <w:tr2bl w:val="nil"/>
            </w:tcBorders>
            <w:noWrap w:val="0"/>
            <w:vAlign w:val="center"/>
          </w:tcPr>
          <w:p w14:paraId="7493CC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7.31</w:t>
            </w:r>
          </w:p>
        </w:tc>
        <w:tc>
          <w:tcPr>
            <w:tcW w:w="885" w:type="dxa"/>
            <w:tcBorders>
              <w:tl2br w:val="nil"/>
              <w:tr2bl w:val="nil"/>
            </w:tcBorders>
            <w:noWrap w:val="0"/>
            <w:vAlign w:val="center"/>
          </w:tcPr>
          <w:p w14:paraId="4CAE31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vertAlign w:val="baseline"/>
                <w:lang w:val="en-US" w:eastAsia="zh-CN" w:bidi="ar-SA"/>
              </w:rPr>
              <w:t>7.33</w:t>
            </w:r>
          </w:p>
        </w:tc>
        <w:tc>
          <w:tcPr>
            <w:tcW w:w="1110" w:type="dxa"/>
            <w:tcBorders>
              <w:tl2br w:val="nil"/>
              <w:tr2bl w:val="nil"/>
            </w:tcBorders>
            <w:noWrap w:val="0"/>
            <w:vAlign w:val="center"/>
          </w:tcPr>
          <w:p w14:paraId="435BEF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250</w:t>
            </w:r>
          </w:p>
        </w:tc>
        <w:tc>
          <w:tcPr>
            <w:tcW w:w="812" w:type="dxa"/>
            <w:tcBorders>
              <w:tl2br w:val="nil"/>
              <w:tr2bl w:val="nil"/>
            </w:tcBorders>
            <w:noWrap w:val="0"/>
            <w:vAlign w:val="center"/>
          </w:tcPr>
          <w:p w14:paraId="67310D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47D0CD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3767DA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503B67C3">
            <w:pPr>
              <w:bidi w:val="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mg/L</w:t>
            </w:r>
          </w:p>
        </w:tc>
      </w:tr>
      <w:tr w14:paraId="11CD7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vMerge w:val="continue"/>
            <w:tcBorders>
              <w:tl2br w:val="nil"/>
              <w:tr2bl w:val="nil"/>
            </w:tcBorders>
            <w:noWrap w:val="0"/>
            <w:vAlign w:val="center"/>
          </w:tcPr>
          <w:p w14:paraId="4C51AC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275" w:type="dxa"/>
            <w:tcBorders>
              <w:tl2br w:val="nil"/>
              <w:tr2bl w:val="nil"/>
            </w:tcBorders>
            <w:noWrap w:val="0"/>
            <w:vAlign w:val="center"/>
          </w:tcPr>
          <w:p w14:paraId="29BC3E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SO</w:t>
            </w:r>
            <w:r>
              <w:rPr>
                <w:rFonts w:hint="default" w:ascii="Times New Roman" w:hAnsi="Times New Roman" w:eastAsia="宋体" w:cs="Times New Roman"/>
                <w:color w:val="auto"/>
                <w:sz w:val="21"/>
                <w:szCs w:val="21"/>
                <w:highlight w:val="none"/>
                <w:u w:val="none" w:color="auto"/>
                <w:vertAlign w:val="subscript"/>
                <w:lang w:val="en-US" w:eastAsia="zh-CN"/>
              </w:rPr>
              <w:t>4</w:t>
            </w:r>
            <w:r>
              <w:rPr>
                <w:rFonts w:hint="default" w:ascii="Times New Roman" w:hAnsi="Times New Roman" w:eastAsia="宋体" w:cs="Times New Roman"/>
                <w:color w:val="auto"/>
                <w:sz w:val="21"/>
                <w:szCs w:val="21"/>
                <w:highlight w:val="none"/>
                <w:u w:val="none" w:color="auto"/>
                <w:vertAlign w:val="superscript"/>
                <w:lang w:val="en-US" w:eastAsia="zh-CN"/>
              </w:rPr>
              <w:t>2-</w:t>
            </w:r>
          </w:p>
        </w:tc>
        <w:tc>
          <w:tcPr>
            <w:tcW w:w="885" w:type="dxa"/>
            <w:tcBorders>
              <w:tl2br w:val="nil"/>
              <w:tr2bl w:val="nil"/>
            </w:tcBorders>
            <w:noWrap w:val="0"/>
            <w:vAlign w:val="center"/>
          </w:tcPr>
          <w:p w14:paraId="37B1A7A8">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55" w:type="dxa"/>
            <w:tcBorders>
              <w:tl2br w:val="nil"/>
              <w:tr2bl w:val="nil"/>
            </w:tcBorders>
            <w:noWrap w:val="0"/>
            <w:vAlign w:val="center"/>
          </w:tcPr>
          <w:p w14:paraId="3E905AD8">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885" w:type="dxa"/>
            <w:tcBorders>
              <w:tl2br w:val="nil"/>
              <w:tr2bl w:val="nil"/>
            </w:tcBorders>
            <w:noWrap w:val="0"/>
            <w:vAlign w:val="center"/>
          </w:tcPr>
          <w:p w14:paraId="26399E1E">
            <w:pPr>
              <w:adjustRightInd w:val="0"/>
              <w:snapToGrid w:val="0"/>
              <w:ind w:left="-56" w:leftChars="-20"/>
              <w:jc w:val="center"/>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ND</w:t>
            </w:r>
          </w:p>
        </w:tc>
        <w:tc>
          <w:tcPr>
            <w:tcW w:w="1110" w:type="dxa"/>
            <w:tcBorders>
              <w:tl2br w:val="nil"/>
              <w:tr2bl w:val="nil"/>
            </w:tcBorders>
            <w:noWrap w:val="0"/>
            <w:vAlign w:val="center"/>
          </w:tcPr>
          <w:p w14:paraId="66FEAA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250</w:t>
            </w:r>
          </w:p>
        </w:tc>
        <w:tc>
          <w:tcPr>
            <w:tcW w:w="812" w:type="dxa"/>
            <w:tcBorders>
              <w:tl2br w:val="nil"/>
              <w:tr2bl w:val="nil"/>
            </w:tcBorders>
            <w:noWrap w:val="0"/>
            <w:vAlign w:val="center"/>
          </w:tcPr>
          <w:p w14:paraId="3DAFEB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12" w:type="dxa"/>
            <w:tcBorders>
              <w:tl2br w:val="nil"/>
              <w:tr2bl w:val="nil"/>
            </w:tcBorders>
            <w:noWrap w:val="0"/>
            <w:vAlign w:val="center"/>
          </w:tcPr>
          <w:p w14:paraId="2C2EE64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794" w:type="dxa"/>
            <w:gridSpan w:val="2"/>
            <w:tcBorders>
              <w:tl2br w:val="nil"/>
              <w:tr2bl w:val="nil"/>
            </w:tcBorders>
            <w:noWrap w:val="0"/>
            <w:vAlign w:val="center"/>
          </w:tcPr>
          <w:p w14:paraId="0B6A8B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达标</w:t>
            </w:r>
          </w:p>
        </w:tc>
        <w:tc>
          <w:tcPr>
            <w:tcW w:w="1020" w:type="dxa"/>
            <w:tcBorders>
              <w:tl2br w:val="nil"/>
              <w:tr2bl w:val="nil"/>
            </w:tcBorders>
            <w:noWrap w:val="0"/>
            <w:vAlign w:val="center"/>
          </w:tcPr>
          <w:p w14:paraId="2EE95ACF">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mg/L</w:t>
            </w:r>
          </w:p>
        </w:tc>
      </w:tr>
    </w:tbl>
    <w:p w14:paraId="2F0E08C4">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根据上表监测数据可知，各监测点各污染因子均符合《地下水质量标准》（GB/T14848-2017）Ⅲ类标准要求。区域地下水环境质量良好。</w:t>
      </w:r>
    </w:p>
    <w:p w14:paraId="42F45B7C">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69" w:name="_Toc5046"/>
      <w:r>
        <w:rPr>
          <w:rFonts w:hint="default" w:ascii="Times New Roman" w:hAnsi="Times New Roman" w:eastAsia="宋体" w:cs="Times New Roman"/>
          <w:color w:val="auto"/>
          <w:sz w:val="28"/>
          <w:szCs w:val="28"/>
          <w:highlight w:val="none"/>
          <w:u w:val="none" w:color="auto"/>
          <w:lang w:val="en-US" w:eastAsia="zh-CN"/>
        </w:rPr>
        <w:t>6.4声环境质量现状调查与评价</w:t>
      </w:r>
      <w:bookmarkEnd w:id="69"/>
    </w:p>
    <w:p w14:paraId="16A68BB6">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湖南桓泓检测技术有限公司已于</w:t>
      </w:r>
      <w:r>
        <w:rPr>
          <w:rFonts w:hint="default" w:ascii="Times New Roman" w:hAnsi="Times New Roman" w:eastAsia="宋体" w:cs="Times New Roman"/>
          <w:color w:val="auto"/>
          <w:kern w:val="2"/>
          <w:sz w:val="24"/>
          <w:szCs w:val="24"/>
          <w:highlight w:val="none"/>
          <w:u w:val="none" w:color="auto"/>
          <w:lang w:val="en-US" w:eastAsia="zh-CN" w:bidi="ar-SA"/>
        </w:rPr>
        <w:t>2022年3月23日~2022年3月24日</w:t>
      </w:r>
      <w:r>
        <w:rPr>
          <w:rFonts w:hint="default" w:ascii="Times New Roman" w:hAnsi="Times New Roman" w:eastAsia="宋体" w:cs="Times New Roman"/>
          <w:color w:val="auto"/>
          <w:sz w:val="24"/>
          <w:szCs w:val="24"/>
          <w:highlight w:val="none"/>
          <w:u w:val="none" w:color="auto"/>
          <w:lang w:val="en-US" w:eastAsia="zh-CN"/>
        </w:rPr>
        <w:t>对项目周边声环境质量进行了现状监测，监测情况及结果如下。</w:t>
      </w:r>
    </w:p>
    <w:p w14:paraId="61CAEC12">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（1）监测点位：共4个监测点位，分别为项目东、南、西、北四周边界。</w:t>
      </w:r>
    </w:p>
    <w:p w14:paraId="759C0F0C">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（2）监测项目和监测单位</w:t>
      </w:r>
    </w:p>
    <w:p w14:paraId="052259EB">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监测因子：等效连续A声级（LAeq）；</w:t>
      </w:r>
    </w:p>
    <w:p w14:paraId="43BC1A50">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（3）监测时间和监测频次：</w:t>
      </w:r>
    </w:p>
    <w:p w14:paraId="072B84B5">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监测时间：</w:t>
      </w:r>
      <w:r>
        <w:rPr>
          <w:rFonts w:hint="default" w:ascii="Times New Roman" w:hAnsi="Times New Roman" w:eastAsia="宋体" w:cs="Times New Roman"/>
          <w:color w:val="auto"/>
          <w:kern w:val="2"/>
          <w:sz w:val="24"/>
          <w:szCs w:val="24"/>
          <w:highlight w:val="none"/>
          <w:u w:val="none" w:color="auto"/>
          <w:lang w:val="en-US" w:eastAsia="zh-CN" w:bidi="ar-SA"/>
        </w:rPr>
        <w:t>2022年3月23日~2022年3月24日</w:t>
      </w:r>
      <w:r>
        <w:rPr>
          <w:rFonts w:hint="default" w:ascii="Times New Roman" w:hAnsi="Times New Roman" w:eastAsia="宋体" w:cs="Times New Roman"/>
          <w:color w:val="auto"/>
          <w:sz w:val="24"/>
          <w:szCs w:val="24"/>
          <w:highlight w:val="none"/>
          <w:u w:val="none" w:color="auto"/>
          <w:lang w:val="en-US" w:eastAsia="zh-CN"/>
        </w:rPr>
        <w:t>，连续监测2天。</w:t>
      </w:r>
    </w:p>
    <w:p w14:paraId="6953BEA7">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监测频次：昼夜各监测一次。</w:t>
      </w:r>
    </w:p>
    <w:p w14:paraId="2CF2F8E9">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评价标准：项目用地执行《声环境质量标准》(GB3096-2008)3类、4a标准。</w:t>
      </w:r>
    </w:p>
    <w:p w14:paraId="5E1DE7C3">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（4）监测结果统计与评价</w:t>
      </w:r>
    </w:p>
    <w:p w14:paraId="06EFBE27">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声环境质量现状监测结果统计情况详见下表。</w:t>
      </w:r>
    </w:p>
    <w:p w14:paraId="2460C4CA">
      <w:pPr>
        <w:pStyle w:val="13"/>
        <w:jc w:val="center"/>
        <w:rPr>
          <w:rFonts w:hint="default" w:ascii="Times New Roman" w:hAnsi="Times New Roman" w:eastAsia="宋体" w:cs="Times New Roman"/>
          <w:b/>
          <w:bCs/>
          <w:i w:val="0"/>
          <w:iCs w:val="0"/>
          <w:color w:val="auto"/>
          <w:sz w:val="21"/>
          <w:szCs w:val="21"/>
          <w:highlight w:val="none"/>
          <w:u w:val="none" w:color="auto"/>
          <w:lang w:eastAsia="zh-CN"/>
        </w:rPr>
      </w:pPr>
      <w:r>
        <w:rPr>
          <w:rFonts w:hint="default" w:ascii="Times New Roman" w:hAnsi="Times New Roman" w:eastAsia="宋体" w:cs="Times New Roman"/>
          <w:b/>
          <w:bCs/>
          <w:i w:val="0"/>
          <w:iCs w:val="0"/>
          <w:color w:val="auto"/>
          <w:sz w:val="21"/>
          <w:szCs w:val="21"/>
          <w:highlight w:val="none"/>
          <w:u w:val="none" w:color="auto"/>
          <w:lang w:eastAsia="zh-CN"/>
        </w:rPr>
        <w:t>表</w:t>
      </w:r>
      <w:r>
        <w:rPr>
          <w:rFonts w:hint="default" w:ascii="Times New Roman" w:hAnsi="Times New Roman" w:eastAsia="宋体" w:cs="Times New Roman"/>
          <w:b/>
          <w:bCs/>
          <w:i w:val="0"/>
          <w:iCs w:val="0"/>
          <w:color w:val="auto"/>
          <w:sz w:val="21"/>
          <w:szCs w:val="21"/>
          <w:highlight w:val="none"/>
          <w:u w:val="none" w:color="auto"/>
          <w:lang w:val="en-US" w:eastAsia="zh-CN"/>
        </w:rPr>
        <w:t>6</w:t>
      </w:r>
      <w:r>
        <w:rPr>
          <w:rFonts w:hint="default" w:ascii="Times New Roman" w:hAnsi="Times New Roman" w:eastAsia="宋体" w:cs="Times New Roman"/>
          <w:b/>
          <w:bCs/>
          <w:i w:val="0"/>
          <w:iCs w:val="0"/>
          <w:color w:val="auto"/>
          <w:sz w:val="21"/>
          <w:szCs w:val="21"/>
          <w:highlight w:val="none"/>
          <w:u w:val="none" w:color="auto"/>
          <w:lang w:eastAsia="zh-CN"/>
        </w:rPr>
        <w:t>.4-1  声环境质量现状监测统计结果（单位</w:t>
      </w:r>
      <w:r>
        <w:rPr>
          <w:rFonts w:hint="default" w:ascii="Times New Roman" w:hAnsi="Times New Roman" w:eastAsia="宋体" w:cs="Times New Roman"/>
          <w:b/>
          <w:bCs/>
          <w:i w:val="0"/>
          <w:iCs w:val="0"/>
          <w:color w:val="auto"/>
          <w:sz w:val="21"/>
          <w:szCs w:val="21"/>
          <w:highlight w:val="none"/>
          <w:u w:val="none" w:color="auto"/>
          <w:lang w:val="en-US" w:eastAsia="zh-CN"/>
        </w:rPr>
        <w:t>:</w:t>
      </w:r>
      <w:r>
        <w:rPr>
          <w:rFonts w:hint="default" w:ascii="Times New Roman" w:hAnsi="Times New Roman" w:eastAsia="宋体" w:cs="Times New Roman"/>
          <w:b/>
          <w:bCs/>
          <w:i w:val="0"/>
          <w:iCs w:val="0"/>
          <w:color w:val="auto"/>
          <w:sz w:val="21"/>
          <w:szCs w:val="21"/>
          <w:highlight w:val="none"/>
          <w:u w:val="none" w:color="auto"/>
          <w:lang w:eastAsia="zh-CN"/>
        </w:rPr>
        <w:t>dB(A)）</w:t>
      </w:r>
    </w:p>
    <w:tbl>
      <w:tblPr>
        <w:tblStyle w:val="22"/>
        <w:tblpPr w:leftFromText="180" w:rightFromText="180" w:vertAnchor="text" w:tblpXSpec="center" w:tblpY="1"/>
        <w:tblOverlap w:val="never"/>
        <w:tblW w:w="85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338"/>
        <w:gridCol w:w="1443"/>
        <w:gridCol w:w="1650"/>
        <w:gridCol w:w="1377"/>
        <w:gridCol w:w="1334"/>
      </w:tblGrid>
      <w:tr w14:paraId="474CD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4" w:type="dxa"/>
            <w:gridSpan w:val="2"/>
            <w:vMerge w:val="restart"/>
            <w:tcBorders>
              <w:right w:val="single" w:color="auto" w:sz="4" w:space="0"/>
            </w:tcBorders>
            <w:noWrap w:val="0"/>
            <w:vAlign w:val="center"/>
          </w:tcPr>
          <w:p w14:paraId="735A280B">
            <w:pPr>
              <w:widowControl/>
              <w:spacing w:before="31" w:beforeLines="10" w:after="31" w:afterLines="10"/>
              <w:jc w:val="center"/>
              <w:textAlignment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eastAsia="zh-CN"/>
              </w:rPr>
              <w:t>监测</w:t>
            </w:r>
            <w:r>
              <w:rPr>
                <w:rFonts w:hint="default" w:ascii="Times New Roman" w:hAnsi="Times New Roman" w:eastAsia="宋体" w:cs="Times New Roman"/>
                <w:b/>
                <w:bCs/>
                <w:color w:val="auto"/>
                <w:sz w:val="21"/>
                <w:szCs w:val="21"/>
                <w:highlight w:val="none"/>
                <w:u w:val="none" w:color="auto"/>
              </w:rPr>
              <w:t>点位</w:t>
            </w:r>
          </w:p>
        </w:tc>
        <w:tc>
          <w:tcPr>
            <w:tcW w:w="3093" w:type="dxa"/>
            <w:gridSpan w:val="2"/>
            <w:tcBorders>
              <w:left w:val="single" w:color="auto" w:sz="4" w:space="0"/>
            </w:tcBorders>
            <w:noWrap w:val="0"/>
            <w:vAlign w:val="center"/>
          </w:tcPr>
          <w:p w14:paraId="261DBF06">
            <w:pPr>
              <w:pStyle w:val="21"/>
              <w:widowControl/>
              <w:spacing w:before="31" w:beforeLines="10" w:after="31" w:afterLines="10"/>
              <w:ind w:firstLine="0" w:firstLineChars="0"/>
              <w:textAlignment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检测日期及</w:t>
            </w:r>
            <w:r>
              <w:rPr>
                <w:rFonts w:hint="default" w:ascii="Times New Roman" w:hAnsi="Times New Roman" w:eastAsia="宋体" w:cs="Times New Roman"/>
                <w:b/>
                <w:bCs/>
                <w:color w:val="auto"/>
                <w:sz w:val="21"/>
                <w:szCs w:val="21"/>
                <w:highlight w:val="none"/>
                <w:u w:val="none" w:color="auto"/>
                <w:lang w:eastAsia="zh-CN"/>
              </w:rPr>
              <w:t>检测</w:t>
            </w:r>
            <w:r>
              <w:rPr>
                <w:rFonts w:hint="default" w:ascii="Times New Roman" w:hAnsi="Times New Roman" w:eastAsia="宋体" w:cs="Times New Roman"/>
                <w:b/>
                <w:bCs/>
                <w:color w:val="auto"/>
                <w:sz w:val="21"/>
                <w:szCs w:val="21"/>
                <w:highlight w:val="none"/>
                <w:u w:val="none" w:color="auto"/>
              </w:rPr>
              <w:t>结果</w:t>
            </w:r>
          </w:p>
        </w:tc>
        <w:tc>
          <w:tcPr>
            <w:tcW w:w="1377" w:type="dxa"/>
            <w:vMerge w:val="restart"/>
            <w:tcBorders>
              <w:left w:val="single" w:color="auto" w:sz="4" w:space="0"/>
            </w:tcBorders>
            <w:noWrap w:val="0"/>
            <w:vAlign w:val="center"/>
          </w:tcPr>
          <w:p w14:paraId="34B349C3">
            <w:pPr>
              <w:pStyle w:val="21"/>
              <w:widowControl/>
              <w:spacing w:before="31" w:beforeLines="10" w:after="31" w:afterLines="10"/>
              <w:ind w:firstLine="0" w:firstLineChars="0"/>
              <w:textAlignment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标准限值</w:t>
            </w:r>
          </w:p>
        </w:tc>
        <w:tc>
          <w:tcPr>
            <w:tcW w:w="1334" w:type="dxa"/>
            <w:vMerge w:val="restart"/>
            <w:tcBorders>
              <w:left w:val="single" w:color="auto" w:sz="4" w:space="0"/>
            </w:tcBorders>
            <w:noWrap w:val="0"/>
            <w:vAlign w:val="center"/>
          </w:tcPr>
          <w:p w14:paraId="6BAF50B6">
            <w:pPr>
              <w:pStyle w:val="21"/>
              <w:widowControl/>
              <w:spacing w:before="31" w:beforeLines="10" w:after="31" w:afterLines="10"/>
              <w:ind w:firstLine="0" w:firstLineChars="0"/>
              <w:textAlignment w:val="center"/>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z w:val="21"/>
                <w:szCs w:val="21"/>
                <w:highlight w:val="none"/>
                <w:u w:val="none" w:color="auto"/>
                <w:lang w:eastAsia="zh-CN"/>
              </w:rPr>
              <w:t>达标情况</w:t>
            </w:r>
          </w:p>
        </w:tc>
      </w:tr>
      <w:tr w14:paraId="52253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4" w:type="dxa"/>
            <w:gridSpan w:val="2"/>
            <w:vMerge w:val="continue"/>
            <w:tcBorders>
              <w:right w:val="single" w:color="auto" w:sz="4" w:space="0"/>
            </w:tcBorders>
            <w:noWrap w:val="0"/>
            <w:vAlign w:val="center"/>
          </w:tcPr>
          <w:p w14:paraId="40A2AB03">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rPr>
            </w:pPr>
          </w:p>
        </w:tc>
        <w:tc>
          <w:tcPr>
            <w:tcW w:w="1443" w:type="dxa"/>
            <w:tcBorders>
              <w:top w:val="single" w:color="auto" w:sz="4" w:space="0"/>
              <w:left w:val="single" w:color="auto" w:sz="4" w:space="0"/>
            </w:tcBorders>
            <w:noWrap w:val="0"/>
            <w:vAlign w:val="center"/>
          </w:tcPr>
          <w:p w14:paraId="5A0211F6">
            <w:pPr>
              <w:spacing w:before="31" w:beforeLines="10" w:after="31" w:afterLines="1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2022.3.23</w:t>
            </w:r>
          </w:p>
        </w:tc>
        <w:tc>
          <w:tcPr>
            <w:tcW w:w="1650" w:type="dxa"/>
            <w:tcBorders>
              <w:top w:val="single" w:color="auto" w:sz="4" w:space="0"/>
              <w:left w:val="single" w:color="auto" w:sz="4" w:space="0"/>
            </w:tcBorders>
            <w:noWrap w:val="0"/>
            <w:vAlign w:val="center"/>
          </w:tcPr>
          <w:p w14:paraId="6DFBE265">
            <w:pPr>
              <w:spacing w:before="31" w:beforeLines="10" w:after="31" w:afterLines="1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2022.3.24</w:t>
            </w:r>
          </w:p>
        </w:tc>
        <w:tc>
          <w:tcPr>
            <w:tcW w:w="1377" w:type="dxa"/>
            <w:vMerge w:val="continue"/>
            <w:tcBorders>
              <w:left w:val="single" w:color="auto" w:sz="4" w:space="0"/>
            </w:tcBorders>
            <w:noWrap w:val="0"/>
            <w:vAlign w:val="center"/>
          </w:tcPr>
          <w:p w14:paraId="4967A9C3">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rPr>
            </w:pPr>
          </w:p>
        </w:tc>
        <w:tc>
          <w:tcPr>
            <w:tcW w:w="1334" w:type="dxa"/>
            <w:vMerge w:val="continue"/>
            <w:tcBorders>
              <w:left w:val="single" w:color="auto" w:sz="4" w:space="0"/>
            </w:tcBorders>
            <w:noWrap w:val="0"/>
            <w:vAlign w:val="center"/>
          </w:tcPr>
          <w:p w14:paraId="2B902998">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rPr>
            </w:pPr>
          </w:p>
        </w:tc>
      </w:tr>
      <w:tr w14:paraId="1CAD1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6" w:type="dxa"/>
            <w:vMerge w:val="restart"/>
            <w:tcBorders>
              <w:right w:val="single" w:color="auto" w:sz="4" w:space="0"/>
            </w:tcBorders>
            <w:noWrap w:val="0"/>
            <w:vAlign w:val="center"/>
          </w:tcPr>
          <w:p w14:paraId="6FF0A025">
            <w:pPr>
              <w:snapToGrid w:val="0"/>
              <w:ind w:left="-56" w:leftChars="-2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厂界东侧外1m处 N1</w:t>
            </w:r>
          </w:p>
        </w:tc>
        <w:tc>
          <w:tcPr>
            <w:tcW w:w="1338" w:type="dxa"/>
            <w:tcBorders>
              <w:right w:val="single" w:color="auto" w:sz="4" w:space="0"/>
            </w:tcBorders>
            <w:noWrap w:val="0"/>
            <w:vAlign w:val="center"/>
          </w:tcPr>
          <w:p w14:paraId="2F8A9DEF">
            <w:pPr>
              <w:snapToGrid w:val="0"/>
              <w:ind w:left="-56" w:leftChars="-2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昼间</w:t>
            </w:r>
          </w:p>
        </w:tc>
        <w:tc>
          <w:tcPr>
            <w:tcW w:w="1443" w:type="dxa"/>
            <w:tcBorders>
              <w:left w:val="single" w:color="auto" w:sz="4" w:space="0"/>
            </w:tcBorders>
            <w:noWrap w:val="0"/>
            <w:vAlign w:val="center"/>
          </w:tcPr>
          <w:p w14:paraId="655F2950">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50.4</w:t>
            </w:r>
          </w:p>
        </w:tc>
        <w:tc>
          <w:tcPr>
            <w:tcW w:w="1650" w:type="dxa"/>
            <w:tcBorders>
              <w:left w:val="single" w:color="auto" w:sz="4" w:space="0"/>
            </w:tcBorders>
            <w:noWrap w:val="0"/>
            <w:vAlign w:val="center"/>
          </w:tcPr>
          <w:p w14:paraId="6E322099">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SA"/>
              </w:rPr>
              <w:t>50.7</w:t>
            </w:r>
          </w:p>
        </w:tc>
        <w:tc>
          <w:tcPr>
            <w:tcW w:w="1377" w:type="dxa"/>
            <w:tcBorders>
              <w:left w:val="single" w:color="auto" w:sz="4" w:space="0"/>
            </w:tcBorders>
            <w:noWrap w:val="0"/>
            <w:vAlign w:val="center"/>
          </w:tcPr>
          <w:p w14:paraId="7268AB0C">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SA"/>
              </w:rPr>
              <w:t>65</w:t>
            </w:r>
          </w:p>
        </w:tc>
        <w:tc>
          <w:tcPr>
            <w:tcW w:w="1334" w:type="dxa"/>
            <w:tcBorders>
              <w:left w:val="single" w:color="auto" w:sz="4" w:space="0"/>
            </w:tcBorders>
            <w:noWrap w:val="0"/>
            <w:vAlign w:val="center"/>
          </w:tcPr>
          <w:p w14:paraId="21AC4375">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达标</w:t>
            </w:r>
          </w:p>
        </w:tc>
      </w:tr>
      <w:tr w14:paraId="05C05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6" w:type="dxa"/>
            <w:vMerge w:val="continue"/>
            <w:tcBorders>
              <w:bottom w:val="single" w:color="auto" w:sz="4" w:space="0"/>
              <w:right w:val="single" w:color="auto" w:sz="4" w:space="0"/>
            </w:tcBorders>
            <w:noWrap w:val="0"/>
            <w:vAlign w:val="center"/>
          </w:tcPr>
          <w:p w14:paraId="5C07CCBA">
            <w:pPr>
              <w:snapToGrid w:val="0"/>
              <w:ind w:left="-56" w:leftChars="-20"/>
              <w:jc w:val="center"/>
              <w:rPr>
                <w:rFonts w:hint="default" w:ascii="Times New Roman" w:hAnsi="Times New Roman" w:eastAsia="宋体" w:cs="Times New Roman"/>
                <w:color w:val="auto"/>
                <w:sz w:val="21"/>
                <w:szCs w:val="21"/>
                <w:highlight w:val="none"/>
                <w:u w:val="none" w:color="auto"/>
              </w:rPr>
            </w:pPr>
          </w:p>
        </w:tc>
        <w:tc>
          <w:tcPr>
            <w:tcW w:w="1338" w:type="dxa"/>
            <w:tcBorders>
              <w:bottom w:val="single" w:color="auto" w:sz="4" w:space="0"/>
              <w:right w:val="single" w:color="auto" w:sz="4" w:space="0"/>
            </w:tcBorders>
            <w:noWrap w:val="0"/>
            <w:vAlign w:val="center"/>
          </w:tcPr>
          <w:p w14:paraId="28E693F4">
            <w:pPr>
              <w:snapToGrid w:val="0"/>
              <w:ind w:left="-56" w:leftChars="-2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夜间</w:t>
            </w:r>
          </w:p>
        </w:tc>
        <w:tc>
          <w:tcPr>
            <w:tcW w:w="1443" w:type="dxa"/>
            <w:tcBorders>
              <w:left w:val="single" w:color="auto" w:sz="4" w:space="0"/>
            </w:tcBorders>
            <w:noWrap w:val="0"/>
            <w:vAlign w:val="center"/>
          </w:tcPr>
          <w:p w14:paraId="385E2199">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40.9</w:t>
            </w:r>
          </w:p>
        </w:tc>
        <w:tc>
          <w:tcPr>
            <w:tcW w:w="1650" w:type="dxa"/>
            <w:tcBorders>
              <w:left w:val="single" w:color="auto" w:sz="4" w:space="0"/>
            </w:tcBorders>
            <w:noWrap w:val="0"/>
            <w:vAlign w:val="center"/>
          </w:tcPr>
          <w:p w14:paraId="24283C49">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40.6</w:t>
            </w:r>
          </w:p>
        </w:tc>
        <w:tc>
          <w:tcPr>
            <w:tcW w:w="1377" w:type="dxa"/>
            <w:tcBorders>
              <w:left w:val="single" w:color="auto" w:sz="4" w:space="0"/>
            </w:tcBorders>
            <w:noWrap w:val="0"/>
            <w:vAlign w:val="center"/>
          </w:tcPr>
          <w:p w14:paraId="4E157F6B">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55</w:t>
            </w:r>
          </w:p>
        </w:tc>
        <w:tc>
          <w:tcPr>
            <w:tcW w:w="1334" w:type="dxa"/>
            <w:tcBorders>
              <w:left w:val="single" w:color="auto" w:sz="4" w:space="0"/>
            </w:tcBorders>
            <w:noWrap w:val="0"/>
            <w:vAlign w:val="center"/>
          </w:tcPr>
          <w:p w14:paraId="02480616">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达标</w:t>
            </w:r>
          </w:p>
        </w:tc>
      </w:tr>
      <w:tr w14:paraId="44C6B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6" w:type="dxa"/>
            <w:vMerge w:val="restart"/>
            <w:tcBorders>
              <w:top w:val="single" w:color="auto" w:sz="4" w:space="0"/>
              <w:right w:val="single" w:color="auto" w:sz="4" w:space="0"/>
            </w:tcBorders>
            <w:noWrap w:val="0"/>
            <w:vAlign w:val="center"/>
          </w:tcPr>
          <w:p w14:paraId="78E617B1">
            <w:pPr>
              <w:snapToGrid w:val="0"/>
              <w:ind w:left="-56" w:leftChars="-2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厂界南侧外1m处 N2</w:t>
            </w:r>
          </w:p>
        </w:tc>
        <w:tc>
          <w:tcPr>
            <w:tcW w:w="1338" w:type="dxa"/>
            <w:tcBorders>
              <w:top w:val="single" w:color="auto" w:sz="4" w:space="0"/>
              <w:right w:val="single" w:color="auto" w:sz="4" w:space="0"/>
            </w:tcBorders>
            <w:noWrap w:val="0"/>
            <w:vAlign w:val="center"/>
          </w:tcPr>
          <w:p w14:paraId="0843D6A4">
            <w:pPr>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昼间</w:t>
            </w:r>
          </w:p>
        </w:tc>
        <w:tc>
          <w:tcPr>
            <w:tcW w:w="1443" w:type="dxa"/>
            <w:tcBorders>
              <w:left w:val="single" w:color="auto" w:sz="4" w:space="0"/>
            </w:tcBorders>
            <w:noWrap w:val="0"/>
            <w:vAlign w:val="center"/>
          </w:tcPr>
          <w:p w14:paraId="1AB56345">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50.1</w:t>
            </w:r>
          </w:p>
        </w:tc>
        <w:tc>
          <w:tcPr>
            <w:tcW w:w="1650" w:type="dxa"/>
            <w:tcBorders>
              <w:left w:val="single" w:color="auto" w:sz="4" w:space="0"/>
            </w:tcBorders>
            <w:noWrap w:val="0"/>
            <w:vAlign w:val="center"/>
          </w:tcPr>
          <w:p w14:paraId="774A46F6">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50.1</w:t>
            </w:r>
          </w:p>
        </w:tc>
        <w:tc>
          <w:tcPr>
            <w:tcW w:w="1377" w:type="dxa"/>
            <w:tcBorders>
              <w:left w:val="single" w:color="auto" w:sz="4" w:space="0"/>
            </w:tcBorders>
            <w:noWrap w:val="0"/>
            <w:vAlign w:val="center"/>
          </w:tcPr>
          <w:p w14:paraId="32D72D86">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65</w:t>
            </w:r>
          </w:p>
        </w:tc>
        <w:tc>
          <w:tcPr>
            <w:tcW w:w="1334" w:type="dxa"/>
            <w:tcBorders>
              <w:left w:val="single" w:color="auto" w:sz="4" w:space="0"/>
            </w:tcBorders>
            <w:noWrap w:val="0"/>
            <w:vAlign w:val="center"/>
          </w:tcPr>
          <w:p w14:paraId="42DE99FA">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达标</w:t>
            </w:r>
          </w:p>
        </w:tc>
      </w:tr>
      <w:tr w14:paraId="6C985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6" w:type="dxa"/>
            <w:vMerge w:val="continue"/>
            <w:tcBorders>
              <w:bottom w:val="single" w:color="auto" w:sz="4" w:space="0"/>
              <w:right w:val="single" w:color="auto" w:sz="4" w:space="0"/>
            </w:tcBorders>
            <w:noWrap w:val="0"/>
            <w:vAlign w:val="center"/>
          </w:tcPr>
          <w:p w14:paraId="0557F500">
            <w:pPr>
              <w:snapToGrid w:val="0"/>
              <w:ind w:left="-56" w:leftChars="-20"/>
              <w:jc w:val="center"/>
              <w:rPr>
                <w:rFonts w:hint="default" w:ascii="Times New Roman" w:hAnsi="Times New Roman" w:eastAsia="宋体" w:cs="Times New Roman"/>
                <w:color w:val="auto"/>
                <w:sz w:val="21"/>
                <w:szCs w:val="21"/>
                <w:highlight w:val="none"/>
                <w:u w:val="none" w:color="auto"/>
              </w:rPr>
            </w:pPr>
          </w:p>
        </w:tc>
        <w:tc>
          <w:tcPr>
            <w:tcW w:w="1338" w:type="dxa"/>
            <w:tcBorders>
              <w:bottom w:val="single" w:color="auto" w:sz="4" w:space="0"/>
              <w:right w:val="single" w:color="auto" w:sz="4" w:space="0"/>
            </w:tcBorders>
            <w:noWrap w:val="0"/>
            <w:vAlign w:val="center"/>
          </w:tcPr>
          <w:p w14:paraId="45C85B30">
            <w:pPr>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夜间</w:t>
            </w:r>
          </w:p>
        </w:tc>
        <w:tc>
          <w:tcPr>
            <w:tcW w:w="1443" w:type="dxa"/>
            <w:tcBorders>
              <w:left w:val="single" w:color="auto" w:sz="4" w:space="0"/>
            </w:tcBorders>
            <w:noWrap w:val="0"/>
            <w:vAlign w:val="center"/>
          </w:tcPr>
          <w:p w14:paraId="628C7685">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41.8</w:t>
            </w:r>
          </w:p>
        </w:tc>
        <w:tc>
          <w:tcPr>
            <w:tcW w:w="1650" w:type="dxa"/>
            <w:tcBorders>
              <w:left w:val="single" w:color="auto" w:sz="4" w:space="0"/>
            </w:tcBorders>
            <w:noWrap w:val="0"/>
            <w:vAlign w:val="center"/>
          </w:tcPr>
          <w:p w14:paraId="24BA12DB">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40.0</w:t>
            </w:r>
          </w:p>
        </w:tc>
        <w:tc>
          <w:tcPr>
            <w:tcW w:w="1377" w:type="dxa"/>
            <w:tcBorders>
              <w:left w:val="single" w:color="auto" w:sz="4" w:space="0"/>
            </w:tcBorders>
            <w:noWrap w:val="0"/>
            <w:vAlign w:val="center"/>
          </w:tcPr>
          <w:p w14:paraId="18350876">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SA"/>
              </w:rPr>
              <w:t>55</w:t>
            </w:r>
          </w:p>
        </w:tc>
        <w:tc>
          <w:tcPr>
            <w:tcW w:w="1334" w:type="dxa"/>
            <w:tcBorders>
              <w:left w:val="single" w:color="auto" w:sz="4" w:space="0"/>
            </w:tcBorders>
            <w:noWrap w:val="0"/>
            <w:vAlign w:val="center"/>
          </w:tcPr>
          <w:p w14:paraId="6D560180">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eastAsia="zh-CN"/>
              </w:rPr>
              <w:t>达标</w:t>
            </w:r>
          </w:p>
        </w:tc>
      </w:tr>
      <w:tr w14:paraId="4696D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6" w:type="dxa"/>
            <w:vMerge w:val="restart"/>
            <w:tcBorders>
              <w:top w:val="single" w:color="auto" w:sz="4" w:space="0"/>
              <w:right w:val="single" w:color="auto" w:sz="4" w:space="0"/>
            </w:tcBorders>
            <w:noWrap w:val="0"/>
            <w:vAlign w:val="center"/>
          </w:tcPr>
          <w:p w14:paraId="78B8C16B">
            <w:pPr>
              <w:snapToGrid w:val="0"/>
              <w:ind w:left="-56" w:leftChars="-2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厂界西侧外1m处 N3</w:t>
            </w:r>
          </w:p>
        </w:tc>
        <w:tc>
          <w:tcPr>
            <w:tcW w:w="1338" w:type="dxa"/>
            <w:tcBorders>
              <w:top w:val="single" w:color="auto" w:sz="4" w:space="0"/>
              <w:right w:val="single" w:color="auto" w:sz="4" w:space="0"/>
            </w:tcBorders>
            <w:noWrap w:val="0"/>
            <w:vAlign w:val="center"/>
          </w:tcPr>
          <w:p w14:paraId="2A3BCBD3">
            <w:pPr>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昼间</w:t>
            </w:r>
          </w:p>
        </w:tc>
        <w:tc>
          <w:tcPr>
            <w:tcW w:w="1443" w:type="dxa"/>
            <w:tcBorders>
              <w:left w:val="single" w:color="auto" w:sz="4" w:space="0"/>
            </w:tcBorders>
            <w:noWrap w:val="0"/>
            <w:vAlign w:val="center"/>
          </w:tcPr>
          <w:p w14:paraId="725ED3F5">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50.2</w:t>
            </w:r>
          </w:p>
        </w:tc>
        <w:tc>
          <w:tcPr>
            <w:tcW w:w="1650" w:type="dxa"/>
            <w:tcBorders>
              <w:left w:val="single" w:color="auto" w:sz="4" w:space="0"/>
            </w:tcBorders>
            <w:noWrap w:val="0"/>
            <w:vAlign w:val="center"/>
          </w:tcPr>
          <w:p w14:paraId="2F56B39D">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50.2</w:t>
            </w:r>
          </w:p>
        </w:tc>
        <w:tc>
          <w:tcPr>
            <w:tcW w:w="1377" w:type="dxa"/>
            <w:tcBorders>
              <w:left w:val="single" w:color="auto" w:sz="4" w:space="0"/>
            </w:tcBorders>
            <w:noWrap w:val="0"/>
            <w:vAlign w:val="center"/>
          </w:tcPr>
          <w:p w14:paraId="14C81A36">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65</w:t>
            </w:r>
          </w:p>
        </w:tc>
        <w:tc>
          <w:tcPr>
            <w:tcW w:w="1334" w:type="dxa"/>
            <w:tcBorders>
              <w:left w:val="single" w:color="auto" w:sz="4" w:space="0"/>
            </w:tcBorders>
            <w:noWrap w:val="0"/>
            <w:vAlign w:val="center"/>
          </w:tcPr>
          <w:p w14:paraId="4500AE6E">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达标</w:t>
            </w:r>
          </w:p>
        </w:tc>
      </w:tr>
      <w:tr w14:paraId="5B620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6" w:type="dxa"/>
            <w:vMerge w:val="continue"/>
            <w:tcBorders>
              <w:bottom w:val="single" w:color="auto" w:sz="4" w:space="0"/>
              <w:right w:val="single" w:color="auto" w:sz="4" w:space="0"/>
            </w:tcBorders>
            <w:noWrap w:val="0"/>
            <w:vAlign w:val="center"/>
          </w:tcPr>
          <w:p w14:paraId="5C4604F3">
            <w:pPr>
              <w:snapToGrid w:val="0"/>
              <w:ind w:left="-56" w:leftChars="-20"/>
              <w:jc w:val="center"/>
              <w:rPr>
                <w:rFonts w:hint="default" w:ascii="Times New Roman" w:hAnsi="Times New Roman" w:eastAsia="宋体" w:cs="Times New Roman"/>
                <w:color w:val="auto"/>
                <w:sz w:val="21"/>
                <w:szCs w:val="21"/>
                <w:highlight w:val="none"/>
                <w:u w:val="none" w:color="auto"/>
              </w:rPr>
            </w:pPr>
          </w:p>
        </w:tc>
        <w:tc>
          <w:tcPr>
            <w:tcW w:w="1338" w:type="dxa"/>
            <w:tcBorders>
              <w:bottom w:val="single" w:color="auto" w:sz="4" w:space="0"/>
              <w:right w:val="single" w:color="auto" w:sz="4" w:space="0"/>
            </w:tcBorders>
            <w:noWrap w:val="0"/>
            <w:vAlign w:val="center"/>
          </w:tcPr>
          <w:p w14:paraId="7C7325C7">
            <w:pPr>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夜间</w:t>
            </w:r>
          </w:p>
        </w:tc>
        <w:tc>
          <w:tcPr>
            <w:tcW w:w="1443" w:type="dxa"/>
            <w:tcBorders>
              <w:left w:val="single" w:color="auto" w:sz="4" w:space="0"/>
            </w:tcBorders>
            <w:noWrap w:val="0"/>
            <w:vAlign w:val="center"/>
          </w:tcPr>
          <w:p w14:paraId="5B9FA146">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40.5</w:t>
            </w:r>
          </w:p>
        </w:tc>
        <w:tc>
          <w:tcPr>
            <w:tcW w:w="1650" w:type="dxa"/>
            <w:tcBorders>
              <w:left w:val="single" w:color="auto" w:sz="4" w:space="0"/>
            </w:tcBorders>
            <w:noWrap w:val="0"/>
            <w:vAlign w:val="center"/>
          </w:tcPr>
          <w:p w14:paraId="34F9E0C2">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41.1</w:t>
            </w:r>
          </w:p>
        </w:tc>
        <w:tc>
          <w:tcPr>
            <w:tcW w:w="1377" w:type="dxa"/>
            <w:tcBorders>
              <w:left w:val="single" w:color="auto" w:sz="4" w:space="0"/>
            </w:tcBorders>
            <w:noWrap w:val="0"/>
            <w:vAlign w:val="center"/>
          </w:tcPr>
          <w:p w14:paraId="599C0D1A">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SA"/>
              </w:rPr>
              <w:t>55</w:t>
            </w:r>
          </w:p>
        </w:tc>
        <w:tc>
          <w:tcPr>
            <w:tcW w:w="1334" w:type="dxa"/>
            <w:tcBorders>
              <w:left w:val="single" w:color="auto" w:sz="4" w:space="0"/>
            </w:tcBorders>
            <w:noWrap w:val="0"/>
            <w:vAlign w:val="center"/>
          </w:tcPr>
          <w:p w14:paraId="5BBF841E">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eastAsia="zh-CN"/>
              </w:rPr>
              <w:t>达标</w:t>
            </w:r>
          </w:p>
        </w:tc>
      </w:tr>
      <w:tr w14:paraId="2CFA7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6" w:type="dxa"/>
            <w:vMerge w:val="restart"/>
            <w:tcBorders>
              <w:top w:val="single" w:color="auto" w:sz="4" w:space="0"/>
              <w:right w:val="single" w:color="auto" w:sz="4" w:space="0"/>
            </w:tcBorders>
            <w:noWrap w:val="0"/>
            <w:vAlign w:val="center"/>
          </w:tcPr>
          <w:p w14:paraId="4806B187">
            <w:pPr>
              <w:snapToGrid w:val="0"/>
              <w:ind w:left="-56" w:leftChars="-2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厂界北侧外1m处 N4</w:t>
            </w:r>
          </w:p>
        </w:tc>
        <w:tc>
          <w:tcPr>
            <w:tcW w:w="1338" w:type="dxa"/>
            <w:tcBorders>
              <w:top w:val="single" w:color="auto" w:sz="4" w:space="0"/>
              <w:right w:val="single" w:color="auto" w:sz="4" w:space="0"/>
            </w:tcBorders>
            <w:noWrap w:val="0"/>
            <w:vAlign w:val="center"/>
          </w:tcPr>
          <w:p w14:paraId="09204627">
            <w:pPr>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昼间</w:t>
            </w:r>
          </w:p>
        </w:tc>
        <w:tc>
          <w:tcPr>
            <w:tcW w:w="1443" w:type="dxa"/>
            <w:tcBorders>
              <w:left w:val="single" w:color="auto" w:sz="4" w:space="0"/>
            </w:tcBorders>
            <w:noWrap w:val="0"/>
            <w:vAlign w:val="center"/>
          </w:tcPr>
          <w:p w14:paraId="39D9003E">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51.7</w:t>
            </w:r>
          </w:p>
        </w:tc>
        <w:tc>
          <w:tcPr>
            <w:tcW w:w="1650" w:type="dxa"/>
            <w:tcBorders>
              <w:left w:val="single" w:color="auto" w:sz="4" w:space="0"/>
            </w:tcBorders>
            <w:noWrap w:val="0"/>
            <w:vAlign w:val="center"/>
          </w:tcPr>
          <w:p w14:paraId="77C2F584">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50.3</w:t>
            </w:r>
          </w:p>
        </w:tc>
        <w:tc>
          <w:tcPr>
            <w:tcW w:w="1377" w:type="dxa"/>
            <w:tcBorders>
              <w:left w:val="single" w:color="auto" w:sz="4" w:space="0"/>
            </w:tcBorders>
            <w:noWrap w:val="0"/>
            <w:vAlign w:val="center"/>
          </w:tcPr>
          <w:p w14:paraId="6868A893">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70</w:t>
            </w:r>
          </w:p>
        </w:tc>
        <w:tc>
          <w:tcPr>
            <w:tcW w:w="1334" w:type="dxa"/>
            <w:tcBorders>
              <w:left w:val="single" w:color="auto" w:sz="4" w:space="0"/>
            </w:tcBorders>
            <w:noWrap w:val="0"/>
            <w:vAlign w:val="center"/>
          </w:tcPr>
          <w:p w14:paraId="0FDAA9F3">
            <w:pPr>
              <w:widowControl/>
              <w:spacing w:before="31" w:beforeLines="10" w:after="31" w:afterLines="1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达标</w:t>
            </w:r>
          </w:p>
        </w:tc>
      </w:tr>
      <w:tr w14:paraId="08DDC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6" w:type="dxa"/>
            <w:vMerge w:val="continue"/>
            <w:tcBorders>
              <w:right w:val="single" w:color="auto" w:sz="4" w:space="0"/>
            </w:tcBorders>
            <w:noWrap w:val="0"/>
            <w:vAlign w:val="center"/>
          </w:tcPr>
          <w:p w14:paraId="08F35334">
            <w:pPr>
              <w:snapToGrid w:val="0"/>
              <w:ind w:left="-56" w:leftChars="-20"/>
              <w:jc w:val="center"/>
              <w:rPr>
                <w:rFonts w:hint="default" w:ascii="Times New Roman" w:hAnsi="Times New Roman" w:eastAsia="宋体" w:cs="Times New Roman"/>
                <w:color w:val="auto"/>
                <w:sz w:val="21"/>
                <w:szCs w:val="21"/>
                <w:highlight w:val="none"/>
                <w:u w:val="none" w:color="auto"/>
              </w:rPr>
            </w:pPr>
          </w:p>
        </w:tc>
        <w:tc>
          <w:tcPr>
            <w:tcW w:w="1338" w:type="dxa"/>
            <w:tcBorders>
              <w:right w:val="single" w:color="auto" w:sz="4" w:space="0"/>
            </w:tcBorders>
            <w:noWrap w:val="0"/>
            <w:vAlign w:val="center"/>
          </w:tcPr>
          <w:p w14:paraId="201D3830">
            <w:pPr>
              <w:snapToGrid w:val="0"/>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夜间</w:t>
            </w:r>
          </w:p>
        </w:tc>
        <w:tc>
          <w:tcPr>
            <w:tcW w:w="1443" w:type="dxa"/>
            <w:tcBorders>
              <w:left w:val="single" w:color="auto" w:sz="4" w:space="0"/>
            </w:tcBorders>
            <w:noWrap w:val="0"/>
            <w:vAlign w:val="center"/>
          </w:tcPr>
          <w:p w14:paraId="6DDBB59B">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40.8</w:t>
            </w:r>
          </w:p>
        </w:tc>
        <w:tc>
          <w:tcPr>
            <w:tcW w:w="1650" w:type="dxa"/>
            <w:tcBorders>
              <w:left w:val="single" w:color="auto" w:sz="4" w:space="0"/>
            </w:tcBorders>
            <w:noWrap w:val="0"/>
            <w:vAlign w:val="center"/>
          </w:tcPr>
          <w:p w14:paraId="3F5BD52C">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40.2</w:t>
            </w:r>
          </w:p>
        </w:tc>
        <w:tc>
          <w:tcPr>
            <w:tcW w:w="1377" w:type="dxa"/>
            <w:tcBorders>
              <w:left w:val="single" w:color="auto" w:sz="4" w:space="0"/>
            </w:tcBorders>
            <w:noWrap w:val="0"/>
            <w:vAlign w:val="center"/>
          </w:tcPr>
          <w:p w14:paraId="31C069D7">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SA"/>
              </w:rPr>
              <w:t>55</w:t>
            </w:r>
          </w:p>
        </w:tc>
        <w:tc>
          <w:tcPr>
            <w:tcW w:w="1334" w:type="dxa"/>
            <w:tcBorders>
              <w:left w:val="single" w:color="auto" w:sz="4" w:space="0"/>
            </w:tcBorders>
            <w:noWrap w:val="0"/>
            <w:vAlign w:val="center"/>
          </w:tcPr>
          <w:p w14:paraId="4F623640">
            <w:pPr>
              <w:widowControl/>
              <w:spacing w:before="31" w:beforeLines="10" w:after="31" w:afterLines="10"/>
              <w:jc w:val="center"/>
              <w:textAlignment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eastAsia="zh-CN"/>
              </w:rPr>
              <w:t>达标</w:t>
            </w:r>
          </w:p>
        </w:tc>
      </w:tr>
    </w:tbl>
    <w:p w14:paraId="0B0E04E1">
      <w:pPr>
        <w:spacing w:line="46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由监测结果可见，监测结果可达到《声环境质量标准》（GB3096-2008）3 类和4a类标准。</w:t>
      </w:r>
    </w:p>
    <w:p w14:paraId="4AAA0148">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70" w:name="_Toc7496"/>
      <w:r>
        <w:rPr>
          <w:rFonts w:hint="default" w:ascii="Times New Roman" w:hAnsi="Times New Roman" w:eastAsia="宋体" w:cs="Times New Roman"/>
          <w:color w:val="auto"/>
          <w:sz w:val="28"/>
          <w:szCs w:val="28"/>
          <w:highlight w:val="none"/>
          <w:u w:val="none" w:color="auto"/>
          <w:lang w:val="en-US" w:eastAsia="zh-CN"/>
        </w:rPr>
        <w:t>6.5土壤环境质量现状调查与评价</w:t>
      </w:r>
      <w:bookmarkEnd w:id="70"/>
    </w:p>
    <w:p w14:paraId="3D334F7A">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湖南桓泓检测技术有限公司已于</w:t>
      </w:r>
      <w:r>
        <w:rPr>
          <w:rFonts w:hint="default" w:ascii="Times New Roman" w:hAnsi="Times New Roman" w:eastAsia="宋体" w:cs="Times New Roman"/>
          <w:color w:val="auto"/>
          <w:kern w:val="2"/>
          <w:sz w:val="24"/>
          <w:szCs w:val="24"/>
          <w:highlight w:val="none"/>
          <w:u w:val="none" w:color="auto"/>
          <w:lang w:val="en-US" w:eastAsia="zh-CN" w:bidi="ar-SA"/>
        </w:rPr>
        <w:t>2022年3</w:t>
      </w:r>
      <w:r>
        <w:rPr>
          <w:rFonts w:hint="default" w:ascii="Times New Roman" w:hAnsi="Times New Roman" w:eastAsia="宋体" w:cs="Times New Roman"/>
          <w:color w:val="auto"/>
          <w:sz w:val="24"/>
          <w:szCs w:val="24"/>
          <w:highlight w:val="none"/>
          <w:u w:val="none" w:color="auto"/>
          <w:lang w:val="en-US" w:eastAsia="zh-CN"/>
        </w:rPr>
        <w:t>月23日对项目周边土壤环境质量进行了现状监测，监测情况如下：</w:t>
      </w:r>
    </w:p>
    <w:p w14:paraId="272C3B8F">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（1）监测点位</w:t>
      </w:r>
    </w:p>
    <w:p w14:paraId="1A3C500E">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共设置11个监测点位：厂址范围内设置7个监测点位，其中5个点位设置于生产区取柱状样，2个点位设置在办公区表层样；厂址外设置4个监测点，厂址外东西南北各设置一个监测点，均取表层样。</w:t>
      </w:r>
    </w:p>
    <w:p w14:paraId="177583F7">
      <w:pPr>
        <w:pStyle w:val="13"/>
        <w:jc w:val="center"/>
        <w:rPr>
          <w:rFonts w:hint="default" w:ascii="Times New Roman" w:hAnsi="Times New Roman" w:eastAsia="宋体" w:cs="Times New Roman"/>
          <w:b/>
          <w:bCs/>
          <w:i w:val="0"/>
          <w:iCs w:val="0"/>
          <w:color w:val="auto"/>
          <w:sz w:val="21"/>
          <w:szCs w:val="21"/>
          <w:highlight w:val="none"/>
          <w:u w:val="none" w:color="auto"/>
          <w:lang w:eastAsia="zh-CN"/>
        </w:rPr>
      </w:pPr>
    </w:p>
    <w:p w14:paraId="70EAE926">
      <w:pPr>
        <w:pStyle w:val="13"/>
        <w:jc w:val="center"/>
        <w:rPr>
          <w:rFonts w:hint="default" w:ascii="Times New Roman" w:hAnsi="Times New Roman" w:eastAsia="宋体" w:cs="Times New Roman"/>
          <w:b/>
          <w:bCs/>
          <w:i w:val="0"/>
          <w:iCs w:val="0"/>
          <w:color w:val="auto"/>
          <w:sz w:val="21"/>
          <w:szCs w:val="21"/>
          <w:highlight w:val="none"/>
          <w:u w:val="none" w:color="auto"/>
          <w:lang w:eastAsia="zh-CN"/>
        </w:rPr>
      </w:pPr>
      <w:r>
        <w:rPr>
          <w:rFonts w:hint="default" w:ascii="Times New Roman" w:hAnsi="Times New Roman" w:eastAsia="宋体" w:cs="Times New Roman"/>
          <w:b/>
          <w:bCs/>
          <w:i w:val="0"/>
          <w:iCs w:val="0"/>
          <w:color w:val="auto"/>
          <w:sz w:val="21"/>
          <w:szCs w:val="21"/>
          <w:highlight w:val="none"/>
          <w:u w:val="none" w:color="auto"/>
          <w:lang w:eastAsia="zh-CN"/>
        </w:rPr>
        <w:t>表</w:t>
      </w:r>
      <w:r>
        <w:rPr>
          <w:rFonts w:hint="default" w:ascii="Times New Roman" w:hAnsi="Times New Roman" w:eastAsia="宋体" w:cs="Times New Roman"/>
          <w:b/>
          <w:bCs/>
          <w:i w:val="0"/>
          <w:iCs w:val="0"/>
          <w:color w:val="auto"/>
          <w:sz w:val="21"/>
          <w:szCs w:val="21"/>
          <w:highlight w:val="none"/>
          <w:u w:val="none" w:color="auto"/>
          <w:lang w:val="en-US" w:eastAsia="zh-CN"/>
        </w:rPr>
        <w:t>6</w:t>
      </w:r>
      <w:r>
        <w:rPr>
          <w:rFonts w:hint="default" w:ascii="Times New Roman" w:hAnsi="Times New Roman" w:eastAsia="宋体" w:cs="Times New Roman"/>
          <w:b/>
          <w:bCs/>
          <w:i w:val="0"/>
          <w:iCs w:val="0"/>
          <w:color w:val="auto"/>
          <w:sz w:val="21"/>
          <w:szCs w:val="21"/>
          <w:highlight w:val="none"/>
          <w:u w:val="none" w:color="auto"/>
          <w:lang w:eastAsia="zh-CN"/>
        </w:rPr>
        <w:t>.5-</w:t>
      </w:r>
      <w:r>
        <w:rPr>
          <w:rFonts w:hint="default" w:ascii="Times New Roman" w:hAnsi="Times New Roman" w:eastAsia="宋体" w:cs="Times New Roman"/>
          <w:b/>
          <w:bCs/>
          <w:i w:val="0"/>
          <w:iCs w:val="0"/>
          <w:color w:val="auto"/>
          <w:sz w:val="21"/>
          <w:szCs w:val="21"/>
          <w:highlight w:val="none"/>
          <w:u w:val="none" w:color="auto"/>
          <w:lang w:val="en-US" w:eastAsia="zh-CN"/>
        </w:rPr>
        <w:t>1</w:t>
      </w:r>
      <w:r>
        <w:rPr>
          <w:rFonts w:hint="default" w:ascii="Times New Roman" w:hAnsi="Times New Roman" w:eastAsia="宋体" w:cs="Times New Roman"/>
          <w:b/>
          <w:bCs/>
          <w:i w:val="0"/>
          <w:iCs w:val="0"/>
          <w:color w:val="auto"/>
          <w:sz w:val="21"/>
          <w:szCs w:val="21"/>
          <w:highlight w:val="none"/>
          <w:u w:val="none" w:color="auto"/>
          <w:lang w:eastAsia="zh-CN"/>
        </w:rPr>
        <w:t>土壤环境现状监测布点</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691"/>
        <w:gridCol w:w="4252"/>
        <w:gridCol w:w="901"/>
      </w:tblGrid>
      <w:tr w14:paraId="5F7DB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noWrap w:val="0"/>
            <w:vAlign w:val="center"/>
          </w:tcPr>
          <w:p w14:paraId="058AF716">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579" w:type="pct"/>
            <w:noWrap w:val="0"/>
            <w:vAlign w:val="center"/>
          </w:tcPr>
          <w:p w14:paraId="16D84AFF">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监测点位</w:t>
            </w:r>
          </w:p>
        </w:tc>
        <w:tc>
          <w:tcPr>
            <w:tcW w:w="2495" w:type="pct"/>
            <w:noWrap w:val="0"/>
            <w:vAlign w:val="center"/>
          </w:tcPr>
          <w:p w14:paraId="7B7D8585">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监测项目</w:t>
            </w:r>
          </w:p>
        </w:tc>
        <w:tc>
          <w:tcPr>
            <w:tcW w:w="528" w:type="pct"/>
            <w:noWrap w:val="0"/>
            <w:vAlign w:val="center"/>
          </w:tcPr>
          <w:p w14:paraId="36B6A778">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备注</w:t>
            </w:r>
          </w:p>
        </w:tc>
      </w:tr>
      <w:tr w14:paraId="11E18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71886B77">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T1</w:t>
            </w:r>
          </w:p>
        </w:tc>
        <w:tc>
          <w:tcPr>
            <w:tcW w:w="1579" w:type="pct"/>
            <w:shd w:val="clear" w:color="auto" w:fill="auto"/>
            <w:noWrap w:val="0"/>
            <w:vAlign w:val="center"/>
          </w:tcPr>
          <w:p w14:paraId="05C9FFB2">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厂区内生产区东部土壤</w:t>
            </w:r>
          </w:p>
        </w:tc>
        <w:tc>
          <w:tcPr>
            <w:tcW w:w="2495" w:type="pct"/>
            <w:vMerge w:val="restart"/>
            <w:noWrap w:val="0"/>
            <w:vAlign w:val="center"/>
          </w:tcPr>
          <w:p w14:paraId="6CDEAD9D">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值、砷、镉、六价铬、铜、铅、锌、汞、镍</w:t>
            </w:r>
          </w:p>
        </w:tc>
        <w:tc>
          <w:tcPr>
            <w:tcW w:w="528" w:type="pct"/>
            <w:vMerge w:val="restart"/>
            <w:noWrap w:val="0"/>
            <w:vAlign w:val="center"/>
          </w:tcPr>
          <w:p w14:paraId="312AC807">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柱状样</w:t>
            </w:r>
          </w:p>
        </w:tc>
      </w:tr>
      <w:tr w14:paraId="228C1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0C4E3975">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T2</w:t>
            </w:r>
          </w:p>
        </w:tc>
        <w:tc>
          <w:tcPr>
            <w:tcW w:w="1579" w:type="pct"/>
            <w:shd w:val="clear" w:color="auto" w:fill="auto"/>
            <w:noWrap w:val="0"/>
            <w:vAlign w:val="center"/>
          </w:tcPr>
          <w:p w14:paraId="11CBA0BA">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厂区内生产区南部土壤</w:t>
            </w:r>
          </w:p>
        </w:tc>
        <w:tc>
          <w:tcPr>
            <w:tcW w:w="2495" w:type="pct"/>
            <w:vMerge w:val="continue"/>
            <w:noWrap w:val="0"/>
            <w:vAlign w:val="center"/>
          </w:tcPr>
          <w:p w14:paraId="7A022477">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p>
        </w:tc>
        <w:tc>
          <w:tcPr>
            <w:tcW w:w="528" w:type="pct"/>
            <w:vMerge w:val="continue"/>
            <w:noWrap w:val="0"/>
            <w:vAlign w:val="center"/>
          </w:tcPr>
          <w:p w14:paraId="7F1C3696">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p>
        </w:tc>
      </w:tr>
      <w:tr w14:paraId="22FA7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07A208E4">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T3</w:t>
            </w:r>
          </w:p>
        </w:tc>
        <w:tc>
          <w:tcPr>
            <w:tcW w:w="1579" w:type="pct"/>
            <w:shd w:val="clear" w:color="auto" w:fill="auto"/>
            <w:noWrap w:val="0"/>
            <w:vAlign w:val="center"/>
          </w:tcPr>
          <w:p w14:paraId="30AE3738">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厂区内生产区西部土壤</w:t>
            </w:r>
          </w:p>
        </w:tc>
        <w:tc>
          <w:tcPr>
            <w:tcW w:w="2495" w:type="pct"/>
            <w:vMerge w:val="continue"/>
            <w:noWrap w:val="0"/>
            <w:vAlign w:val="center"/>
          </w:tcPr>
          <w:p w14:paraId="5936B91A">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p>
        </w:tc>
        <w:tc>
          <w:tcPr>
            <w:tcW w:w="528" w:type="pct"/>
            <w:vMerge w:val="continue"/>
            <w:noWrap w:val="0"/>
            <w:vAlign w:val="center"/>
          </w:tcPr>
          <w:p w14:paraId="1244A296">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p>
        </w:tc>
      </w:tr>
      <w:tr w14:paraId="1891C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5071ECD1">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T4</w:t>
            </w:r>
          </w:p>
        </w:tc>
        <w:tc>
          <w:tcPr>
            <w:tcW w:w="1579" w:type="pct"/>
            <w:shd w:val="clear" w:color="auto" w:fill="auto"/>
            <w:noWrap w:val="0"/>
            <w:vAlign w:val="center"/>
          </w:tcPr>
          <w:p w14:paraId="5D26EDBA">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厂区内生产区北部土壤</w:t>
            </w:r>
          </w:p>
        </w:tc>
        <w:tc>
          <w:tcPr>
            <w:tcW w:w="2495" w:type="pct"/>
            <w:vMerge w:val="continue"/>
            <w:noWrap w:val="0"/>
            <w:vAlign w:val="center"/>
          </w:tcPr>
          <w:p w14:paraId="42B6C8B4">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p>
        </w:tc>
        <w:tc>
          <w:tcPr>
            <w:tcW w:w="528" w:type="pct"/>
            <w:vMerge w:val="continue"/>
            <w:noWrap w:val="0"/>
            <w:vAlign w:val="center"/>
          </w:tcPr>
          <w:p w14:paraId="2825D69C">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p>
        </w:tc>
      </w:tr>
      <w:tr w14:paraId="2F24F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05E55455">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T5</w:t>
            </w:r>
          </w:p>
        </w:tc>
        <w:tc>
          <w:tcPr>
            <w:tcW w:w="1579" w:type="pct"/>
            <w:shd w:val="clear" w:color="auto" w:fill="auto"/>
            <w:noWrap w:val="0"/>
            <w:vAlign w:val="center"/>
          </w:tcPr>
          <w:p w14:paraId="49C01ADF">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厂区内生产区中部土壤</w:t>
            </w:r>
          </w:p>
        </w:tc>
        <w:tc>
          <w:tcPr>
            <w:tcW w:w="2495" w:type="pct"/>
            <w:vMerge w:val="continue"/>
            <w:noWrap w:val="0"/>
            <w:vAlign w:val="center"/>
          </w:tcPr>
          <w:p w14:paraId="27D8EFAE">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p>
        </w:tc>
        <w:tc>
          <w:tcPr>
            <w:tcW w:w="528" w:type="pct"/>
            <w:vMerge w:val="continue"/>
            <w:noWrap w:val="0"/>
            <w:vAlign w:val="center"/>
          </w:tcPr>
          <w:p w14:paraId="11597E5C">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p>
        </w:tc>
      </w:tr>
      <w:tr w14:paraId="46673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0589ABC1">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T6</w:t>
            </w:r>
          </w:p>
        </w:tc>
        <w:tc>
          <w:tcPr>
            <w:tcW w:w="1579" w:type="pct"/>
            <w:shd w:val="clear" w:color="auto" w:fill="auto"/>
            <w:noWrap w:val="0"/>
            <w:vAlign w:val="center"/>
          </w:tcPr>
          <w:p w14:paraId="7D1F72E7">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厂区内办公区土壤</w:t>
            </w:r>
          </w:p>
        </w:tc>
        <w:tc>
          <w:tcPr>
            <w:tcW w:w="2495" w:type="pct"/>
            <w:noWrap w:val="0"/>
            <w:vAlign w:val="center"/>
          </w:tcPr>
          <w:p w14:paraId="7D15A2E8">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《土壤环境质量 建设用地土壤污染风险管控标准》表1中45项基本项目、</w:t>
            </w: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值</w:t>
            </w:r>
          </w:p>
        </w:tc>
        <w:tc>
          <w:tcPr>
            <w:tcW w:w="528" w:type="pct"/>
            <w:vMerge w:val="restart"/>
            <w:noWrap w:val="0"/>
            <w:vAlign w:val="center"/>
          </w:tcPr>
          <w:p w14:paraId="0B6CB94C">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表层样</w:t>
            </w:r>
          </w:p>
        </w:tc>
      </w:tr>
      <w:tr w14:paraId="1CC36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4BEBF643">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T7</w:t>
            </w:r>
          </w:p>
        </w:tc>
        <w:tc>
          <w:tcPr>
            <w:tcW w:w="1579" w:type="pct"/>
            <w:shd w:val="clear" w:color="auto" w:fill="auto"/>
            <w:noWrap w:val="0"/>
            <w:vAlign w:val="center"/>
          </w:tcPr>
          <w:p w14:paraId="570C8EA8">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厂区内办公区土壤</w:t>
            </w:r>
          </w:p>
        </w:tc>
        <w:tc>
          <w:tcPr>
            <w:tcW w:w="2495" w:type="pct"/>
            <w:vMerge w:val="restart"/>
            <w:noWrap w:val="0"/>
            <w:vAlign w:val="center"/>
          </w:tcPr>
          <w:p w14:paraId="040DD81C">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pH</w:t>
            </w:r>
            <w:r>
              <w:rPr>
                <w:rFonts w:hint="default" w:ascii="Times New Roman" w:hAnsi="Times New Roman" w:eastAsia="宋体" w:cs="Times New Roman"/>
                <w:color w:val="auto"/>
                <w:sz w:val="21"/>
                <w:szCs w:val="21"/>
                <w:highlight w:val="none"/>
                <w:u w:val="none" w:color="auto"/>
              </w:rPr>
              <w:t>值、砷、镉、六价铬、铜、铅、锌、汞、镍</w:t>
            </w:r>
          </w:p>
        </w:tc>
        <w:tc>
          <w:tcPr>
            <w:tcW w:w="528" w:type="pct"/>
            <w:vMerge w:val="continue"/>
            <w:noWrap w:val="0"/>
            <w:vAlign w:val="center"/>
          </w:tcPr>
          <w:p w14:paraId="7D2975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color w:val="auto"/>
                <w:sz w:val="21"/>
                <w:szCs w:val="21"/>
                <w:highlight w:val="none"/>
                <w:u w:val="none" w:color="auto"/>
              </w:rPr>
            </w:pPr>
          </w:p>
        </w:tc>
      </w:tr>
      <w:tr w14:paraId="37682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6500B7F9">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T8</w:t>
            </w:r>
          </w:p>
        </w:tc>
        <w:tc>
          <w:tcPr>
            <w:tcW w:w="1579" w:type="pct"/>
            <w:shd w:val="clear" w:color="auto" w:fill="auto"/>
            <w:noWrap w:val="0"/>
            <w:vAlign w:val="center"/>
          </w:tcPr>
          <w:p w14:paraId="708D5862">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厂区外东侧土壤</w:t>
            </w:r>
          </w:p>
        </w:tc>
        <w:tc>
          <w:tcPr>
            <w:tcW w:w="2495" w:type="pct"/>
            <w:vMerge w:val="continue"/>
            <w:noWrap w:val="0"/>
            <w:vAlign w:val="center"/>
          </w:tcPr>
          <w:p w14:paraId="478C61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color w:val="auto"/>
                <w:kern w:val="0"/>
                <w:sz w:val="21"/>
                <w:szCs w:val="21"/>
                <w:highlight w:val="none"/>
                <w:u w:val="none" w:color="auto"/>
              </w:rPr>
            </w:pPr>
          </w:p>
        </w:tc>
        <w:tc>
          <w:tcPr>
            <w:tcW w:w="528" w:type="pct"/>
            <w:vMerge w:val="continue"/>
            <w:noWrap w:val="0"/>
            <w:vAlign w:val="center"/>
          </w:tcPr>
          <w:p w14:paraId="74D78F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color w:val="auto"/>
                <w:sz w:val="21"/>
                <w:szCs w:val="21"/>
                <w:highlight w:val="none"/>
                <w:u w:val="none" w:color="auto"/>
              </w:rPr>
            </w:pPr>
          </w:p>
        </w:tc>
      </w:tr>
      <w:tr w14:paraId="58525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69B7EF83">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T9</w:t>
            </w:r>
          </w:p>
        </w:tc>
        <w:tc>
          <w:tcPr>
            <w:tcW w:w="1579" w:type="pct"/>
            <w:shd w:val="clear" w:color="auto" w:fill="auto"/>
            <w:noWrap w:val="0"/>
            <w:vAlign w:val="center"/>
          </w:tcPr>
          <w:p w14:paraId="06D83610">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厂区外南侧土壤</w:t>
            </w:r>
          </w:p>
        </w:tc>
        <w:tc>
          <w:tcPr>
            <w:tcW w:w="2495" w:type="pct"/>
            <w:vMerge w:val="continue"/>
            <w:noWrap w:val="0"/>
            <w:vAlign w:val="center"/>
          </w:tcPr>
          <w:p w14:paraId="1BA330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color w:val="auto"/>
                <w:kern w:val="0"/>
                <w:sz w:val="21"/>
                <w:szCs w:val="21"/>
                <w:highlight w:val="none"/>
                <w:u w:val="none" w:color="auto"/>
              </w:rPr>
            </w:pPr>
          </w:p>
        </w:tc>
        <w:tc>
          <w:tcPr>
            <w:tcW w:w="528" w:type="pct"/>
            <w:vMerge w:val="continue"/>
            <w:noWrap w:val="0"/>
            <w:vAlign w:val="center"/>
          </w:tcPr>
          <w:p w14:paraId="2006DA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cs="Times New Roman"/>
                <w:color w:val="auto"/>
                <w:sz w:val="21"/>
                <w:szCs w:val="21"/>
                <w:highlight w:val="none"/>
                <w:u w:val="none" w:color="auto"/>
              </w:rPr>
            </w:pPr>
          </w:p>
        </w:tc>
      </w:tr>
      <w:tr w14:paraId="44BC5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1985B6E3">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T10</w:t>
            </w:r>
          </w:p>
        </w:tc>
        <w:tc>
          <w:tcPr>
            <w:tcW w:w="1579" w:type="pct"/>
            <w:shd w:val="clear" w:color="auto" w:fill="auto"/>
            <w:noWrap w:val="0"/>
            <w:vAlign w:val="center"/>
          </w:tcPr>
          <w:p w14:paraId="2FFF3401">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厂区外西侧土壤</w:t>
            </w:r>
          </w:p>
        </w:tc>
        <w:tc>
          <w:tcPr>
            <w:tcW w:w="2495" w:type="pct"/>
            <w:vMerge w:val="continue"/>
            <w:noWrap w:val="0"/>
            <w:vAlign w:val="center"/>
          </w:tcPr>
          <w:p w14:paraId="57FB64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u w:val="none" w:color="auto"/>
              </w:rPr>
            </w:pPr>
          </w:p>
        </w:tc>
        <w:tc>
          <w:tcPr>
            <w:tcW w:w="528" w:type="pct"/>
            <w:vMerge w:val="continue"/>
            <w:noWrap w:val="0"/>
            <w:vAlign w:val="center"/>
          </w:tcPr>
          <w:p w14:paraId="79FDE6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u w:val="none" w:color="auto"/>
              </w:rPr>
            </w:pPr>
          </w:p>
        </w:tc>
      </w:tr>
      <w:tr w14:paraId="2BD16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shd w:val="clear" w:color="auto" w:fill="auto"/>
            <w:noWrap w:val="0"/>
            <w:vAlign w:val="center"/>
          </w:tcPr>
          <w:p w14:paraId="53105B39">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T11</w:t>
            </w:r>
          </w:p>
        </w:tc>
        <w:tc>
          <w:tcPr>
            <w:tcW w:w="1579" w:type="pct"/>
            <w:shd w:val="clear" w:color="auto" w:fill="auto"/>
            <w:noWrap w:val="0"/>
            <w:vAlign w:val="center"/>
          </w:tcPr>
          <w:p w14:paraId="4074930C">
            <w:pPr>
              <w:keepNext w:val="0"/>
              <w:keepLines w:val="0"/>
              <w:pageBreakBefore w:val="0"/>
              <w:widowControl w:val="0"/>
              <w:kinsoku/>
              <w:wordWrap/>
              <w:overflowPunct/>
              <w:topLinePunct w:val="0"/>
              <w:autoSpaceDE/>
              <w:autoSpaceDN/>
              <w:bidi w:val="0"/>
              <w:snapToGrid w:val="0"/>
              <w:spacing w:line="240" w:lineRule="auto"/>
              <w:ind w:left="0" w:leftChars="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厂区外北侧土壤</w:t>
            </w:r>
          </w:p>
        </w:tc>
        <w:tc>
          <w:tcPr>
            <w:tcW w:w="2495" w:type="pct"/>
            <w:vMerge w:val="continue"/>
            <w:noWrap w:val="0"/>
            <w:vAlign w:val="center"/>
          </w:tcPr>
          <w:p w14:paraId="05EAD4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u w:val="none" w:color="auto"/>
              </w:rPr>
            </w:pPr>
          </w:p>
        </w:tc>
        <w:tc>
          <w:tcPr>
            <w:tcW w:w="528" w:type="pct"/>
            <w:vMerge w:val="continue"/>
            <w:noWrap w:val="0"/>
            <w:vAlign w:val="center"/>
          </w:tcPr>
          <w:p w14:paraId="6B9CAC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u w:val="none" w:color="auto"/>
              </w:rPr>
            </w:pPr>
          </w:p>
        </w:tc>
      </w:tr>
    </w:tbl>
    <w:p w14:paraId="766C43E4">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（2）监测因子</w:t>
      </w:r>
    </w:p>
    <w:p w14:paraId="5D6CA17A">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镉、砷、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芘、苯并［α］蒽、苯并［b］荧蒽、苯并［k］荧蒽、䓛、二苯并［α，h］蒽、茚并［1，2，3-cd］芘、萘，共计45。</w:t>
      </w:r>
    </w:p>
    <w:p w14:paraId="60697BA7">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（3）评价标准</w:t>
      </w:r>
    </w:p>
    <w:p w14:paraId="2FF3CFD9">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《土壤环境质量建设用地土壤污染风险管控标准》（GB 36600-2018）第二类用地筛选值。</w:t>
      </w:r>
    </w:p>
    <w:p w14:paraId="7D497268">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（4）监测结果与评价结果</w:t>
      </w:r>
    </w:p>
    <w:p w14:paraId="019FC859">
      <w:pPr>
        <w:ind w:firstLine="560"/>
        <w:rPr>
          <w:rFonts w:hint="default" w:ascii="Times New Roman" w:hAnsi="Times New Roman" w:eastAsia="宋体" w:cs="Times New Roman"/>
          <w:color w:val="auto"/>
          <w:sz w:val="24"/>
          <w:szCs w:val="24"/>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auto"/>
          <w:sz w:val="24"/>
          <w:szCs w:val="24"/>
          <w:highlight w:val="none"/>
          <w:u w:val="none" w:color="auto"/>
          <w:lang w:val="en-US" w:eastAsia="zh-CN"/>
        </w:rPr>
        <w:t>监测结果见下表。</w:t>
      </w:r>
    </w:p>
    <w:p w14:paraId="47FBB3E0">
      <w:pPr>
        <w:pStyle w:val="28"/>
        <w:jc w:val="center"/>
        <w:rPr>
          <w:rFonts w:hint="default" w:ascii="Times New Roman" w:hAnsi="Times New Roman" w:cs="Times New Roman"/>
          <w:color w:val="auto"/>
          <w:highlight w:val="none"/>
          <w:u w:val="none" w:color="auto"/>
          <w:lang w:val="en-US" w:eastAsia="zh-CN"/>
        </w:rPr>
      </w:pPr>
      <w:r>
        <w:rPr>
          <w:rFonts w:hint="default" w:ascii="Times New Roman" w:hAnsi="Times New Roman" w:eastAsia="宋体" w:cs="Times New Roman"/>
          <w:b/>
          <w:bCs/>
          <w:i w:val="0"/>
          <w:iCs w:val="0"/>
          <w:color w:val="auto"/>
          <w:sz w:val="21"/>
          <w:szCs w:val="21"/>
          <w:highlight w:val="none"/>
          <w:u w:val="none" w:color="auto"/>
          <w:lang w:eastAsia="zh-CN"/>
        </w:rPr>
        <w:t>表</w:t>
      </w:r>
      <w:r>
        <w:rPr>
          <w:rFonts w:hint="default" w:ascii="Times New Roman" w:hAnsi="Times New Roman" w:eastAsia="宋体" w:cs="Times New Roman"/>
          <w:b/>
          <w:bCs/>
          <w:i w:val="0"/>
          <w:iCs w:val="0"/>
          <w:color w:val="auto"/>
          <w:sz w:val="21"/>
          <w:szCs w:val="21"/>
          <w:highlight w:val="none"/>
          <w:u w:val="none" w:color="auto"/>
          <w:lang w:val="en-US" w:eastAsia="zh-CN"/>
        </w:rPr>
        <w:t>6</w:t>
      </w:r>
      <w:r>
        <w:rPr>
          <w:rFonts w:hint="default" w:ascii="Times New Roman" w:hAnsi="Times New Roman" w:eastAsia="宋体" w:cs="Times New Roman"/>
          <w:b/>
          <w:bCs/>
          <w:i w:val="0"/>
          <w:iCs w:val="0"/>
          <w:color w:val="auto"/>
          <w:sz w:val="21"/>
          <w:szCs w:val="21"/>
          <w:highlight w:val="none"/>
          <w:u w:val="none" w:color="auto"/>
          <w:lang w:eastAsia="zh-CN"/>
        </w:rPr>
        <w:t>.5-</w:t>
      </w:r>
      <w:r>
        <w:rPr>
          <w:rFonts w:hint="default" w:ascii="Times New Roman" w:hAnsi="Times New Roman" w:eastAsia="宋体" w:cs="Times New Roman"/>
          <w:b/>
          <w:bCs/>
          <w:i w:val="0"/>
          <w:iCs w:val="0"/>
          <w:color w:val="auto"/>
          <w:sz w:val="21"/>
          <w:szCs w:val="21"/>
          <w:highlight w:val="none"/>
          <w:u w:val="none" w:color="auto"/>
          <w:lang w:val="en-US" w:eastAsia="zh-CN"/>
        </w:rPr>
        <w:t xml:space="preserve">2（1） </w:t>
      </w:r>
      <w:r>
        <w:rPr>
          <w:rFonts w:hint="default" w:ascii="Times New Roman" w:hAnsi="Times New Roman" w:eastAsia="宋体" w:cs="Times New Roman"/>
          <w:b/>
          <w:bCs/>
          <w:i w:val="0"/>
          <w:iCs w:val="0"/>
          <w:color w:val="auto"/>
          <w:sz w:val="21"/>
          <w:szCs w:val="21"/>
          <w:highlight w:val="none"/>
          <w:u w:val="none" w:color="auto"/>
          <w:lang w:eastAsia="zh-CN"/>
        </w:rPr>
        <w:t>土壤环境监测结果</w:t>
      </w:r>
    </w:p>
    <w:tbl>
      <w:tblPr>
        <w:tblStyle w:val="23"/>
        <w:tblW w:w="90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921"/>
        <w:gridCol w:w="786"/>
        <w:gridCol w:w="786"/>
        <w:gridCol w:w="786"/>
        <w:gridCol w:w="786"/>
        <w:gridCol w:w="786"/>
        <w:gridCol w:w="786"/>
        <w:gridCol w:w="786"/>
        <w:gridCol w:w="786"/>
        <w:gridCol w:w="787"/>
      </w:tblGrid>
      <w:tr w14:paraId="7E747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971" w:type="dxa"/>
            <w:gridSpan w:val="2"/>
            <w:vMerge w:val="restart"/>
            <w:tcBorders>
              <w:right w:val="nil"/>
            </w:tcBorders>
            <w:noWrap w:val="0"/>
            <w:vAlign w:val="center"/>
          </w:tcPr>
          <w:p w14:paraId="536F682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val="0"/>
                <w:color w:val="auto"/>
                <w:sz w:val="21"/>
                <w:szCs w:val="21"/>
                <w:highlight w:val="none"/>
                <w:u w:val="none" w:color="auto"/>
                <w:lang w:eastAsia="zh-CN"/>
              </w:rPr>
            </w:pPr>
            <w:r>
              <w:rPr>
                <w:rFonts w:hint="default" w:ascii="Times New Roman" w:hAnsi="Times New Roman" w:eastAsia="宋体" w:cs="Times New Roman"/>
                <w:b/>
                <w:bCs w:val="0"/>
                <w:color w:val="auto"/>
                <w:sz w:val="21"/>
                <w:szCs w:val="21"/>
                <w:highlight w:val="none"/>
                <w:u w:val="none" w:color="auto"/>
                <w:lang w:eastAsia="zh-CN"/>
              </w:rPr>
              <w:t>监测项目</w:t>
            </w:r>
          </w:p>
        </w:tc>
        <w:tc>
          <w:tcPr>
            <w:tcW w:w="7075" w:type="dxa"/>
            <w:gridSpan w:val="9"/>
            <w:noWrap w:val="0"/>
            <w:vAlign w:val="center"/>
          </w:tcPr>
          <w:p w14:paraId="6B829DA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bCs w:val="0"/>
                <w:color w:val="auto"/>
                <w:kern w:val="2"/>
                <w:sz w:val="21"/>
                <w:szCs w:val="21"/>
                <w:highlight w:val="none"/>
                <w:u w:val="none" w:color="auto"/>
                <w:vertAlign w:val="baseline"/>
                <w:lang w:val="en-US" w:eastAsia="zh-CN" w:bidi="ar-SA"/>
              </w:rPr>
              <w:t>监测点位及检测结果</w:t>
            </w:r>
            <w:r>
              <w:rPr>
                <w:rFonts w:hint="default" w:ascii="Times New Roman" w:hAnsi="Times New Roman" w:eastAsia="宋体" w:cs="Times New Roman"/>
                <w:b/>
                <w:bCs w:val="0"/>
                <w:color w:val="auto"/>
                <w:sz w:val="21"/>
                <w:szCs w:val="21"/>
                <w:highlight w:val="none"/>
                <w:u w:val="none" w:color="auto"/>
                <w:lang w:eastAsia="zh-CN"/>
              </w:rPr>
              <w:t>（单位：mg/</w:t>
            </w:r>
            <w:r>
              <w:rPr>
                <w:rFonts w:hint="default" w:ascii="Times New Roman" w:hAnsi="Times New Roman" w:eastAsia="宋体" w:cs="Times New Roman"/>
                <w:b/>
                <w:bCs w:val="0"/>
                <w:color w:val="auto"/>
                <w:sz w:val="21"/>
                <w:szCs w:val="21"/>
                <w:highlight w:val="none"/>
                <w:u w:val="none" w:color="auto"/>
                <w:lang w:val="en-US" w:eastAsia="zh-CN"/>
              </w:rPr>
              <w:t>kg  pH值：无量纲</w:t>
            </w:r>
            <w:r>
              <w:rPr>
                <w:rFonts w:hint="default" w:ascii="Times New Roman" w:hAnsi="Times New Roman" w:eastAsia="宋体" w:cs="Times New Roman"/>
                <w:b/>
                <w:bCs w:val="0"/>
                <w:color w:val="auto"/>
                <w:sz w:val="21"/>
                <w:szCs w:val="21"/>
                <w:highlight w:val="none"/>
                <w:u w:val="none" w:color="auto"/>
                <w:lang w:eastAsia="zh-CN"/>
              </w:rPr>
              <w:t>）</w:t>
            </w:r>
          </w:p>
        </w:tc>
      </w:tr>
      <w:tr w14:paraId="681CC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971" w:type="dxa"/>
            <w:gridSpan w:val="2"/>
            <w:vMerge w:val="continue"/>
            <w:tcBorders>
              <w:right w:val="nil"/>
            </w:tcBorders>
            <w:noWrap w:val="0"/>
            <w:vAlign w:val="center"/>
          </w:tcPr>
          <w:p w14:paraId="4E588AD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val="0"/>
                <w:color w:val="auto"/>
                <w:kern w:val="2"/>
                <w:sz w:val="21"/>
                <w:szCs w:val="21"/>
                <w:highlight w:val="none"/>
                <w:u w:val="none" w:color="auto"/>
                <w:vertAlign w:val="baseline"/>
                <w:lang w:val="en-US" w:eastAsia="zh-CN" w:bidi="ar-SA"/>
              </w:rPr>
            </w:pPr>
          </w:p>
        </w:tc>
        <w:tc>
          <w:tcPr>
            <w:tcW w:w="786" w:type="dxa"/>
            <w:tcBorders>
              <w:right w:val="nil"/>
            </w:tcBorders>
            <w:noWrap w:val="0"/>
            <w:vAlign w:val="center"/>
          </w:tcPr>
          <w:p w14:paraId="2AD44CE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pH值</w:t>
            </w:r>
          </w:p>
        </w:tc>
        <w:tc>
          <w:tcPr>
            <w:tcW w:w="786" w:type="dxa"/>
            <w:tcBorders>
              <w:right w:val="nil"/>
            </w:tcBorders>
            <w:noWrap w:val="0"/>
            <w:vAlign w:val="center"/>
          </w:tcPr>
          <w:p w14:paraId="5977D2B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砷</w:t>
            </w:r>
          </w:p>
        </w:tc>
        <w:tc>
          <w:tcPr>
            <w:tcW w:w="786" w:type="dxa"/>
            <w:tcBorders>
              <w:right w:val="nil"/>
            </w:tcBorders>
            <w:noWrap w:val="0"/>
            <w:vAlign w:val="center"/>
          </w:tcPr>
          <w:p w14:paraId="3D97736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镉</w:t>
            </w:r>
          </w:p>
        </w:tc>
        <w:tc>
          <w:tcPr>
            <w:tcW w:w="786" w:type="dxa"/>
            <w:tcBorders>
              <w:right w:val="nil"/>
            </w:tcBorders>
            <w:noWrap w:val="0"/>
            <w:vAlign w:val="center"/>
          </w:tcPr>
          <w:p w14:paraId="0E84734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六价铬</w:t>
            </w:r>
          </w:p>
        </w:tc>
        <w:tc>
          <w:tcPr>
            <w:tcW w:w="786" w:type="dxa"/>
            <w:tcBorders>
              <w:right w:val="nil"/>
            </w:tcBorders>
            <w:noWrap w:val="0"/>
            <w:vAlign w:val="center"/>
          </w:tcPr>
          <w:p w14:paraId="3490E2E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铜</w:t>
            </w:r>
          </w:p>
        </w:tc>
        <w:tc>
          <w:tcPr>
            <w:tcW w:w="786" w:type="dxa"/>
            <w:tcBorders>
              <w:right w:val="nil"/>
            </w:tcBorders>
            <w:noWrap w:val="0"/>
            <w:vAlign w:val="center"/>
          </w:tcPr>
          <w:p w14:paraId="51E7E57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铅</w:t>
            </w:r>
          </w:p>
        </w:tc>
        <w:tc>
          <w:tcPr>
            <w:tcW w:w="786" w:type="dxa"/>
            <w:tcBorders>
              <w:right w:val="nil"/>
            </w:tcBorders>
            <w:noWrap w:val="0"/>
            <w:vAlign w:val="center"/>
          </w:tcPr>
          <w:p w14:paraId="4786B5A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锌</w:t>
            </w:r>
          </w:p>
        </w:tc>
        <w:tc>
          <w:tcPr>
            <w:tcW w:w="786" w:type="dxa"/>
            <w:tcBorders>
              <w:right w:val="nil"/>
            </w:tcBorders>
            <w:noWrap w:val="0"/>
            <w:vAlign w:val="center"/>
          </w:tcPr>
          <w:p w14:paraId="0F75755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汞</w:t>
            </w:r>
          </w:p>
        </w:tc>
        <w:tc>
          <w:tcPr>
            <w:tcW w:w="787" w:type="dxa"/>
            <w:noWrap w:val="0"/>
            <w:vAlign w:val="center"/>
          </w:tcPr>
          <w:p w14:paraId="740A841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镍</w:t>
            </w:r>
          </w:p>
        </w:tc>
      </w:tr>
      <w:tr w14:paraId="3C2F3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restart"/>
            <w:tcBorders>
              <w:right w:val="single" w:color="auto" w:sz="4" w:space="0"/>
            </w:tcBorders>
            <w:noWrap w:val="0"/>
            <w:vAlign w:val="center"/>
          </w:tcPr>
          <w:p w14:paraId="518C0CC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T1厂区内生产区东部土壤</w:t>
            </w:r>
          </w:p>
        </w:tc>
        <w:tc>
          <w:tcPr>
            <w:tcW w:w="921" w:type="dxa"/>
            <w:tcBorders>
              <w:left w:val="single" w:color="auto" w:sz="4" w:space="0"/>
              <w:right w:val="nil"/>
            </w:tcBorders>
            <w:noWrap w:val="0"/>
            <w:vAlign w:val="center"/>
          </w:tcPr>
          <w:p w14:paraId="105D61A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0-0.5m</w:t>
            </w:r>
          </w:p>
        </w:tc>
        <w:tc>
          <w:tcPr>
            <w:tcW w:w="786" w:type="dxa"/>
            <w:tcBorders>
              <w:right w:val="nil"/>
            </w:tcBorders>
            <w:noWrap w:val="0"/>
            <w:vAlign w:val="center"/>
          </w:tcPr>
          <w:p w14:paraId="145E71E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7.41</w:t>
            </w:r>
          </w:p>
        </w:tc>
        <w:tc>
          <w:tcPr>
            <w:tcW w:w="786" w:type="dxa"/>
            <w:tcBorders>
              <w:right w:val="nil"/>
            </w:tcBorders>
            <w:noWrap w:val="0"/>
            <w:vAlign w:val="center"/>
          </w:tcPr>
          <w:p w14:paraId="1B81557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3.47</w:t>
            </w:r>
          </w:p>
        </w:tc>
        <w:tc>
          <w:tcPr>
            <w:tcW w:w="786" w:type="dxa"/>
            <w:tcBorders>
              <w:right w:val="nil"/>
            </w:tcBorders>
            <w:noWrap w:val="0"/>
            <w:vAlign w:val="center"/>
          </w:tcPr>
          <w:p w14:paraId="0F56172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0.86</w:t>
            </w:r>
          </w:p>
        </w:tc>
        <w:tc>
          <w:tcPr>
            <w:tcW w:w="786" w:type="dxa"/>
            <w:tcBorders>
              <w:right w:val="nil"/>
            </w:tcBorders>
            <w:noWrap w:val="0"/>
            <w:vAlign w:val="center"/>
          </w:tcPr>
          <w:p w14:paraId="56FBF8E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46E2C84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11</w:t>
            </w:r>
          </w:p>
        </w:tc>
        <w:tc>
          <w:tcPr>
            <w:tcW w:w="786" w:type="dxa"/>
            <w:tcBorders>
              <w:right w:val="nil"/>
            </w:tcBorders>
            <w:noWrap w:val="0"/>
            <w:vAlign w:val="center"/>
          </w:tcPr>
          <w:p w14:paraId="7447E47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11.3</w:t>
            </w:r>
          </w:p>
        </w:tc>
        <w:tc>
          <w:tcPr>
            <w:tcW w:w="786" w:type="dxa"/>
            <w:tcBorders>
              <w:right w:val="nil"/>
            </w:tcBorders>
            <w:noWrap w:val="0"/>
            <w:vAlign w:val="center"/>
          </w:tcPr>
          <w:p w14:paraId="6CF5D47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35</w:t>
            </w:r>
          </w:p>
        </w:tc>
        <w:tc>
          <w:tcPr>
            <w:tcW w:w="786" w:type="dxa"/>
            <w:tcBorders>
              <w:right w:val="nil"/>
            </w:tcBorders>
            <w:noWrap w:val="0"/>
            <w:vAlign w:val="center"/>
          </w:tcPr>
          <w:p w14:paraId="5B590D5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0.229 </w:t>
            </w:r>
          </w:p>
        </w:tc>
        <w:tc>
          <w:tcPr>
            <w:tcW w:w="787" w:type="dxa"/>
            <w:noWrap w:val="0"/>
            <w:vAlign w:val="center"/>
          </w:tcPr>
          <w:p w14:paraId="0891E5A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w:t>
            </w:r>
          </w:p>
        </w:tc>
      </w:tr>
      <w:tr w14:paraId="6B0CB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6392E0F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4E17E04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0.5-1.5m</w:t>
            </w:r>
          </w:p>
        </w:tc>
        <w:tc>
          <w:tcPr>
            <w:tcW w:w="786" w:type="dxa"/>
            <w:tcBorders>
              <w:right w:val="nil"/>
            </w:tcBorders>
            <w:noWrap w:val="0"/>
            <w:vAlign w:val="center"/>
          </w:tcPr>
          <w:p w14:paraId="273F281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6.92</w:t>
            </w:r>
          </w:p>
        </w:tc>
        <w:tc>
          <w:tcPr>
            <w:tcW w:w="786" w:type="dxa"/>
            <w:tcBorders>
              <w:right w:val="nil"/>
            </w:tcBorders>
            <w:noWrap w:val="0"/>
            <w:vAlign w:val="center"/>
          </w:tcPr>
          <w:p w14:paraId="648A0C0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0.669</w:t>
            </w:r>
          </w:p>
        </w:tc>
        <w:tc>
          <w:tcPr>
            <w:tcW w:w="786" w:type="dxa"/>
            <w:tcBorders>
              <w:right w:val="nil"/>
            </w:tcBorders>
            <w:noWrap w:val="0"/>
            <w:vAlign w:val="center"/>
          </w:tcPr>
          <w:p w14:paraId="04F0321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0.35</w:t>
            </w:r>
          </w:p>
        </w:tc>
        <w:tc>
          <w:tcPr>
            <w:tcW w:w="786" w:type="dxa"/>
            <w:tcBorders>
              <w:right w:val="nil"/>
            </w:tcBorders>
            <w:noWrap w:val="0"/>
            <w:vAlign w:val="center"/>
          </w:tcPr>
          <w:p w14:paraId="053845A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10ED836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5</w:t>
            </w:r>
          </w:p>
        </w:tc>
        <w:tc>
          <w:tcPr>
            <w:tcW w:w="786" w:type="dxa"/>
            <w:tcBorders>
              <w:right w:val="nil"/>
            </w:tcBorders>
            <w:noWrap w:val="0"/>
            <w:vAlign w:val="center"/>
          </w:tcPr>
          <w:p w14:paraId="7C5285C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4.5</w:t>
            </w:r>
          </w:p>
        </w:tc>
        <w:tc>
          <w:tcPr>
            <w:tcW w:w="786" w:type="dxa"/>
            <w:tcBorders>
              <w:right w:val="nil"/>
            </w:tcBorders>
            <w:noWrap w:val="0"/>
            <w:vAlign w:val="center"/>
          </w:tcPr>
          <w:p w14:paraId="46F57ED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19</w:t>
            </w:r>
          </w:p>
        </w:tc>
        <w:tc>
          <w:tcPr>
            <w:tcW w:w="786" w:type="dxa"/>
            <w:tcBorders>
              <w:right w:val="nil"/>
            </w:tcBorders>
            <w:noWrap w:val="0"/>
            <w:vAlign w:val="center"/>
          </w:tcPr>
          <w:p w14:paraId="455373C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0.086 </w:t>
            </w:r>
          </w:p>
        </w:tc>
        <w:tc>
          <w:tcPr>
            <w:tcW w:w="787" w:type="dxa"/>
            <w:noWrap w:val="0"/>
            <w:vAlign w:val="center"/>
          </w:tcPr>
          <w:p w14:paraId="34D772E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w:t>
            </w:r>
          </w:p>
        </w:tc>
      </w:tr>
      <w:tr w14:paraId="4C729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563A243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27882DD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kern w:val="0"/>
                <w:sz w:val="21"/>
                <w:szCs w:val="21"/>
                <w:highlight w:val="none"/>
                <w:u w:val="none" w:color="auto"/>
                <w:lang w:val="en-US" w:eastAsia="zh-CN"/>
              </w:rPr>
              <w:t>1.5-3m</w:t>
            </w:r>
          </w:p>
        </w:tc>
        <w:tc>
          <w:tcPr>
            <w:tcW w:w="786" w:type="dxa"/>
            <w:tcBorders>
              <w:right w:val="nil"/>
            </w:tcBorders>
            <w:noWrap w:val="0"/>
            <w:vAlign w:val="center"/>
          </w:tcPr>
          <w:p w14:paraId="289A6E3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7.53</w:t>
            </w:r>
          </w:p>
        </w:tc>
        <w:tc>
          <w:tcPr>
            <w:tcW w:w="786" w:type="dxa"/>
            <w:tcBorders>
              <w:right w:val="nil"/>
            </w:tcBorders>
            <w:noWrap w:val="0"/>
            <w:vAlign w:val="center"/>
          </w:tcPr>
          <w:p w14:paraId="49B49E9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0.513</w:t>
            </w:r>
          </w:p>
        </w:tc>
        <w:tc>
          <w:tcPr>
            <w:tcW w:w="786" w:type="dxa"/>
            <w:tcBorders>
              <w:right w:val="nil"/>
            </w:tcBorders>
            <w:noWrap w:val="0"/>
            <w:vAlign w:val="center"/>
          </w:tcPr>
          <w:p w14:paraId="2CD9C5F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0.04</w:t>
            </w:r>
          </w:p>
        </w:tc>
        <w:tc>
          <w:tcPr>
            <w:tcW w:w="786" w:type="dxa"/>
            <w:tcBorders>
              <w:right w:val="nil"/>
            </w:tcBorders>
            <w:noWrap w:val="0"/>
            <w:vAlign w:val="center"/>
          </w:tcPr>
          <w:p w14:paraId="5AFE3E7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4D9EB6F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2</w:t>
            </w:r>
          </w:p>
        </w:tc>
        <w:tc>
          <w:tcPr>
            <w:tcW w:w="786" w:type="dxa"/>
            <w:tcBorders>
              <w:right w:val="nil"/>
            </w:tcBorders>
            <w:noWrap w:val="0"/>
            <w:vAlign w:val="center"/>
          </w:tcPr>
          <w:p w14:paraId="7B0F86F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1.2</w:t>
            </w:r>
          </w:p>
        </w:tc>
        <w:tc>
          <w:tcPr>
            <w:tcW w:w="786" w:type="dxa"/>
            <w:tcBorders>
              <w:right w:val="nil"/>
            </w:tcBorders>
            <w:noWrap w:val="0"/>
            <w:vAlign w:val="center"/>
          </w:tcPr>
          <w:p w14:paraId="16DBAA4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6</w:t>
            </w:r>
          </w:p>
        </w:tc>
        <w:tc>
          <w:tcPr>
            <w:tcW w:w="786" w:type="dxa"/>
            <w:tcBorders>
              <w:right w:val="nil"/>
            </w:tcBorders>
            <w:noWrap w:val="0"/>
            <w:vAlign w:val="center"/>
          </w:tcPr>
          <w:p w14:paraId="328F567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0.060 </w:t>
            </w:r>
          </w:p>
        </w:tc>
        <w:tc>
          <w:tcPr>
            <w:tcW w:w="787" w:type="dxa"/>
            <w:noWrap w:val="0"/>
            <w:vAlign w:val="center"/>
          </w:tcPr>
          <w:p w14:paraId="077FC5D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r>
      <w:tr w14:paraId="737AF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restart"/>
            <w:tcBorders>
              <w:right w:val="single" w:color="auto" w:sz="4" w:space="0"/>
            </w:tcBorders>
            <w:noWrap w:val="0"/>
            <w:vAlign w:val="center"/>
          </w:tcPr>
          <w:p w14:paraId="7E98E44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T2厂区内生产区南部土壤</w:t>
            </w:r>
          </w:p>
        </w:tc>
        <w:tc>
          <w:tcPr>
            <w:tcW w:w="921" w:type="dxa"/>
            <w:tcBorders>
              <w:left w:val="single" w:color="auto" w:sz="4" w:space="0"/>
              <w:right w:val="nil"/>
            </w:tcBorders>
            <w:noWrap w:val="0"/>
            <w:vAlign w:val="center"/>
          </w:tcPr>
          <w:p w14:paraId="745E3F0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0-0.5m</w:t>
            </w:r>
          </w:p>
        </w:tc>
        <w:tc>
          <w:tcPr>
            <w:tcW w:w="786" w:type="dxa"/>
            <w:tcBorders>
              <w:right w:val="nil"/>
            </w:tcBorders>
            <w:noWrap w:val="0"/>
            <w:vAlign w:val="center"/>
          </w:tcPr>
          <w:p w14:paraId="305CF58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7.72</w:t>
            </w:r>
          </w:p>
        </w:tc>
        <w:tc>
          <w:tcPr>
            <w:tcW w:w="786" w:type="dxa"/>
            <w:tcBorders>
              <w:right w:val="nil"/>
            </w:tcBorders>
            <w:noWrap w:val="0"/>
            <w:vAlign w:val="center"/>
          </w:tcPr>
          <w:p w14:paraId="0D1C69D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2.42</w:t>
            </w:r>
          </w:p>
        </w:tc>
        <w:tc>
          <w:tcPr>
            <w:tcW w:w="786" w:type="dxa"/>
            <w:tcBorders>
              <w:right w:val="nil"/>
            </w:tcBorders>
            <w:noWrap w:val="0"/>
            <w:vAlign w:val="center"/>
          </w:tcPr>
          <w:p w14:paraId="716E98A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1.05</w:t>
            </w:r>
          </w:p>
        </w:tc>
        <w:tc>
          <w:tcPr>
            <w:tcW w:w="786" w:type="dxa"/>
            <w:tcBorders>
              <w:right w:val="nil"/>
            </w:tcBorders>
            <w:noWrap w:val="0"/>
            <w:vAlign w:val="center"/>
          </w:tcPr>
          <w:p w14:paraId="5F0785C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6B5CE4F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11</w:t>
            </w:r>
          </w:p>
        </w:tc>
        <w:tc>
          <w:tcPr>
            <w:tcW w:w="786" w:type="dxa"/>
            <w:tcBorders>
              <w:right w:val="nil"/>
            </w:tcBorders>
            <w:noWrap w:val="0"/>
            <w:vAlign w:val="center"/>
          </w:tcPr>
          <w:p w14:paraId="0FC553B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11.7</w:t>
            </w:r>
          </w:p>
        </w:tc>
        <w:tc>
          <w:tcPr>
            <w:tcW w:w="786" w:type="dxa"/>
            <w:tcBorders>
              <w:right w:val="nil"/>
            </w:tcBorders>
            <w:noWrap w:val="0"/>
            <w:vAlign w:val="center"/>
          </w:tcPr>
          <w:p w14:paraId="14C3F55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37</w:t>
            </w:r>
          </w:p>
        </w:tc>
        <w:tc>
          <w:tcPr>
            <w:tcW w:w="786" w:type="dxa"/>
            <w:tcBorders>
              <w:right w:val="nil"/>
            </w:tcBorders>
            <w:noWrap w:val="0"/>
            <w:vAlign w:val="center"/>
          </w:tcPr>
          <w:p w14:paraId="52A9C75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0.194 </w:t>
            </w:r>
          </w:p>
        </w:tc>
        <w:tc>
          <w:tcPr>
            <w:tcW w:w="787" w:type="dxa"/>
            <w:noWrap w:val="0"/>
            <w:vAlign w:val="center"/>
          </w:tcPr>
          <w:p w14:paraId="5C5C76D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w:t>
            </w:r>
          </w:p>
        </w:tc>
      </w:tr>
      <w:tr w14:paraId="3A197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4CD2445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5E927C4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0.5-1.5m</w:t>
            </w:r>
          </w:p>
        </w:tc>
        <w:tc>
          <w:tcPr>
            <w:tcW w:w="786" w:type="dxa"/>
            <w:tcBorders>
              <w:right w:val="nil"/>
            </w:tcBorders>
            <w:noWrap w:val="0"/>
            <w:vAlign w:val="center"/>
          </w:tcPr>
          <w:p w14:paraId="193FD76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7.61</w:t>
            </w:r>
          </w:p>
        </w:tc>
        <w:tc>
          <w:tcPr>
            <w:tcW w:w="786" w:type="dxa"/>
            <w:tcBorders>
              <w:right w:val="nil"/>
            </w:tcBorders>
            <w:noWrap w:val="0"/>
            <w:vAlign w:val="center"/>
          </w:tcPr>
          <w:p w14:paraId="707D5C9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0.870</w:t>
            </w:r>
          </w:p>
        </w:tc>
        <w:tc>
          <w:tcPr>
            <w:tcW w:w="786" w:type="dxa"/>
            <w:tcBorders>
              <w:right w:val="nil"/>
            </w:tcBorders>
            <w:noWrap w:val="0"/>
            <w:vAlign w:val="center"/>
          </w:tcPr>
          <w:p w14:paraId="7565E28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0.32</w:t>
            </w:r>
          </w:p>
        </w:tc>
        <w:tc>
          <w:tcPr>
            <w:tcW w:w="786" w:type="dxa"/>
            <w:tcBorders>
              <w:right w:val="nil"/>
            </w:tcBorders>
            <w:noWrap w:val="0"/>
            <w:vAlign w:val="center"/>
          </w:tcPr>
          <w:p w14:paraId="63789AB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40B11C5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6</w:t>
            </w:r>
          </w:p>
        </w:tc>
        <w:tc>
          <w:tcPr>
            <w:tcW w:w="786" w:type="dxa"/>
            <w:tcBorders>
              <w:right w:val="nil"/>
            </w:tcBorders>
            <w:noWrap w:val="0"/>
            <w:vAlign w:val="center"/>
          </w:tcPr>
          <w:p w14:paraId="0524B8D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4.7</w:t>
            </w:r>
          </w:p>
        </w:tc>
        <w:tc>
          <w:tcPr>
            <w:tcW w:w="786" w:type="dxa"/>
            <w:tcBorders>
              <w:right w:val="nil"/>
            </w:tcBorders>
            <w:noWrap w:val="0"/>
            <w:vAlign w:val="center"/>
          </w:tcPr>
          <w:p w14:paraId="4080CEF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16</w:t>
            </w:r>
          </w:p>
        </w:tc>
        <w:tc>
          <w:tcPr>
            <w:tcW w:w="786" w:type="dxa"/>
            <w:tcBorders>
              <w:right w:val="nil"/>
            </w:tcBorders>
            <w:noWrap w:val="0"/>
            <w:vAlign w:val="center"/>
          </w:tcPr>
          <w:p w14:paraId="367BB88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0.068 </w:t>
            </w:r>
          </w:p>
        </w:tc>
        <w:tc>
          <w:tcPr>
            <w:tcW w:w="787" w:type="dxa"/>
            <w:noWrap w:val="0"/>
            <w:vAlign w:val="center"/>
          </w:tcPr>
          <w:p w14:paraId="20F9A4F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w:t>
            </w:r>
          </w:p>
        </w:tc>
      </w:tr>
      <w:tr w14:paraId="4A393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42517A0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5FA38E1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1.5-3m</w:t>
            </w:r>
          </w:p>
        </w:tc>
        <w:tc>
          <w:tcPr>
            <w:tcW w:w="786" w:type="dxa"/>
            <w:tcBorders>
              <w:right w:val="nil"/>
            </w:tcBorders>
            <w:noWrap w:val="0"/>
            <w:vAlign w:val="center"/>
          </w:tcPr>
          <w:p w14:paraId="4A7AD5C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7.85</w:t>
            </w:r>
          </w:p>
        </w:tc>
        <w:tc>
          <w:tcPr>
            <w:tcW w:w="786" w:type="dxa"/>
            <w:tcBorders>
              <w:right w:val="nil"/>
            </w:tcBorders>
            <w:noWrap w:val="0"/>
            <w:vAlign w:val="center"/>
          </w:tcPr>
          <w:p w14:paraId="01A8E16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0.535</w:t>
            </w:r>
          </w:p>
        </w:tc>
        <w:tc>
          <w:tcPr>
            <w:tcW w:w="786" w:type="dxa"/>
            <w:tcBorders>
              <w:right w:val="nil"/>
            </w:tcBorders>
            <w:noWrap w:val="0"/>
            <w:vAlign w:val="center"/>
          </w:tcPr>
          <w:p w14:paraId="3A566F3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0.05</w:t>
            </w:r>
          </w:p>
        </w:tc>
        <w:tc>
          <w:tcPr>
            <w:tcW w:w="786" w:type="dxa"/>
            <w:tcBorders>
              <w:right w:val="nil"/>
            </w:tcBorders>
            <w:noWrap w:val="0"/>
            <w:vAlign w:val="center"/>
          </w:tcPr>
          <w:p w14:paraId="3444B67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184540E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2</w:t>
            </w:r>
          </w:p>
        </w:tc>
        <w:tc>
          <w:tcPr>
            <w:tcW w:w="786" w:type="dxa"/>
            <w:tcBorders>
              <w:right w:val="nil"/>
            </w:tcBorders>
            <w:noWrap w:val="0"/>
            <w:vAlign w:val="center"/>
          </w:tcPr>
          <w:p w14:paraId="434363B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1.1</w:t>
            </w:r>
          </w:p>
        </w:tc>
        <w:tc>
          <w:tcPr>
            <w:tcW w:w="786" w:type="dxa"/>
            <w:tcBorders>
              <w:right w:val="nil"/>
            </w:tcBorders>
            <w:noWrap w:val="0"/>
            <w:vAlign w:val="center"/>
          </w:tcPr>
          <w:p w14:paraId="616EA8E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7</w:t>
            </w:r>
          </w:p>
        </w:tc>
        <w:tc>
          <w:tcPr>
            <w:tcW w:w="786" w:type="dxa"/>
            <w:tcBorders>
              <w:right w:val="nil"/>
            </w:tcBorders>
            <w:noWrap w:val="0"/>
            <w:vAlign w:val="center"/>
          </w:tcPr>
          <w:p w14:paraId="2FD6040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0.046 </w:t>
            </w:r>
          </w:p>
        </w:tc>
        <w:tc>
          <w:tcPr>
            <w:tcW w:w="787" w:type="dxa"/>
            <w:noWrap w:val="0"/>
            <w:vAlign w:val="center"/>
          </w:tcPr>
          <w:p w14:paraId="785E29D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r>
      <w:tr w14:paraId="7AFAC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restart"/>
            <w:tcBorders>
              <w:right w:val="single" w:color="auto" w:sz="4" w:space="0"/>
            </w:tcBorders>
            <w:noWrap w:val="0"/>
            <w:vAlign w:val="center"/>
          </w:tcPr>
          <w:p w14:paraId="4EE45EB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T3厂区内生产区西部土壤</w:t>
            </w:r>
          </w:p>
        </w:tc>
        <w:tc>
          <w:tcPr>
            <w:tcW w:w="921" w:type="dxa"/>
            <w:tcBorders>
              <w:left w:val="single" w:color="auto" w:sz="4" w:space="0"/>
              <w:right w:val="nil"/>
            </w:tcBorders>
            <w:noWrap w:val="0"/>
            <w:vAlign w:val="center"/>
          </w:tcPr>
          <w:p w14:paraId="6A30E3C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0-0.5m</w:t>
            </w:r>
          </w:p>
        </w:tc>
        <w:tc>
          <w:tcPr>
            <w:tcW w:w="786" w:type="dxa"/>
            <w:tcBorders>
              <w:right w:val="nil"/>
            </w:tcBorders>
            <w:noWrap w:val="0"/>
            <w:vAlign w:val="center"/>
          </w:tcPr>
          <w:p w14:paraId="7777155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7.03</w:t>
            </w:r>
          </w:p>
        </w:tc>
        <w:tc>
          <w:tcPr>
            <w:tcW w:w="786" w:type="dxa"/>
            <w:tcBorders>
              <w:right w:val="nil"/>
            </w:tcBorders>
            <w:noWrap w:val="0"/>
            <w:vAlign w:val="center"/>
          </w:tcPr>
          <w:p w14:paraId="79FEC61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2.71</w:t>
            </w:r>
          </w:p>
        </w:tc>
        <w:tc>
          <w:tcPr>
            <w:tcW w:w="786" w:type="dxa"/>
            <w:tcBorders>
              <w:right w:val="nil"/>
            </w:tcBorders>
            <w:noWrap w:val="0"/>
            <w:vAlign w:val="center"/>
          </w:tcPr>
          <w:p w14:paraId="593EA2C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0.97</w:t>
            </w:r>
          </w:p>
        </w:tc>
        <w:tc>
          <w:tcPr>
            <w:tcW w:w="786" w:type="dxa"/>
            <w:tcBorders>
              <w:right w:val="nil"/>
            </w:tcBorders>
            <w:noWrap w:val="0"/>
            <w:vAlign w:val="center"/>
          </w:tcPr>
          <w:p w14:paraId="573C01E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33F3D79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10</w:t>
            </w:r>
          </w:p>
        </w:tc>
        <w:tc>
          <w:tcPr>
            <w:tcW w:w="786" w:type="dxa"/>
            <w:tcBorders>
              <w:right w:val="nil"/>
            </w:tcBorders>
            <w:noWrap w:val="0"/>
            <w:vAlign w:val="center"/>
          </w:tcPr>
          <w:p w14:paraId="0333C15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11.3</w:t>
            </w:r>
          </w:p>
        </w:tc>
        <w:tc>
          <w:tcPr>
            <w:tcW w:w="786" w:type="dxa"/>
            <w:tcBorders>
              <w:right w:val="nil"/>
            </w:tcBorders>
            <w:noWrap w:val="0"/>
            <w:vAlign w:val="center"/>
          </w:tcPr>
          <w:p w14:paraId="129C3DB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39</w:t>
            </w:r>
          </w:p>
        </w:tc>
        <w:tc>
          <w:tcPr>
            <w:tcW w:w="786" w:type="dxa"/>
            <w:tcBorders>
              <w:right w:val="nil"/>
            </w:tcBorders>
            <w:noWrap w:val="0"/>
            <w:vAlign w:val="center"/>
          </w:tcPr>
          <w:p w14:paraId="6F89863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0.163 </w:t>
            </w:r>
          </w:p>
        </w:tc>
        <w:tc>
          <w:tcPr>
            <w:tcW w:w="787" w:type="dxa"/>
            <w:noWrap w:val="0"/>
            <w:vAlign w:val="center"/>
          </w:tcPr>
          <w:p w14:paraId="7F36222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8</w:t>
            </w:r>
          </w:p>
        </w:tc>
      </w:tr>
      <w:tr w14:paraId="29DDF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483D62F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1C59A0F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0.5-1.5m</w:t>
            </w:r>
          </w:p>
        </w:tc>
        <w:tc>
          <w:tcPr>
            <w:tcW w:w="786" w:type="dxa"/>
            <w:tcBorders>
              <w:right w:val="nil"/>
            </w:tcBorders>
            <w:noWrap w:val="0"/>
            <w:vAlign w:val="center"/>
          </w:tcPr>
          <w:p w14:paraId="6F3723F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7.11</w:t>
            </w:r>
          </w:p>
        </w:tc>
        <w:tc>
          <w:tcPr>
            <w:tcW w:w="786" w:type="dxa"/>
            <w:tcBorders>
              <w:right w:val="nil"/>
            </w:tcBorders>
            <w:noWrap w:val="0"/>
            <w:vAlign w:val="center"/>
          </w:tcPr>
          <w:p w14:paraId="5542E90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0.773</w:t>
            </w:r>
          </w:p>
        </w:tc>
        <w:tc>
          <w:tcPr>
            <w:tcW w:w="786" w:type="dxa"/>
            <w:tcBorders>
              <w:right w:val="nil"/>
            </w:tcBorders>
            <w:noWrap w:val="0"/>
            <w:vAlign w:val="center"/>
          </w:tcPr>
          <w:p w14:paraId="59DD8CA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0.29</w:t>
            </w:r>
          </w:p>
        </w:tc>
        <w:tc>
          <w:tcPr>
            <w:tcW w:w="786" w:type="dxa"/>
            <w:tcBorders>
              <w:right w:val="nil"/>
            </w:tcBorders>
            <w:noWrap w:val="0"/>
            <w:vAlign w:val="center"/>
          </w:tcPr>
          <w:p w14:paraId="2802772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56AFEE4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4</w:t>
            </w:r>
          </w:p>
        </w:tc>
        <w:tc>
          <w:tcPr>
            <w:tcW w:w="786" w:type="dxa"/>
            <w:tcBorders>
              <w:right w:val="nil"/>
            </w:tcBorders>
            <w:noWrap w:val="0"/>
            <w:vAlign w:val="center"/>
          </w:tcPr>
          <w:p w14:paraId="2A90758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3.9</w:t>
            </w:r>
          </w:p>
        </w:tc>
        <w:tc>
          <w:tcPr>
            <w:tcW w:w="786" w:type="dxa"/>
            <w:tcBorders>
              <w:right w:val="nil"/>
            </w:tcBorders>
            <w:noWrap w:val="0"/>
            <w:vAlign w:val="center"/>
          </w:tcPr>
          <w:p w14:paraId="0100530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18</w:t>
            </w:r>
          </w:p>
        </w:tc>
        <w:tc>
          <w:tcPr>
            <w:tcW w:w="786" w:type="dxa"/>
            <w:tcBorders>
              <w:right w:val="nil"/>
            </w:tcBorders>
            <w:noWrap w:val="0"/>
            <w:vAlign w:val="center"/>
          </w:tcPr>
          <w:p w14:paraId="4F98CB8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0.057 </w:t>
            </w:r>
          </w:p>
        </w:tc>
        <w:tc>
          <w:tcPr>
            <w:tcW w:w="787" w:type="dxa"/>
            <w:noWrap w:val="0"/>
            <w:vAlign w:val="center"/>
          </w:tcPr>
          <w:p w14:paraId="296B287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w:t>
            </w:r>
          </w:p>
        </w:tc>
      </w:tr>
      <w:tr w14:paraId="13438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0EC101E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3C745FA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1.5-3m</w:t>
            </w:r>
          </w:p>
        </w:tc>
        <w:tc>
          <w:tcPr>
            <w:tcW w:w="786" w:type="dxa"/>
            <w:tcBorders>
              <w:right w:val="nil"/>
            </w:tcBorders>
            <w:noWrap w:val="0"/>
            <w:vAlign w:val="center"/>
          </w:tcPr>
          <w:p w14:paraId="22AD4F3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6.94</w:t>
            </w:r>
          </w:p>
        </w:tc>
        <w:tc>
          <w:tcPr>
            <w:tcW w:w="786" w:type="dxa"/>
            <w:tcBorders>
              <w:right w:val="nil"/>
            </w:tcBorders>
            <w:noWrap w:val="0"/>
            <w:vAlign w:val="center"/>
          </w:tcPr>
          <w:p w14:paraId="32E019E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0.531</w:t>
            </w:r>
          </w:p>
        </w:tc>
        <w:tc>
          <w:tcPr>
            <w:tcW w:w="786" w:type="dxa"/>
            <w:tcBorders>
              <w:right w:val="nil"/>
            </w:tcBorders>
            <w:noWrap w:val="0"/>
            <w:vAlign w:val="center"/>
          </w:tcPr>
          <w:p w14:paraId="4066FE3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0.05</w:t>
            </w:r>
          </w:p>
        </w:tc>
        <w:tc>
          <w:tcPr>
            <w:tcW w:w="786" w:type="dxa"/>
            <w:tcBorders>
              <w:right w:val="nil"/>
            </w:tcBorders>
            <w:noWrap w:val="0"/>
            <w:vAlign w:val="center"/>
          </w:tcPr>
          <w:p w14:paraId="5A3632C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43FF49C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w:t>
            </w:r>
          </w:p>
        </w:tc>
        <w:tc>
          <w:tcPr>
            <w:tcW w:w="786" w:type="dxa"/>
            <w:tcBorders>
              <w:right w:val="nil"/>
            </w:tcBorders>
            <w:noWrap w:val="0"/>
            <w:vAlign w:val="center"/>
          </w:tcPr>
          <w:p w14:paraId="28B6637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1.4</w:t>
            </w:r>
          </w:p>
        </w:tc>
        <w:tc>
          <w:tcPr>
            <w:tcW w:w="786" w:type="dxa"/>
            <w:tcBorders>
              <w:right w:val="nil"/>
            </w:tcBorders>
            <w:noWrap w:val="0"/>
            <w:vAlign w:val="center"/>
          </w:tcPr>
          <w:p w14:paraId="208CAA7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5</w:t>
            </w:r>
          </w:p>
        </w:tc>
        <w:tc>
          <w:tcPr>
            <w:tcW w:w="786" w:type="dxa"/>
            <w:tcBorders>
              <w:right w:val="nil"/>
            </w:tcBorders>
            <w:noWrap w:val="0"/>
            <w:vAlign w:val="center"/>
          </w:tcPr>
          <w:p w14:paraId="275DEE0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0.042 </w:t>
            </w:r>
          </w:p>
        </w:tc>
        <w:tc>
          <w:tcPr>
            <w:tcW w:w="787" w:type="dxa"/>
            <w:noWrap w:val="0"/>
            <w:vAlign w:val="center"/>
          </w:tcPr>
          <w:p w14:paraId="0595E80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r>
      <w:tr w14:paraId="5DE9A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restart"/>
            <w:tcBorders>
              <w:right w:val="single" w:color="auto" w:sz="4" w:space="0"/>
            </w:tcBorders>
            <w:noWrap w:val="0"/>
            <w:vAlign w:val="center"/>
          </w:tcPr>
          <w:p w14:paraId="4BA3876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T4厂区内生产区北部土壤</w:t>
            </w:r>
          </w:p>
        </w:tc>
        <w:tc>
          <w:tcPr>
            <w:tcW w:w="921" w:type="dxa"/>
            <w:tcBorders>
              <w:left w:val="single" w:color="auto" w:sz="4" w:space="0"/>
              <w:right w:val="nil"/>
            </w:tcBorders>
            <w:noWrap w:val="0"/>
            <w:vAlign w:val="center"/>
          </w:tcPr>
          <w:p w14:paraId="630F0EB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0-0.5m</w:t>
            </w:r>
          </w:p>
        </w:tc>
        <w:tc>
          <w:tcPr>
            <w:tcW w:w="786" w:type="dxa"/>
            <w:tcBorders>
              <w:right w:val="nil"/>
            </w:tcBorders>
            <w:noWrap w:val="0"/>
            <w:vAlign w:val="center"/>
          </w:tcPr>
          <w:p w14:paraId="3B8E744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7.72</w:t>
            </w:r>
          </w:p>
        </w:tc>
        <w:tc>
          <w:tcPr>
            <w:tcW w:w="786" w:type="dxa"/>
            <w:tcBorders>
              <w:right w:val="nil"/>
            </w:tcBorders>
            <w:noWrap w:val="0"/>
            <w:vAlign w:val="center"/>
          </w:tcPr>
          <w:p w14:paraId="553E631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0.308</w:t>
            </w:r>
          </w:p>
        </w:tc>
        <w:tc>
          <w:tcPr>
            <w:tcW w:w="786" w:type="dxa"/>
            <w:tcBorders>
              <w:right w:val="nil"/>
            </w:tcBorders>
            <w:noWrap w:val="0"/>
            <w:vAlign w:val="center"/>
          </w:tcPr>
          <w:p w14:paraId="688E99A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1.06</w:t>
            </w:r>
          </w:p>
        </w:tc>
        <w:tc>
          <w:tcPr>
            <w:tcW w:w="786" w:type="dxa"/>
            <w:tcBorders>
              <w:right w:val="nil"/>
            </w:tcBorders>
            <w:noWrap w:val="0"/>
            <w:vAlign w:val="center"/>
          </w:tcPr>
          <w:p w14:paraId="29FEE12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7155CC4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12</w:t>
            </w:r>
          </w:p>
        </w:tc>
        <w:tc>
          <w:tcPr>
            <w:tcW w:w="786" w:type="dxa"/>
            <w:tcBorders>
              <w:right w:val="nil"/>
            </w:tcBorders>
            <w:noWrap w:val="0"/>
            <w:vAlign w:val="center"/>
          </w:tcPr>
          <w:p w14:paraId="751AAC3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10.4</w:t>
            </w:r>
          </w:p>
        </w:tc>
        <w:tc>
          <w:tcPr>
            <w:tcW w:w="786" w:type="dxa"/>
            <w:tcBorders>
              <w:right w:val="nil"/>
            </w:tcBorders>
            <w:noWrap w:val="0"/>
            <w:vAlign w:val="center"/>
          </w:tcPr>
          <w:p w14:paraId="428B724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33</w:t>
            </w:r>
          </w:p>
        </w:tc>
        <w:tc>
          <w:tcPr>
            <w:tcW w:w="786" w:type="dxa"/>
            <w:tcBorders>
              <w:right w:val="nil"/>
            </w:tcBorders>
            <w:noWrap w:val="0"/>
            <w:vAlign w:val="center"/>
          </w:tcPr>
          <w:p w14:paraId="69AA861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0.157 </w:t>
            </w:r>
          </w:p>
        </w:tc>
        <w:tc>
          <w:tcPr>
            <w:tcW w:w="787" w:type="dxa"/>
            <w:noWrap w:val="0"/>
            <w:vAlign w:val="center"/>
          </w:tcPr>
          <w:p w14:paraId="55B1986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w:t>
            </w:r>
          </w:p>
        </w:tc>
      </w:tr>
      <w:tr w14:paraId="7765A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173DB06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36B7D69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0.5-1.5m</w:t>
            </w:r>
          </w:p>
        </w:tc>
        <w:tc>
          <w:tcPr>
            <w:tcW w:w="786" w:type="dxa"/>
            <w:tcBorders>
              <w:right w:val="nil"/>
            </w:tcBorders>
            <w:noWrap w:val="0"/>
            <w:vAlign w:val="center"/>
          </w:tcPr>
          <w:p w14:paraId="1B49E4F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7.23</w:t>
            </w:r>
          </w:p>
        </w:tc>
        <w:tc>
          <w:tcPr>
            <w:tcW w:w="786" w:type="dxa"/>
            <w:tcBorders>
              <w:right w:val="nil"/>
            </w:tcBorders>
            <w:noWrap w:val="0"/>
            <w:vAlign w:val="center"/>
          </w:tcPr>
          <w:p w14:paraId="5BD04A4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0.654</w:t>
            </w:r>
          </w:p>
        </w:tc>
        <w:tc>
          <w:tcPr>
            <w:tcW w:w="786" w:type="dxa"/>
            <w:tcBorders>
              <w:right w:val="nil"/>
            </w:tcBorders>
            <w:noWrap w:val="0"/>
            <w:vAlign w:val="center"/>
          </w:tcPr>
          <w:p w14:paraId="5C71542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0.27</w:t>
            </w:r>
          </w:p>
        </w:tc>
        <w:tc>
          <w:tcPr>
            <w:tcW w:w="786" w:type="dxa"/>
            <w:tcBorders>
              <w:right w:val="nil"/>
            </w:tcBorders>
            <w:noWrap w:val="0"/>
            <w:vAlign w:val="center"/>
          </w:tcPr>
          <w:p w14:paraId="3D15FD8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72A8379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5</w:t>
            </w:r>
          </w:p>
        </w:tc>
        <w:tc>
          <w:tcPr>
            <w:tcW w:w="786" w:type="dxa"/>
            <w:tcBorders>
              <w:right w:val="nil"/>
            </w:tcBorders>
            <w:noWrap w:val="0"/>
            <w:vAlign w:val="center"/>
          </w:tcPr>
          <w:p w14:paraId="0F284CD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4.1</w:t>
            </w:r>
          </w:p>
        </w:tc>
        <w:tc>
          <w:tcPr>
            <w:tcW w:w="786" w:type="dxa"/>
            <w:tcBorders>
              <w:right w:val="nil"/>
            </w:tcBorders>
            <w:noWrap w:val="0"/>
            <w:vAlign w:val="center"/>
          </w:tcPr>
          <w:p w14:paraId="37004FA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16</w:t>
            </w:r>
          </w:p>
        </w:tc>
        <w:tc>
          <w:tcPr>
            <w:tcW w:w="786" w:type="dxa"/>
            <w:tcBorders>
              <w:right w:val="nil"/>
            </w:tcBorders>
            <w:noWrap w:val="0"/>
            <w:vAlign w:val="center"/>
          </w:tcPr>
          <w:p w14:paraId="78B1BDD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0.034 </w:t>
            </w:r>
          </w:p>
        </w:tc>
        <w:tc>
          <w:tcPr>
            <w:tcW w:w="787" w:type="dxa"/>
            <w:noWrap w:val="0"/>
            <w:vAlign w:val="center"/>
          </w:tcPr>
          <w:p w14:paraId="3B4BA9C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w:t>
            </w:r>
          </w:p>
        </w:tc>
      </w:tr>
      <w:tr w14:paraId="063B2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52F8621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3349BA9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1.5-3m</w:t>
            </w:r>
          </w:p>
        </w:tc>
        <w:tc>
          <w:tcPr>
            <w:tcW w:w="786" w:type="dxa"/>
            <w:tcBorders>
              <w:right w:val="nil"/>
            </w:tcBorders>
            <w:noWrap w:val="0"/>
            <w:vAlign w:val="center"/>
          </w:tcPr>
          <w:p w14:paraId="1CE1B48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7.41</w:t>
            </w:r>
          </w:p>
        </w:tc>
        <w:tc>
          <w:tcPr>
            <w:tcW w:w="786" w:type="dxa"/>
            <w:tcBorders>
              <w:right w:val="nil"/>
            </w:tcBorders>
            <w:noWrap w:val="0"/>
            <w:vAlign w:val="center"/>
          </w:tcPr>
          <w:p w14:paraId="771C684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0.561</w:t>
            </w:r>
          </w:p>
        </w:tc>
        <w:tc>
          <w:tcPr>
            <w:tcW w:w="786" w:type="dxa"/>
            <w:tcBorders>
              <w:right w:val="nil"/>
            </w:tcBorders>
            <w:noWrap w:val="0"/>
            <w:vAlign w:val="center"/>
          </w:tcPr>
          <w:p w14:paraId="423EE57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0.03</w:t>
            </w:r>
          </w:p>
        </w:tc>
        <w:tc>
          <w:tcPr>
            <w:tcW w:w="786" w:type="dxa"/>
            <w:tcBorders>
              <w:right w:val="nil"/>
            </w:tcBorders>
            <w:noWrap w:val="0"/>
            <w:vAlign w:val="center"/>
          </w:tcPr>
          <w:p w14:paraId="7FF93C3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27C852C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w:t>
            </w:r>
          </w:p>
        </w:tc>
        <w:tc>
          <w:tcPr>
            <w:tcW w:w="786" w:type="dxa"/>
            <w:tcBorders>
              <w:right w:val="nil"/>
            </w:tcBorders>
            <w:noWrap w:val="0"/>
            <w:vAlign w:val="center"/>
          </w:tcPr>
          <w:p w14:paraId="7DB68E1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0.9</w:t>
            </w:r>
          </w:p>
        </w:tc>
        <w:tc>
          <w:tcPr>
            <w:tcW w:w="786" w:type="dxa"/>
            <w:tcBorders>
              <w:right w:val="nil"/>
            </w:tcBorders>
            <w:noWrap w:val="0"/>
            <w:vAlign w:val="center"/>
          </w:tcPr>
          <w:p w14:paraId="26915CD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5</w:t>
            </w:r>
          </w:p>
        </w:tc>
        <w:tc>
          <w:tcPr>
            <w:tcW w:w="786" w:type="dxa"/>
            <w:tcBorders>
              <w:right w:val="nil"/>
            </w:tcBorders>
            <w:noWrap w:val="0"/>
            <w:vAlign w:val="center"/>
          </w:tcPr>
          <w:p w14:paraId="5E95500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0.019 </w:t>
            </w:r>
          </w:p>
        </w:tc>
        <w:tc>
          <w:tcPr>
            <w:tcW w:w="787" w:type="dxa"/>
            <w:noWrap w:val="0"/>
            <w:vAlign w:val="center"/>
          </w:tcPr>
          <w:p w14:paraId="6616963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r>
      <w:tr w14:paraId="27E82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restart"/>
            <w:tcBorders>
              <w:right w:val="single" w:color="auto" w:sz="4" w:space="0"/>
            </w:tcBorders>
            <w:noWrap w:val="0"/>
            <w:vAlign w:val="center"/>
          </w:tcPr>
          <w:p w14:paraId="62D52DD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T5厂区内生产区中部土壤</w:t>
            </w:r>
          </w:p>
        </w:tc>
        <w:tc>
          <w:tcPr>
            <w:tcW w:w="921" w:type="dxa"/>
            <w:tcBorders>
              <w:left w:val="single" w:color="auto" w:sz="4" w:space="0"/>
              <w:right w:val="nil"/>
            </w:tcBorders>
            <w:noWrap w:val="0"/>
            <w:vAlign w:val="center"/>
          </w:tcPr>
          <w:p w14:paraId="6EBAC25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0-0.5m</w:t>
            </w:r>
          </w:p>
        </w:tc>
        <w:tc>
          <w:tcPr>
            <w:tcW w:w="786" w:type="dxa"/>
            <w:tcBorders>
              <w:right w:val="nil"/>
            </w:tcBorders>
            <w:noWrap w:val="0"/>
            <w:vAlign w:val="center"/>
          </w:tcPr>
          <w:p w14:paraId="7E3CF9F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7.32</w:t>
            </w:r>
          </w:p>
        </w:tc>
        <w:tc>
          <w:tcPr>
            <w:tcW w:w="786" w:type="dxa"/>
            <w:tcBorders>
              <w:right w:val="nil"/>
            </w:tcBorders>
            <w:noWrap w:val="0"/>
            <w:vAlign w:val="center"/>
          </w:tcPr>
          <w:p w14:paraId="5C57E7A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2.30</w:t>
            </w:r>
          </w:p>
        </w:tc>
        <w:tc>
          <w:tcPr>
            <w:tcW w:w="786" w:type="dxa"/>
            <w:tcBorders>
              <w:right w:val="nil"/>
            </w:tcBorders>
            <w:noWrap w:val="0"/>
            <w:vAlign w:val="center"/>
          </w:tcPr>
          <w:p w14:paraId="6E5017E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1.02</w:t>
            </w:r>
          </w:p>
        </w:tc>
        <w:tc>
          <w:tcPr>
            <w:tcW w:w="786" w:type="dxa"/>
            <w:tcBorders>
              <w:right w:val="nil"/>
            </w:tcBorders>
            <w:noWrap w:val="0"/>
            <w:vAlign w:val="center"/>
          </w:tcPr>
          <w:p w14:paraId="3FFB22F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64A9D5A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13</w:t>
            </w:r>
          </w:p>
        </w:tc>
        <w:tc>
          <w:tcPr>
            <w:tcW w:w="786" w:type="dxa"/>
            <w:tcBorders>
              <w:right w:val="nil"/>
            </w:tcBorders>
            <w:noWrap w:val="0"/>
            <w:vAlign w:val="center"/>
          </w:tcPr>
          <w:p w14:paraId="4D150DC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13.3</w:t>
            </w:r>
          </w:p>
        </w:tc>
        <w:tc>
          <w:tcPr>
            <w:tcW w:w="786" w:type="dxa"/>
            <w:tcBorders>
              <w:right w:val="nil"/>
            </w:tcBorders>
            <w:noWrap w:val="0"/>
            <w:vAlign w:val="center"/>
          </w:tcPr>
          <w:p w14:paraId="43596A7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37</w:t>
            </w:r>
          </w:p>
        </w:tc>
        <w:tc>
          <w:tcPr>
            <w:tcW w:w="786" w:type="dxa"/>
            <w:tcBorders>
              <w:right w:val="nil"/>
            </w:tcBorders>
            <w:noWrap w:val="0"/>
            <w:vAlign w:val="center"/>
          </w:tcPr>
          <w:p w14:paraId="330172D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0.144 </w:t>
            </w:r>
          </w:p>
        </w:tc>
        <w:tc>
          <w:tcPr>
            <w:tcW w:w="787" w:type="dxa"/>
            <w:noWrap w:val="0"/>
            <w:vAlign w:val="center"/>
          </w:tcPr>
          <w:p w14:paraId="4A6620D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5</w:t>
            </w:r>
          </w:p>
        </w:tc>
      </w:tr>
      <w:tr w14:paraId="17135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5D3B9BD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044CAE6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0.5-1.5m</w:t>
            </w:r>
          </w:p>
        </w:tc>
        <w:tc>
          <w:tcPr>
            <w:tcW w:w="786" w:type="dxa"/>
            <w:tcBorders>
              <w:right w:val="nil"/>
            </w:tcBorders>
            <w:noWrap w:val="0"/>
            <w:vAlign w:val="center"/>
          </w:tcPr>
          <w:p w14:paraId="5C57AC7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7.61</w:t>
            </w:r>
          </w:p>
        </w:tc>
        <w:tc>
          <w:tcPr>
            <w:tcW w:w="786" w:type="dxa"/>
            <w:tcBorders>
              <w:right w:val="nil"/>
            </w:tcBorders>
            <w:noWrap w:val="0"/>
            <w:vAlign w:val="center"/>
          </w:tcPr>
          <w:p w14:paraId="7098D6C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0.863</w:t>
            </w:r>
          </w:p>
        </w:tc>
        <w:tc>
          <w:tcPr>
            <w:tcW w:w="786" w:type="dxa"/>
            <w:tcBorders>
              <w:right w:val="nil"/>
            </w:tcBorders>
            <w:noWrap w:val="0"/>
            <w:vAlign w:val="center"/>
          </w:tcPr>
          <w:p w14:paraId="73A6B2E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0.26</w:t>
            </w:r>
          </w:p>
        </w:tc>
        <w:tc>
          <w:tcPr>
            <w:tcW w:w="786" w:type="dxa"/>
            <w:tcBorders>
              <w:right w:val="nil"/>
            </w:tcBorders>
            <w:noWrap w:val="0"/>
            <w:vAlign w:val="center"/>
          </w:tcPr>
          <w:p w14:paraId="3E79CFD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1015100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6</w:t>
            </w:r>
          </w:p>
        </w:tc>
        <w:tc>
          <w:tcPr>
            <w:tcW w:w="786" w:type="dxa"/>
            <w:tcBorders>
              <w:right w:val="nil"/>
            </w:tcBorders>
            <w:noWrap w:val="0"/>
            <w:vAlign w:val="center"/>
          </w:tcPr>
          <w:p w14:paraId="0B4AAE5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5.1</w:t>
            </w:r>
          </w:p>
        </w:tc>
        <w:tc>
          <w:tcPr>
            <w:tcW w:w="786" w:type="dxa"/>
            <w:tcBorders>
              <w:right w:val="nil"/>
            </w:tcBorders>
            <w:noWrap w:val="0"/>
            <w:vAlign w:val="center"/>
          </w:tcPr>
          <w:p w14:paraId="0037E8C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17</w:t>
            </w:r>
          </w:p>
        </w:tc>
        <w:tc>
          <w:tcPr>
            <w:tcW w:w="786" w:type="dxa"/>
            <w:tcBorders>
              <w:right w:val="nil"/>
            </w:tcBorders>
            <w:noWrap w:val="0"/>
            <w:vAlign w:val="center"/>
          </w:tcPr>
          <w:p w14:paraId="24F3ED4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0.029 </w:t>
            </w:r>
          </w:p>
        </w:tc>
        <w:tc>
          <w:tcPr>
            <w:tcW w:w="787" w:type="dxa"/>
            <w:noWrap w:val="0"/>
            <w:vAlign w:val="center"/>
          </w:tcPr>
          <w:p w14:paraId="55FB1A6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w:t>
            </w:r>
          </w:p>
        </w:tc>
      </w:tr>
      <w:tr w14:paraId="1E873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50" w:type="dxa"/>
            <w:vMerge w:val="continue"/>
            <w:tcBorders>
              <w:right w:val="single" w:color="auto" w:sz="4" w:space="0"/>
            </w:tcBorders>
            <w:noWrap w:val="0"/>
            <w:vAlign w:val="center"/>
          </w:tcPr>
          <w:p w14:paraId="76A7D0D6">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p>
        </w:tc>
        <w:tc>
          <w:tcPr>
            <w:tcW w:w="921" w:type="dxa"/>
            <w:tcBorders>
              <w:left w:val="single" w:color="auto" w:sz="4" w:space="0"/>
              <w:right w:val="nil"/>
            </w:tcBorders>
            <w:noWrap w:val="0"/>
            <w:vAlign w:val="center"/>
          </w:tcPr>
          <w:p w14:paraId="028F53C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1.5-3m</w:t>
            </w:r>
          </w:p>
        </w:tc>
        <w:tc>
          <w:tcPr>
            <w:tcW w:w="786" w:type="dxa"/>
            <w:tcBorders>
              <w:right w:val="nil"/>
            </w:tcBorders>
            <w:noWrap w:val="0"/>
            <w:vAlign w:val="center"/>
          </w:tcPr>
          <w:p w14:paraId="702889F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7.83</w:t>
            </w:r>
          </w:p>
        </w:tc>
        <w:tc>
          <w:tcPr>
            <w:tcW w:w="786" w:type="dxa"/>
            <w:tcBorders>
              <w:right w:val="nil"/>
            </w:tcBorders>
            <w:noWrap w:val="0"/>
            <w:vAlign w:val="center"/>
          </w:tcPr>
          <w:p w14:paraId="3912A83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0.529</w:t>
            </w:r>
          </w:p>
        </w:tc>
        <w:tc>
          <w:tcPr>
            <w:tcW w:w="786" w:type="dxa"/>
            <w:tcBorders>
              <w:right w:val="nil"/>
            </w:tcBorders>
            <w:noWrap w:val="0"/>
            <w:vAlign w:val="center"/>
          </w:tcPr>
          <w:p w14:paraId="29DA79A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0.02</w:t>
            </w:r>
          </w:p>
        </w:tc>
        <w:tc>
          <w:tcPr>
            <w:tcW w:w="786" w:type="dxa"/>
            <w:tcBorders>
              <w:right w:val="nil"/>
            </w:tcBorders>
            <w:noWrap w:val="0"/>
            <w:vAlign w:val="center"/>
          </w:tcPr>
          <w:p w14:paraId="59C009A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ND</w:t>
            </w:r>
          </w:p>
        </w:tc>
        <w:tc>
          <w:tcPr>
            <w:tcW w:w="786" w:type="dxa"/>
            <w:tcBorders>
              <w:right w:val="nil"/>
            </w:tcBorders>
            <w:noWrap w:val="0"/>
            <w:vAlign w:val="center"/>
          </w:tcPr>
          <w:p w14:paraId="1A34BE4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w:t>
            </w:r>
          </w:p>
        </w:tc>
        <w:tc>
          <w:tcPr>
            <w:tcW w:w="786" w:type="dxa"/>
            <w:tcBorders>
              <w:right w:val="nil"/>
            </w:tcBorders>
            <w:noWrap w:val="0"/>
            <w:vAlign w:val="center"/>
          </w:tcPr>
          <w:p w14:paraId="08A1989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1.2</w:t>
            </w:r>
          </w:p>
        </w:tc>
        <w:tc>
          <w:tcPr>
            <w:tcW w:w="786" w:type="dxa"/>
            <w:tcBorders>
              <w:right w:val="nil"/>
            </w:tcBorders>
            <w:noWrap w:val="0"/>
            <w:vAlign w:val="center"/>
          </w:tcPr>
          <w:p w14:paraId="754292C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6</w:t>
            </w:r>
          </w:p>
        </w:tc>
        <w:tc>
          <w:tcPr>
            <w:tcW w:w="786" w:type="dxa"/>
            <w:tcBorders>
              <w:right w:val="nil"/>
            </w:tcBorders>
            <w:noWrap w:val="0"/>
            <w:vAlign w:val="center"/>
          </w:tcPr>
          <w:p w14:paraId="384F5F7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0.017 </w:t>
            </w:r>
          </w:p>
        </w:tc>
        <w:tc>
          <w:tcPr>
            <w:tcW w:w="787" w:type="dxa"/>
            <w:noWrap w:val="0"/>
            <w:vAlign w:val="center"/>
          </w:tcPr>
          <w:p w14:paraId="24D3B05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r>
      <w:tr w14:paraId="3C9DB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971" w:type="dxa"/>
            <w:gridSpan w:val="2"/>
            <w:tcBorders>
              <w:right w:val="nil"/>
            </w:tcBorders>
            <w:noWrap w:val="0"/>
            <w:vAlign w:val="center"/>
          </w:tcPr>
          <w:p w14:paraId="7006DE06">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T7厂区内办公区土壤</w:t>
            </w:r>
          </w:p>
        </w:tc>
        <w:tc>
          <w:tcPr>
            <w:tcW w:w="786" w:type="dxa"/>
            <w:tcBorders>
              <w:right w:val="nil"/>
            </w:tcBorders>
            <w:noWrap w:val="0"/>
            <w:vAlign w:val="center"/>
          </w:tcPr>
          <w:p w14:paraId="3352D60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6.82</w:t>
            </w:r>
          </w:p>
        </w:tc>
        <w:tc>
          <w:tcPr>
            <w:tcW w:w="786" w:type="dxa"/>
            <w:tcBorders>
              <w:right w:val="nil"/>
            </w:tcBorders>
            <w:noWrap w:val="0"/>
            <w:vAlign w:val="center"/>
          </w:tcPr>
          <w:p w14:paraId="0B0F062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2.40</w:t>
            </w:r>
          </w:p>
        </w:tc>
        <w:tc>
          <w:tcPr>
            <w:tcW w:w="786" w:type="dxa"/>
            <w:tcBorders>
              <w:right w:val="nil"/>
            </w:tcBorders>
            <w:noWrap w:val="0"/>
            <w:vAlign w:val="center"/>
          </w:tcPr>
          <w:p w14:paraId="3C515FF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0.77</w:t>
            </w:r>
          </w:p>
        </w:tc>
        <w:tc>
          <w:tcPr>
            <w:tcW w:w="786" w:type="dxa"/>
            <w:tcBorders>
              <w:right w:val="nil"/>
            </w:tcBorders>
            <w:noWrap w:val="0"/>
            <w:vAlign w:val="center"/>
          </w:tcPr>
          <w:p w14:paraId="3F8F87B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c>
          <w:tcPr>
            <w:tcW w:w="786" w:type="dxa"/>
            <w:tcBorders>
              <w:right w:val="nil"/>
            </w:tcBorders>
            <w:noWrap w:val="0"/>
            <w:vAlign w:val="center"/>
          </w:tcPr>
          <w:p w14:paraId="58BC049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14</w:t>
            </w:r>
          </w:p>
        </w:tc>
        <w:tc>
          <w:tcPr>
            <w:tcW w:w="786" w:type="dxa"/>
            <w:tcBorders>
              <w:right w:val="nil"/>
            </w:tcBorders>
            <w:noWrap w:val="0"/>
            <w:vAlign w:val="center"/>
          </w:tcPr>
          <w:p w14:paraId="76640C7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11.4</w:t>
            </w:r>
          </w:p>
        </w:tc>
        <w:tc>
          <w:tcPr>
            <w:tcW w:w="786" w:type="dxa"/>
            <w:tcBorders>
              <w:right w:val="nil"/>
            </w:tcBorders>
            <w:noWrap w:val="0"/>
            <w:vAlign w:val="center"/>
          </w:tcPr>
          <w:p w14:paraId="4FEC8A2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41</w:t>
            </w:r>
          </w:p>
        </w:tc>
        <w:tc>
          <w:tcPr>
            <w:tcW w:w="786" w:type="dxa"/>
            <w:tcBorders>
              <w:right w:val="nil"/>
            </w:tcBorders>
            <w:noWrap w:val="0"/>
            <w:vAlign w:val="center"/>
          </w:tcPr>
          <w:p w14:paraId="747D4E0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0.114 </w:t>
            </w:r>
          </w:p>
        </w:tc>
        <w:tc>
          <w:tcPr>
            <w:tcW w:w="787" w:type="dxa"/>
            <w:noWrap w:val="0"/>
            <w:vAlign w:val="center"/>
          </w:tcPr>
          <w:p w14:paraId="282FC18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4</w:t>
            </w:r>
          </w:p>
        </w:tc>
      </w:tr>
      <w:tr w14:paraId="01CBB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971" w:type="dxa"/>
            <w:gridSpan w:val="2"/>
            <w:tcBorders>
              <w:right w:val="nil"/>
            </w:tcBorders>
            <w:noWrap w:val="0"/>
            <w:vAlign w:val="center"/>
          </w:tcPr>
          <w:p w14:paraId="09C9FBE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T8厂区外东侧土壤</w:t>
            </w:r>
          </w:p>
        </w:tc>
        <w:tc>
          <w:tcPr>
            <w:tcW w:w="786" w:type="dxa"/>
            <w:tcBorders>
              <w:right w:val="nil"/>
            </w:tcBorders>
            <w:noWrap w:val="0"/>
            <w:vAlign w:val="center"/>
          </w:tcPr>
          <w:p w14:paraId="22935B7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6.74</w:t>
            </w:r>
          </w:p>
        </w:tc>
        <w:tc>
          <w:tcPr>
            <w:tcW w:w="786" w:type="dxa"/>
            <w:tcBorders>
              <w:right w:val="nil"/>
            </w:tcBorders>
            <w:noWrap w:val="0"/>
            <w:vAlign w:val="center"/>
          </w:tcPr>
          <w:p w14:paraId="5C6C323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2.91</w:t>
            </w:r>
          </w:p>
        </w:tc>
        <w:tc>
          <w:tcPr>
            <w:tcW w:w="786" w:type="dxa"/>
            <w:tcBorders>
              <w:right w:val="nil"/>
            </w:tcBorders>
            <w:noWrap w:val="0"/>
            <w:vAlign w:val="center"/>
          </w:tcPr>
          <w:p w14:paraId="344AF79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1.04</w:t>
            </w:r>
          </w:p>
        </w:tc>
        <w:tc>
          <w:tcPr>
            <w:tcW w:w="786" w:type="dxa"/>
            <w:tcBorders>
              <w:right w:val="nil"/>
            </w:tcBorders>
            <w:noWrap w:val="0"/>
            <w:vAlign w:val="center"/>
          </w:tcPr>
          <w:p w14:paraId="02C2560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c>
          <w:tcPr>
            <w:tcW w:w="786" w:type="dxa"/>
            <w:tcBorders>
              <w:right w:val="nil"/>
            </w:tcBorders>
            <w:noWrap w:val="0"/>
            <w:vAlign w:val="center"/>
          </w:tcPr>
          <w:p w14:paraId="67A6416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10</w:t>
            </w:r>
          </w:p>
        </w:tc>
        <w:tc>
          <w:tcPr>
            <w:tcW w:w="786" w:type="dxa"/>
            <w:tcBorders>
              <w:right w:val="nil"/>
            </w:tcBorders>
            <w:noWrap w:val="0"/>
            <w:vAlign w:val="center"/>
          </w:tcPr>
          <w:p w14:paraId="54F07B8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10.1</w:t>
            </w:r>
          </w:p>
        </w:tc>
        <w:tc>
          <w:tcPr>
            <w:tcW w:w="786" w:type="dxa"/>
            <w:tcBorders>
              <w:right w:val="nil"/>
            </w:tcBorders>
            <w:noWrap w:val="0"/>
            <w:vAlign w:val="center"/>
          </w:tcPr>
          <w:p w14:paraId="05AFDE0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31</w:t>
            </w:r>
          </w:p>
        </w:tc>
        <w:tc>
          <w:tcPr>
            <w:tcW w:w="786" w:type="dxa"/>
            <w:tcBorders>
              <w:right w:val="nil"/>
            </w:tcBorders>
            <w:noWrap w:val="0"/>
            <w:vAlign w:val="center"/>
          </w:tcPr>
          <w:p w14:paraId="70BC6B9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0.100 </w:t>
            </w:r>
          </w:p>
        </w:tc>
        <w:tc>
          <w:tcPr>
            <w:tcW w:w="787" w:type="dxa"/>
            <w:noWrap w:val="0"/>
            <w:vAlign w:val="center"/>
          </w:tcPr>
          <w:p w14:paraId="2523EE6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w:t>
            </w:r>
          </w:p>
        </w:tc>
      </w:tr>
      <w:tr w14:paraId="43CE6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971" w:type="dxa"/>
            <w:gridSpan w:val="2"/>
            <w:tcBorders>
              <w:right w:val="nil"/>
            </w:tcBorders>
            <w:noWrap w:val="0"/>
            <w:vAlign w:val="center"/>
          </w:tcPr>
          <w:p w14:paraId="7AEF81A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T9厂区外南侧土壤</w:t>
            </w:r>
          </w:p>
        </w:tc>
        <w:tc>
          <w:tcPr>
            <w:tcW w:w="786" w:type="dxa"/>
            <w:tcBorders>
              <w:right w:val="nil"/>
            </w:tcBorders>
            <w:noWrap w:val="0"/>
            <w:vAlign w:val="center"/>
          </w:tcPr>
          <w:p w14:paraId="171FF76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7.02</w:t>
            </w:r>
          </w:p>
        </w:tc>
        <w:tc>
          <w:tcPr>
            <w:tcW w:w="786" w:type="dxa"/>
            <w:tcBorders>
              <w:right w:val="nil"/>
            </w:tcBorders>
            <w:noWrap w:val="0"/>
            <w:vAlign w:val="center"/>
          </w:tcPr>
          <w:p w14:paraId="4C1F5F3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2.34</w:t>
            </w:r>
          </w:p>
        </w:tc>
        <w:tc>
          <w:tcPr>
            <w:tcW w:w="786" w:type="dxa"/>
            <w:tcBorders>
              <w:right w:val="nil"/>
            </w:tcBorders>
            <w:noWrap w:val="0"/>
            <w:vAlign w:val="center"/>
          </w:tcPr>
          <w:p w14:paraId="122FAB5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0.87</w:t>
            </w:r>
          </w:p>
        </w:tc>
        <w:tc>
          <w:tcPr>
            <w:tcW w:w="786" w:type="dxa"/>
            <w:tcBorders>
              <w:right w:val="nil"/>
            </w:tcBorders>
            <w:noWrap w:val="0"/>
            <w:vAlign w:val="center"/>
          </w:tcPr>
          <w:p w14:paraId="2175FB2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c>
          <w:tcPr>
            <w:tcW w:w="786" w:type="dxa"/>
            <w:tcBorders>
              <w:right w:val="nil"/>
            </w:tcBorders>
            <w:noWrap w:val="0"/>
            <w:vAlign w:val="center"/>
          </w:tcPr>
          <w:p w14:paraId="61B079F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13</w:t>
            </w:r>
          </w:p>
        </w:tc>
        <w:tc>
          <w:tcPr>
            <w:tcW w:w="786" w:type="dxa"/>
            <w:tcBorders>
              <w:right w:val="nil"/>
            </w:tcBorders>
            <w:noWrap w:val="0"/>
            <w:vAlign w:val="center"/>
          </w:tcPr>
          <w:p w14:paraId="4CA527D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8.7</w:t>
            </w:r>
          </w:p>
        </w:tc>
        <w:tc>
          <w:tcPr>
            <w:tcW w:w="786" w:type="dxa"/>
            <w:tcBorders>
              <w:right w:val="nil"/>
            </w:tcBorders>
            <w:noWrap w:val="0"/>
            <w:vAlign w:val="center"/>
          </w:tcPr>
          <w:p w14:paraId="63D1667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37</w:t>
            </w:r>
          </w:p>
        </w:tc>
        <w:tc>
          <w:tcPr>
            <w:tcW w:w="786" w:type="dxa"/>
            <w:tcBorders>
              <w:right w:val="nil"/>
            </w:tcBorders>
            <w:noWrap w:val="0"/>
            <w:vAlign w:val="center"/>
          </w:tcPr>
          <w:p w14:paraId="1A1EFF4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0.100 </w:t>
            </w:r>
          </w:p>
        </w:tc>
        <w:tc>
          <w:tcPr>
            <w:tcW w:w="787" w:type="dxa"/>
            <w:noWrap w:val="0"/>
            <w:vAlign w:val="center"/>
          </w:tcPr>
          <w:p w14:paraId="332E259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w:t>
            </w:r>
          </w:p>
        </w:tc>
      </w:tr>
      <w:tr w14:paraId="5DCDA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971" w:type="dxa"/>
            <w:gridSpan w:val="2"/>
            <w:tcBorders>
              <w:right w:val="nil"/>
            </w:tcBorders>
            <w:noWrap w:val="0"/>
            <w:vAlign w:val="center"/>
          </w:tcPr>
          <w:p w14:paraId="7723151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T10厂区外西侧土壤</w:t>
            </w:r>
          </w:p>
        </w:tc>
        <w:tc>
          <w:tcPr>
            <w:tcW w:w="786" w:type="dxa"/>
            <w:tcBorders>
              <w:right w:val="nil"/>
            </w:tcBorders>
            <w:noWrap w:val="0"/>
            <w:vAlign w:val="center"/>
          </w:tcPr>
          <w:p w14:paraId="2769B13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7.22</w:t>
            </w:r>
          </w:p>
        </w:tc>
        <w:tc>
          <w:tcPr>
            <w:tcW w:w="786" w:type="dxa"/>
            <w:tcBorders>
              <w:right w:val="nil"/>
            </w:tcBorders>
            <w:noWrap w:val="0"/>
            <w:vAlign w:val="center"/>
          </w:tcPr>
          <w:p w14:paraId="63D491FA">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2.43</w:t>
            </w:r>
          </w:p>
        </w:tc>
        <w:tc>
          <w:tcPr>
            <w:tcW w:w="786" w:type="dxa"/>
            <w:tcBorders>
              <w:right w:val="nil"/>
            </w:tcBorders>
            <w:noWrap w:val="0"/>
            <w:vAlign w:val="center"/>
          </w:tcPr>
          <w:p w14:paraId="4C5DE27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1.08</w:t>
            </w:r>
          </w:p>
        </w:tc>
        <w:tc>
          <w:tcPr>
            <w:tcW w:w="786" w:type="dxa"/>
            <w:tcBorders>
              <w:right w:val="nil"/>
            </w:tcBorders>
            <w:noWrap w:val="0"/>
            <w:vAlign w:val="center"/>
          </w:tcPr>
          <w:p w14:paraId="7599BF0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c>
          <w:tcPr>
            <w:tcW w:w="786" w:type="dxa"/>
            <w:tcBorders>
              <w:right w:val="nil"/>
            </w:tcBorders>
            <w:noWrap w:val="0"/>
            <w:vAlign w:val="center"/>
          </w:tcPr>
          <w:p w14:paraId="651EEE4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14</w:t>
            </w:r>
          </w:p>
        </w:tc>
        <w:tc>
          <w:tcPr>
            <w:tcW w:w="786" w:type="dxa"/>
            <w:tcBorders>
              <w:right w:val="nil"/>
            </w:tcBorders>
            <w:noWrap w:val="0"/>
            <w:vAlign w:val="center"/>
          </w:tcPr>
          <w:p w14:paraId="536C642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10.8</w:t>
            </w:r>
          </w:p>
        </w:tc>
        <w:tc>
          <w:tcPr>
            <w:tcW w:w="786" w:type="dxa"/>
            <w:tcBorders>
              <w:right w:val="nil"/>
            </w:tcBorders>
            <w:noWrap w:val="0"/>
            <w:vAlign w:val="center"/>
          </w:tcPr>
          <w:p w14:paraId="4262C9C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30</w:t>
            </w:r>
          </w:p>
        </w:tc>
        <w:tc>
          <w:tcPr>
            <w:tcW w:w="786" w:type="dxa"/>
            <w:tcBorders>
              <w:right w:val="nil"/>
            </w:tcBorders>
            <w:noWrap w:val="0"/>
            <w:vAlign w:val="center"/>
          </w:tcPr>
          <w:p w14:paraId="6E84133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0.101 </w:t>
            </w:r>
          </w:p>
        </w:tc>
        <w:tc>
          <w:tcPr>
            <w:tcW w:w="787" w:type="dxa"/>
            <w:noWrap w:val="0"/>
            <w:vAlign w:val="center"/>
          </w:tcPr>
          <w:p w14:paraId="64798D1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5</w:t>
            </w:r>
          </w:p>
        </w:tc>
      </w:tr>
      <w:tr w14:paraId="3F438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971" w:type="dxa"/>
            <w:gridSpan w:val="2"/>
            <w:tcBorders>
              <w:right w:val="nil"/>
            </w:tcBorders>
            <w:noWrap w:val="0"/>
            <w:vAlign w:val="center"/>
          </w:tcPr>
          <w:p w14:paraId="06B6A9E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rPr>
              <w:t>T11厂区外北侧土壤</w:t>
            </w:r>
          </w:p>
        </w:tc>
        <w:tc>
          <w:tcPr>
            <w:tcW w:w="786" w:type="dxa"/>
            <w:tcBorders>
              <w:right w:val="nil"/>
            </w:tcBorders>
            <w:noWrap w:val="0"/>
            <w:vAlign w:val="center"/>
          </w:tcPr>
          <w:p w14:paraId="01AF260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7.31</w:t>
            </w:r>
          </w:p>
        </w:tc>
        <w:tc>
          <w:tcPr>
            <w:tcW w:w="786" w:type="dxa"/>
            <w:tcBorders>
              <w:right w:val="nil"/>
            </w:tcBorders>
            <w:noWrap w:val="0"/>
            <w:vAlign w:val="center"/>
          </w:tcPr>
          <w:p w14:paraId="259DE9C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2.65</w:t>
            </w:r>
          </w:p>
        </w:tc>
        <w:tc>
          <w:tcPr>
            <w:tcW w:w="786" w:type="dxa"/>
            <w:tcBorders>
              <w:right w:val="nil"/>
            </w:tcBorders>
            <w:noWrap w:val="0"/>
            <w:vAlign w:val="center"/>
          </w:tcPr>
          <w:p w14:paraId="21A6EDB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0.84</w:t>
            </w:r>
          </w:p>
        </w:tc>
        <w:tc>
          <w:tcPr>
            <w:tcW w:w="786" w:type="dxa"/>
            <w:tcBorders>
              <w:right w:val="nil"/>
            </w:tcBorders>
            <w:noWrap w:val="0"/>
            <w:vAlign w:val="center"/>
          </w:tcPr>
          <w:p w14:paraId="139E149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ND</w:t>
            </w:r>
          </w:p>
        </w:tc>
        <w:tc>
          <w:tcPr>
            <w:tcW w:w="786" w:type="dxa"/>
            <w:tcBorders>
              <w:right w:val="nil"/>
            </w:tcBorders>
            <w:noWrap w:val="0"/>
            <w:vAlign w:val="center"/>
          </w:tcPr>
          <w:p w14:paraId="0E37A69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13</w:t>
            </w:r>
          </w:p>
        </w:tc>
        <w:tc>
          <w:tcPr>
            <w:tcW w:w="786" w:type="dxa"/>
            <w:tcBorders>
              <w:right w:val="nil"/>
            </w:tcBorders>
            <w:noWrap w:val="0"/>
            <w:vAlign w:val="center"/>
          </w:tcPr>
          <w:p w14:paraId="4FD019D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12.2</w:t>
            </w:r>
          </w:p>
        </w:tc>
        <w:tc>
          <w:tcPr>
            <w:tcW w:w="786" w:type="dxa"/>
            <w:tcBorders>
              <w:right w:val="nil"/>
            </w:tcBorders>
            <w:noWrap w:val="0"/>
            <w:vAlign w:val="center"/>
          </w:tcPr>
          <w:p w14:paraId="51E3B46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33</w:t>
            </w:r>
          </w:p>
        </w:tc>
        <w:tc>
          <w:tcPr>
            <w:tcW w:w="786" w:type="dxa"/>
            <w:tcBorders>
              <w:right w:val="nil"/>
            </w:tcBorders>
            <w:noWrap w:val="0"/>
            <w:vAlign w:val="center"/>
          </w:tcPr>
          <w:p w14:paraId="2B600A9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 xml:space="preserve">0.097 </w:t>
            </w:r>
          </w:p>
        </w:tc>
        <w:tc>
          <w:tcPr>
            <w:tcW w:w="787" w:type="dxa"/>
            <w:noWrap w:val="0"/>
            <w:vAlign w:val="center"/>
          </w:tcPr>
          <w:p w14:paraId="0BA1717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i w:val="0"/>
                <w:color w:val="auto"/>
                <w:kern w:val="0"/>
                <w:sz w:val="21"/>
                <w:szCs w:val="21"/>
                <w:highlight w:val="none"/>
                <w:u w:val="none" w:color="auto"/>
                <w:lang w:val="en-US" w:eastAsia="zh-CN" w:bidi="ar"/>
              </w:rPr>
              <w:t>3</w:t>
            </w:r>
          </w:p>
        </w:tc>
      </w:tr>
      <w:tr w14:paraId="47545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971" w:type="dxa"/>
            <w:gridSpan w:val="2"/>
            <w:tcBorders>
              <w:right w:val="nil"/>
            </w:tcBorders>
            <w:noWrap w:val="0"/>
            <w:vAlign w:val="center"/>
          </w:tcPr>
          <w:p w14:paraId="3994D77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(GB36600-2018)</w:t>
            </w:r>
            <w:r>
              <w:rPr>
                <w:rFonts w:hint="default" w:ascii="Times New Roman" w:hAnsi="Times New Roman" w:eastAsia="宋体" w:cs="Times New Roman"/>
                <w:color w:val="auto"/>
                <w:sz w:val="21"/>
                <w:szCs w:val="21"/>
                <w:highlight w:val="none"/>
                <w:u w:val="none" w:color="auto"/>
                <w:lang w:val="en-US" w:eastAsia="zh-CN"/>
              </w:rPr>
              <w:t>中第</w:t>
            </w:r>
            <w:r>
              <w:rPr>
                <w:rFonts w:hint="default" w:ascii="Times New Roman" w:hAnsi="Times New Roman" w:eastAsia="宋体" w:cs="Times New Roman"/>
                <w:color w:val="auto"/>
                <w:sz w:val="21"/>
                <w:szCs w:val="21"/>
                <w:highlight w:val="none"/>
                <w:u w:val="none" w:color="auto"/>
                <w:lang w:eastAsia="zh-CN"/>
              </w:rPr>
              <w:t>二类</w:t>
            </w:r>
            <w:r>
              <w:rPr>
                <w:rFonts w:hint="default" w:ascii="Times New Roman" w:hAnsi="Times New Roman" w:eastAsia="宋体" w:cs="Times New Roman"/>
                <w:color w:val="auto"/>
                <w:sz w:val="21"/>
                <w:szCs w:val="21"/>
                <w:highlight w:val="none"/>
                <w:u w:val="none" w:color="auto"/>
                <w:lang w:val="en-US" w:eastAsia="zh-CN"/>
              </w:rPr>
              <w:t>用地</w:t>
            </w:r>
            <w:r>
              <w:rPr>
                <w:rFonts w:hint="default" w:ascii="Times New Roman" w:hAnsi="Times New Roman" w:eastAsia="宋体" w:cs="Times New Roman"/>
                <w:color w:val="auto"/>
                <w:sz w:val="21"/>
                <w:szCs w:val="21"/>
                <w:highlight w:val="none"/>
                <w:u w:val="none" w:color="auto"/>
                <w:lang w:eastAsia="zh-CN"/>
              </w:rPr>
              <w:t>筛选值</w:t>
            </w:r>
          </w:p>
        </w:tc>
        <w:tc>
          <w:tcPr>
            <w:tcW w:w="786" w:type="dxa"/>
            <w:tcBorders>
              <w:right w:val="nil"/>
            </w:tcBorders>
            <w:noWrap w:val="0"/>
            <w:vAlign w:val="center"/>
          </w:tcPr>
          <w:p w14:paraId="5150966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w:t>
            </w:r>
          </w:p>
        </w:tc>
        <w:tc>
          <w:tcPr>
            <w:tcW w:w="786" w:type="dxa"/>
            <w:tcBorders>
              <w:right w:val="nil"/>
            </w:tcBorders>
            <w:noWrap w:val="0"/>
            <w:vAlign w:val="center"/>
          </w:tcPr>
          <w:p w14:paraId="3D57776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60</w:t>
            </w:r>
          </w:p>
        </w:tc>
        <w:tc>
          <w:tcPr>
            <w:tcW w:w="786" w:type="dxa"/>
            <w:tcBorders>
              <w:right w:val="nil"/>
            </w:tcBorders>
            <w:noWrap w:val="0"/>
            <w:vAlign w:val="center"/>
          </w:tcPr>
          <w:p w14:paraId="252DC38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65</w:t>
            </w:r>
          </w:p>
        </w:tc>
        <w:tc>
          <w:tcPr>
            <w:tcW w:w="786" w:type="dxa"/>
            <w:tcBorders>
              <w:right w:val="nil"/>
            </w:tcBorders>
            <w:noWrap w:val="0"/>
            <w:vAlign w:val="center"/>
          </w:tcPr>
          <w:p w14:paraId="1EE271B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5.7</w:t>
            </w:r>
          </w:p>
        </w:tc>
        <w:tc>
          <w:tcPr>
            <w:tcW w:w="786" w:type="dxa"/>
            <w:tcBorders>
              <w:right w:val="nil"/>
            </w:tcBorders>
            <w:noWrap w:val="0"/>
            <w:vAlign w:val="center"/>
          </w:tcPr>
          <w:p w14:paraId="35C465F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18000</w:t>
            </w:r>
          </w:p>
        </w:tc>
        <w:tc>
          <w:tcPr>
            <w:tcW w:w="786" w:type="dxa"/>
            <w:tcBorders>
              <w:right w:val="nil"/>
            </w:tcBorders>
            <w:noWrap w:val="0"/>
            <w:vAlign w:val="center"/>
          </w:tcPr>
          <w:p w14:paraId="3BE87AB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800</w:t>
            </w:r>
          </w:p>
        </w:tc>
        <w:tc>
          <w:tcPr>
            <w:tcW w:w="786" w:type="dxa"/>
            <w:tcBorders>
              <w:right w:val="nil"/>
            </w:tcBorders>
            <w:noWrap w:val="0"/>
            <w:vAlign w:val="center"/>
          </w:tcPr>
          <w:p w14:paraId="0FFE577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w:t>
            </w:r>
          </w:p>
        </w:tc>
        <w:tc>
          <w:tcPr>
            <w:tcW w:w="786" w:type="dxa"/>
            <w:tcBorders>
              <w:right w:val="nil"/>
            </w:tcBorders>
            <w:noWrap w:val="0"/>
            <w:vAlign w:val="center"/>
          </w:tcPr>
          <w:p w14:paraId="68408EC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38</w:t>
            </w:r>
          </w:p>
        </w:tc>
        <w:tc>
          <w:tcPr>
            <w:tcW w:w="787" w:type="dxa"/>
            <w:noWrap w:val="0"/>
            <w:vAlign w:val="center"/>
          </w:tcPr>
          <w:p w14:paraId="03ACB6A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900</w:t>
            </w:r>
          </w:p>
        </w:tc>
      </w:tr>
      <w:tr w14:paraId="414E1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971" w:type="dxa"/>
            <w:gridSpan w:val="2"/>
            <w:tcBorders>
              <w:right w:val="nil"/>
            </w:tcBorders>
            <w:noWrap w:val="0"/>
            <w:vAlign w:val="center"/>
          </w:tcPr>
          <w:p w14:paraId="4D2E493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达标情况</w:t>
            </w:r>
          </w:p>
        </w:tc>
        <w:tc>
          <w:tcPr>
            <w:tcW w:w="786" w:type="dxa"/>
            <w:tcBorders>
              <w:right w:val="nil"/>
            </w:tcBorders>
            <w:noWrap w:val="0"/>
            <w:vAlign w:val="center"/>
          </w:tcPr>
          <w:p w14:paraId="735B568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达标</w:t>
            </w:r>
          </w:p>
        </w:tc>
        <w:tc>
          <w:tcPr>
            <w:tcW w:w="786" w:type="dxa"/>
            <w:tcBorders>
              <w:right w:val="nil"/>
            </w:tcBorders>
            <w:noWrap w:val="0"/>
            <w:vAlign w:val="center"/>
          </w:tcPr>
          <w:p w14:paraId="1B6A25C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达标</w:t>
            </w:r>
          </w:p>
        </w:tc>
        <w:tc>
          <w:tcPr>
            <w:tcW w:w="786" w:type="dxa"/>
            <w:tcBorders>
              <w:right w:val="nil"/>
            </w:tcBorders>
            <w:noWrap w:val="0"/>
            <w:vAlign w:val="center"/>
          </w:tcPr>
          <w:p w14:paraId="3CD2F44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达标</w:t>
            </w:r>
          </w:p>
        </w:tc>
        <w:tc>
          <w:tcPr>
            <w:tcW w:w="786" w:type="dxa"/>
            <w:tcBorders>
              <w:right w:val="nil"/>
            </w:tcBorders>
            <w:noWrap w:val="0"/>
            <w:vAlign w:val="center"/>
          </w:tcPr>
          <w:p w14:paraId="69DDE71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达标</w:t>
            </w:r>
          </w:p>
        </w:tc>
        <w:tc>
          <w:tcPr>
            <w:tcW w:w="786" w:type="dxa"/>
            <w:tcBorders>
              <w:right w:val="nil"/>
            </w:tcBorders>
            <w:noWrap w:val="0"/>
            <w:vAlign w:val="center"/>
          </w:tcPr>
          <w:p w14:paraId="2D00074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达标</w:t>
            </w:r>
          </w:p>
        </w:tc>
        <w:tc>
          <w:tcPr>
            <w:tcW w:w="786" w:type="dxa"/>
            <w:tcBorders>
              <w:right w:val="nil"/>
            </w:tcBorders>
            <w:noWrap w:val="0"/>
            <w:vAlign w:val="center"/>
          </w:tcPr>
          <w:p w14:paraId="2887196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达标</w:t>
            </w:r>
          </w:p>
        </w:tc>
        <w:tc>
          <w:tcPr>
            <w:tcW w:w="786" w:type="dxa"/>
            <w:tcBorders>
              <w:right w:val="nil"/>
            </w:tcBorders>
            <w:noWrap w:val="0"/>
            <w:vAlign w:val="center"/>
          </w:tcPr>
          <w:p w14:paraId="17FD540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达标</w:t>
            </w:r>
          </w:p>
        </w:tc>
        <w:tc>
          <w:tcPr>
            <w:tcW w:w="786" w:type="dxa"/>
            <w:tcBorders>
              <w:right w:val="nil"/>
            </w:tcBorders>
            <w:noWrap w:val="0"/>
            <w:vAlign w:val="center"/>
          </w:tcPr>
          <w:p w14:paraId="00A839D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达标</w:t>
            </w:r>
          </w:p>
        </w:tc>
        <w:tc>
          <w:tcPr>
            <w:tcW w:w="787" w:type="dxa"/>
            <w:noWrap w:val="0"/>
            <w:vAlign w:val="center"/>
          </w:tcPr>
          <w:p w14:paraId="6DAAA66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达标</w:t>
            </w:r>
          </w:p>
        </w:tc>
      </w:tr>
    </w:tbl>
    <w:p w14:paraId="0C91E3C6">
      <w:pPr>
        <w:pStyle w:val="28"/>
        <w:jc w:val="center"/>
        <w:rPr>
          <w:rFonts w:hint="default" w:ascii="Times New Roman" w:hAnsi="Times New Roman" w:eastAsia="宋体" w:cs="Times New Roman"/>
          <w:b/>
          <w:bCs/>
          <w:i w:val="0"/>
          <w:iCs w:val="0"/>
          <w:color w:val="auto"/>
          <w:sz w:val="21"/>
          <w:szCs w:val="21"/>
          <w:highlight w:val="none"/>
          <w:u w:val="none" w:color="auto"/>
          <w:lang w:val="en-US" w:eastAsia="zh-CN"/>
        </w:rPr>
      </w:pPr>
      <w:r>
        <w:rPr>
          <w:rFonts w:hint="default" w:ascii="Times New Roman" w:hAnsi="Times New Roman" w:eastAsia="宋体" w:cs="Times New Roman"/>
          <w:b/>
          <w:bCs/>
          <w:i w:val="0"/>
          <w:iCs w:val="0"/>
          <w:color w:val="auto"/>
          <w:sz w:val="21"/>
          <w:szCs w:val="21"/>
          <w:highlight w:val="none"/>
          <w:u w:val="none" w:color="auto"/>
          <w:lang w:eastAsia="zh-CN"/>
        </w:rPr>
        <w:t>表</w:t>
      </w:r>
      <w:r>
        <w:rPr>
          <w:rFonts w:hint="default" w:ascii="Times New Roman" w:hAnsi="Times New Roman" w:eastAsia="宋体" w:cs="Times New Roman"/>
          <w:b/>
          <w:bCs/>
          <w:i w:val="0"/>
          <w:iCs w:val="0"/>
          <w:color w:val="auto"/>
          <w:sz w:val="21"/>
          <w:szCs w:val="21"/>
          <w:highlight w:val="none"/>
          <w:u w:val="none" w:color="auto"/>
          <w:lang w:val="en-US" w:eastAsia="zh-CN"/>
        </w:rPr>
        <w:t>6</w:t>
      </w:r>
      <w:r>
        <w:rPr>
          <w:rFonts w:hint="default" w:ascii="Times New Roman" w:hAnsi="Times New Roman" w:eastAsia="宋体" w:cs="Times New Roman"/>
          <w:b/>
          <w:bCs/>
          <w:i w:val="0"/>
          <w:iCs w:val="0"/>
          <w:color w:val="auto"/>
          <w:sz w:val="21"/>
          <w:szCs w:val="21"/>
          <w:highlight w:val="none"/>
          <w:u w:val="none" w:color="auto"/>
          <w:lang w:eastAsia="zh-CN"/>
        </w:rPr>
        <w:t>.5-</w:t>
      </w:r>
      <w:r>
        <w:rPr>
          <w:rFonts w:hint="default" w:ascii="Times New Roman" w:hAnsi="Times New Roman" w:eastAsia="宋体" w:cs="Times New Roman"/>
          <w:b/>
          <w:bCs/>
          <w:i w:val="0"/>
          <w:iCs w:val="0"/>
          <w:color w:val="auto"/>
          <w:sz w:val="21"/>
          <w:szCs w:val="21"/>
          <w:highlight w:val="none"/>
          <w:u w:val="none" w:color="auto"/>
          <w:lang w:val="en-US" w:eastAsia="zh-CN"/>
        </w:rPr>
        <w:t xml:space="preserve">2（2） </w:t>
      </w:r>
      <w:r>
        <w:rPr>
          <w:rFonts w:hint="default" w:ascii="Times New Roman" w:hAnsi="Times New Roman" w:eastAsia="宋体" w:cs="Times New Roman"/>
          <w:b/>
          <w:bCs/>
          <w:i w:val="0"/>
          <w:iCs w:val="0"/>
          <w:color w:val="auto"/>
          <w:sz w:val="21"/>
          <w:szCs w:val="21"/>
          <w:highlight w:val="none"/>
          <w:u w:val="none" w:color="auto"/>
          <w:lang w:eastAsia="zh-CN"/>
        </w:rPr>
        <w:t>土壤环境监测结果（</w:t>
      </w:r>
      <w:r>
        <w:rPr>
          <w:rFonts w:hint="default" w:ascii="Times New Roman" w:hAnsi="Times New Roman" w:eastAsia="宋体" w:cs="Times New Roman"/>
          <w:b/>
          <w:bCs/>
          <w:i w:val="0"/>
          <w:iCs w:val="0"/>
          <w:color w:val="auto"/>
          <w:sz w:val="21"/>
          <w:szCs w:val="21"/>
          <w:highlight w:val="none"/>
          <w:u w:val="none" w:color="auto"/>
          <w:lang w:val="en-US" w:eastAsia="zh-CN"/>
        </w:rPr>
        <w:t>T6厂区内办公区土壤</w:t>
      </w:r>
      <w:r>
        <w:rPr>
          <w:rFonts w:hint="default" w:ascii="Times New Roman" w:hAnsi="Times New Roman" w:eastAsia="宋体" w:cs="Times New Roman"/>
          <w:b/>
          <w:bCs/>
          <w:i w:val="0"/>
          <w:iCs w:val="0"/>
          <w:color w:val="auto"/>
          <w:sz w:val="21"/>
          <w:szCs w:val="21"/>
          <w:highlight w:val="none"/>
          <w:u w:val="none" w:color="auto"/>
          <w:lang w:eastAsia="zh-CN"/>
        </w:rPr>
        <w:t>）单位：mg/</w:t>
      </w:r>
      <w:r>
        <w:rPr>
          <w:rFonts w:hint="default" w:ascii="Times New Roman" w:hAnsi="Times New Roman" w:eastAsia="宋体" w:cs="Times New Roman"/>
          <w:b/>
          <w:bCs/>
          <w:i w:val="0"/>
          <w:iCs w:val="0"/>
          <w:color w:val="auto"/>
          <w:sz w:val="21"/>
          <w:szCs w:val="21"/>
          <w:highlight w:val="none"/>
          <w:u w:val="none" w:color="auto"/>
          <w:lang w:val="en-US" w:eastAsia="zh-CN"/>
        </w:rPr>
        <w:t>kg  pH值：无量纲</w:t>
      </w:r>
    </w:p>
    <w:tbl>
      <w:tblPr>
        <w:tblStyle w:val="23"/>
        <w:tblW w:w="90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219"/>
        <w:gridCol w:w="1011"/>
        <w:gridCol w:w="1100"/>
        <w:gridCol w:w="1574"/>
        <w:gridCol w:w="1101"/>
        <w:gridCol w:w="1059"/>
        <w:gridCol w:w="923"/>
      </w:tblGrid>
      <w:tr w14:paraId="586D9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tblHeader/>
          <w:jc w:val="center"/>
        </w:trPr>
        <w:tc>
          <w:tcPr>
            <w:tcW w:w="1090" w:type="dxa"/>
            <w:tcBorders>
              <w:right w:val="nil"/>
            </w:tcBorders>
            <w:noWrap w:val="0"/>
            <w:vAlign w:val="center"/>
          </w:tcPr>
          <w:p w14:paraId="5C620AC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监测项目</w:t>
            </w:r>
          </w:p>
        </w:tc>
        <w:tc>
          <w:tcPr>
            <w:tcW w:w="1219" w:type="dxa"/>
            <w:tcBorders>
              <w:right w:val="nil"/>
            </w:tcBorders>
            <w:noWrap w:val="0"/>
            <w:vAlign w:val="center"/>
          </w:tcPr>
          <w:p w14:paraId="0E628C9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检测结果</w:t>
            </w:r>
          </w:p>
        </w:tc>
        <w:tc>
          <w:tcPr>
            <w:tcW w:w="1011" w:type="dxa"/>
            <w:tcBorders>
              <w:right w:val="nil"/>
            </w:tcBorders>
            <w:noWrap w:val="0"/>
            <w:vAlign w:val="center"/>
          </w:tcPr>
          <w:p w14:paraId="257BA056">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标准限值</w:t>
            </w:r>
          </w:p>
        </w:tc>
        <w:tc>
          <w:tcPr>
            <w:tcW w:w="1100" w:type="dxa"/>
            <w:tcBorders>
              <w:right w:val="nil"/>
            </w:tcBorders>
            <w:noWrap w:val="0"/>
            <w:vAlign w:val="center"/>
          </w:tcPr>
          <w:p w14:paraId="688686B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达标情况</w:t>
            </w:r>
          </w:p>
        </w:tc>
        <w:tc>
          <w:tcPr>
            <w:tcW w:w="1574" w:type="dxa"/>
            <w:tcBorders>
              <w:right w:val="nil"/>
            </w:tcBorders>
            <w:noWrap w:val="0"/>
            <w:vAlign w:val="center"/>
          </w:tcPr>
          <w:p w14:paraId="3415D95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监测项目</w:t>
            </w:r>
          </w:p>
        </w:tc>
        <w:tc>
          <w:tcPr>
            <w:tcW w:w="1101" w:type="dxa"/>
            <w:tcBorders>
              <w:right w:val="nil"/>
            </w:tcBorders>
            <w:noWrap w:val="0"/>
            <w:vAlign w:val="center"/>
          </w:tcPr>
          <w:p w14:paraId="71DD996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检测结果</w:t>
            </w:r>
          </w:p>
        </w:tc>
        <w:tc>
          <w:tcPr>
            <w:tcW w:w="1059" w:type="dxa"/>
            <w:noWrap w:val="0"/>
            <w:vAlign w:val="center"/>
          </w:tcPr>
          <w:p w14:paraId="40AC135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标准限值</w:t>
            </w:r>
          </w:p>
        </w:tc>
        <w:tc>
          <w:tcPr>
            <w:tcW w:w="923" w:type="dxa"/>
            <w:noWrap w:val="0"/>
            <w:vAlign w:val="center"/>
          </w:tcPr>
          <w:p w14:paraId="7FD977C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达标情况</w:t>
            </w:r>
          </w:p>
        </w:tc>
      </w:tr>
      <w:tr w14:paraId="5061D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tcBorders>
              <w:right w:val="nil"/>
            </w:tcBorders>
            <w:noWrap w:val="0"/>
            <w:vAlign w:val="center"/>
          </w:tcPr>
          <w:p w14:paraId="1E7831F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砷</w:t>
            </w:r>
          </w:p>
        </w:tc>
        <w:tc>
          <w:tcPr>
            <w:tcW w:w="1219" w:type="dxa"/>
            <w:tcBorders>
              <w:right w:val="nil"/>
            </w:tcBorders>
            <w:noWrap w:val="0"/>
            <w:vAlign w:val="center"/>
          </w:tcPr>
          <w:p w14:paraId="5A39ED3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1.45</w:t>
            </w:r>
          </w:p>
        </w:tc>
        <w:tc>
          <w:tcPr>
            <w:tcW w:w="1011" w:type="dxa"/>
            <w:tcBorders>
              <w:right w:val="nil"/>
            </w:tcBorders>
            <w:noWrap w:val="0"/>
            <w:vAlign w:val="center"/>
          </w:tcPr>
          <w:p w14:paraId="5B6D84A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60</w:t>
            </w:r>
          </w:p>
        </w:tc>
        <w:tc>
          <w:tcPr>
            <w:tcW w:w="1100" w:type="dxa"/>
            <w:tcBorders>
              <w:right w:val="nil"/>
            </w:tcBorders>
            <w:noWrap w:val="0"/>
            <w:vAlign w:val="center"/>
          </w:tcPr>
          <w:p w14:paraId="66BB7C8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333D460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氯乙烯</w:t>
            </w:r>
          </w:p>
        </w:tc>
        <w:tc>
          <w:tcPr>
            <w:tcW w:w="1101" w:type="dxa"/>
            <w:tcBorders>
              <w:right w:val="nil"/>
            </w:tcBorders>
            <w:noWrap w:val="0"/>
            <w:vAlign w:val="center"/>
          </w:tcPr>
          <w:p w14:paraId="36DF81E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5D110E2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0.43</w:t>
            </w:r>
          </w:p>
        </w:tc>
        <w:tc>
          <w:tcPr>
            <w:tcW w:w="923" w:type="dxa"/>
            <w:noWrap w:val="0"/>
            <w:vAlign w:val="center"/>
          </w:tcPr>
          <w:p w14:paraId="2D50E6D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达标</w:t>
            </w:r>
          </w:p>
        </w:tc>
      </w:tr>
      <w:tr w14:paraId="75DCC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tcBorders>
              <w:right w:val="nil"/>
            </w:tcBorders>
            <w:noWrap w:val="0"/>
            <w:vAlign w:val="center"/>
          </w:tcPr>
          <w:p w14:paraId="01CDDB9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镉</w:t>
            </w:r>
          </w:p>
        </w:tc>
        <w:tc>
          <w:tcPr>
            <w:tcW w:w="1219" w:type="dxa"/>
            <w:tcBorders>
              <w:right w:val="nil"/>
            </w:tcBorders>
            <w:noWrap w:val="0"/>
            <w:vAlign w:val="center"/>
          </w:tcPr>
          <w:p w14:paraId="2CC02C3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0.98</w:t>
            </w:r>
          </w:p>
        </w:tc>
        <w:tc>
          <w:tcPr>
            <w:tcW w:w="1011" w:type="dxa"/>
            <w:tcBorders>
              <w:right w:val="nil"/>
            </w:tcBorders>
            <w:noWrap w:val="0"/>
            <w:vAlign w:val="center"/>
          </w:tcPr>
          <w:p w14:paraId="1213318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65</w:t>
            </w:r>
          </w:p>
        </w:tc>
        <w:tc>
          <w:tcPr>
            <w:tcW w:w="1100" w:type="dxa"/>
            <w:tcBorders>
              <w:right w:val="nil"/>
            </w:tcBorders>
            <w:noWrap w:val="0"/>
            <w:vAlign w:val="center"/>
          </w:tcPr>
          <w:p w14:paraId="495949D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5D662F6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苯</w:t>
            </w:r>
          </w:p>
        </w:tc>
        <w:tc>
          <w:tcPr>
            <w:tcW w:w="1101" w:type="dxa"/>
            <w:tcBorders>
              <w:right w:val="nil"/>
            </w:tcBorders>
            <w:noWrap w:val="0"/>
            <w:vAlign w:val="center"/>
          </w:tcPr>
          <w:p w14:paraId="06540E9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024383F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w:t>
            </w:r>
          </w:p>
        </w:tc>
        <w:tc>
          <w:tcPr>
            <w:tcW w:w="923" w:type="dxa"/>
            <w:noWrap w:val="0"/>
            <w:vAlign w:val="center"/>
          </w:tcPr>
          <w:p w14:paraId="3120D01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0E9E3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tcBorders>
              <w:right w:val="nil"/>
            </w:tcBorders>
            <w:noWrap w:val="0"/>
            <w:vAlign w:val="center"/>
          </w:tcPr>
          <w:p w14:paraId="4DF1EEB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六价铬</w:t>
            </w:r>
          </w:p>
        </w:tc>
        <w:tc>
          <w:tcPr>
            <w:tcW w:w="1219" w:type="dxa"/>
            <w:tcBorders>
              <w:right w:val="nil"/>
            </w:tcBorders>
            <w:noWrap w:val="0"/>
            <w:vAlign w:val="center"/>
          </w:tcPr>
          <w:p w14:paraId="20EBBD0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2030F4D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5.7</w:t>
            </w:r>
          </w:p>
        </w:tc>
        <w:tc>
          <w:tcPr>
            <w:tcW w:w="1100" w:type="dxa"/>
            <w:tcBorders>
              <w:right w:val="nil"/>
            </w:tcBorders>
            <w:noWrap w:val="0"/>
            <w:vAlign w:val="center"/>
          </w:tcPr>
          <w:p w14:paraId="67A8A0D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26EDAD7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氯苯</w:t>
            </w:r>
          </w:p>
        </w:tc>
        <w:tc>
          <w:tcPr>
            <w:tcW w:w="1101" w:type="dxa"/>
            <w:tcBorders>
              <w:right w:val="nil"/>
            </w:tcBorders>
            <w:noWrap w:val="0"/>
            <w:vAlign w:val="center"/>
          </w:tcPr>
          <w:p w14:paraId="203C1AE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52929E1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270</w:t>
            </w:r>
          </w:p>
        </w:tc>
        <w:tc>
          <w:tcPr>
            <w:tcW w:w="923" w:type="dxa"/>
            <w:noWrap w:val="0"/>
            <w:vAlign w:val="center"/>
          </w:tcPr>
          <w:p w14:paraId="3504FCF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1E62E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tcBorders>
              <w:right w:val="nil"/>
            </w:tcBorders>
            <w:noWrap w:val="0"/>
            <w:vAlign w:val="center"/>
          </w:tcPr>
          <w:p w14:paraId="50511D4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铜</w:t>
            </w:r>
          </w:p>
        </w:tc>
        <w:tc>
          <w:tcPr>
            <w:tcW w:w="1219" w:type="dxa"/>
            <w:tcBorders>
              <w:right w:val="nil"/>
            </w:tcBorders>
            <w:noWrap w:val="0"/>
            <w:vAlign w:val="center"/>
          </w:tcPr>
          <w:p w14:paraId="6D27B0B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c>
          <w:tcPr>
            <w:tcW w:w="1011" w:type="dxa"/>
            <w:tcBorders>
              <w:right w:val="nil"/>
            </w:tcBorders>
            <w:noWrap w:val="0"/>
            <w:vAlign w:val="center"/>
          </w:tcPr>
          <w:p w14:paraId="2202995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18000</w:t>
            </w:r>
          </w:p>
        </w:tc>
        <w:tc>
          <w:tcPr>
            <w:tcW w:w="1100" w:type="dxa"/>
            <w:tcBorders>
              <w:right w:val="nil"/>
            </w:tcBorders>
            <w:noWrap w:val="0"/>
            <w:vAlign w:val="center"/>
          </w:tcPr>
          <w:p w14:paraId="69192BE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72C966A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1，2-二氯苯</w:t>
            </w:r>
          </w:p>
        </w:tc>
        <w:tc>
          <w:tcPr>
            <w:tcW w:w="1101" w:type="dxa"/>
            <w:tcBorders>
              <w:right w:val="nil"/>
            </w:tcBorders>
            <w:noWrap w:val="0"/>
            <w:vAlign w:val="center"/>
          </w:tcPr>
          <w:p w14:paraId="05B1DCA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51E7359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560</w:t>
            </w:r>
          </w:p>
        </w:tc>
        <w:tc>
          <w:tcPr>
            <w:tcW w:w="923" w:type="dxa"/>
            <w:noWrap w:val="0"/>
            <w:vAlign w:val="center"/>
          </w:tcPr>
          <w:p w14:paraId="023082B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11FD9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tcBorders>
              <w:right w:val="nil"/>
            </w:tcBorders>
            <w:noWrap w:val="0"/>
            <w:vAlign w:val="center"/>
          </w:tcPr>
          <w:p w14:paraId="7142FF5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铅</w:t>
            </w:r>
          </w:p>
        </w:tc>
        <w:tc>
          <w:tcPr>
            <w:tcW w:w="1219" w:type="dxa"/>
            <w:tcBorders>
              <w:right w:val="nil"/>
            </w:tcBorders>
            <w:noWrap w:val="0"/>
            <w:vAlign w:val="center"/>
          </w:tcPr>
          <w:p w14:paraId="35249A0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11.1</w:t>
            </w:r>
          </w:p>
        </w:tc>
        <w:tc>
          <w:tcPr>
            <w:tcW w:w="1011" w:type="dxa"/>
            <w:tcBorders>
              <w:right w:val="nil"/>
            </w:tcBorders>
            <w:noWrap w:val="0"/>
            <w:vAlign w:val="center"/>
          </w:tcPr>
          <w:p w14:paraId="643CF2F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800</w:t>
            </w:r>
          </w:p>
        </w:tc>
        <w:tc>
          <w:tcPr>
            <w:tcW w:w="1100" w:type="dxa"/>
            <w:tcBorders>
              <w:right w:val="nil"/>
            </w:tcBorders>
            <w:noWrap w:val="0"/>
            <w:vAlign w:val="center"/>
          </w:tcPr>
          <w:p w14:paraId="50F9653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5E21ABB6">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1，4-二氯苯</w:t>
            </w:r>
          </w:p>
        </w:tc>
        <w:tc>
          <w:tcPr>
            <w:tcW w:w="1101" w:type="dxa"/>
            <w:tcBorders>
              <w:right w:val="nil"/>
            </w:tcBorders>
            <w:noWrap w:val="0"/>
            <w:vAlign w:val="center"/>
          </w:tcPr>
          <w:p w14:paraId="4942B4E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2B8BCB9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c>
          <w:tcPr>
            <w:tcW w:w="923" w:type="dxa"/>
            <w:noWrap w:val="0"/>
            <w:vAlign w:val="center"/>
          </w:tcPr>
          <w:p w14:paraId="304CCE5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2BB9B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3F7EBC2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汞</w:t>
            </w:r>
          </w:p>
        </w:tc>
        <w:tc>
          <w:tcPr>
            <w:tcW w:w="1219" w:type="dxa"/>
            <w:tcBorders>
              <w:right w:val="nil"/>
            </w:tcBorders>
            <w:noWrap w:val="0"/>
            <w:vAlign w:val="center"/>
          </w:tcPr>
          <w:p w14:paraId="32FC1EA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0.224</w:t>
            </w:r>
          </w:p>
        </w:tc>
        <w:tc>
          <w:tcPr>
            <w:tcW w:w="1011" w:type="dxa"/>
            <w:tcBorders>
              <w:right w:val="nil"/>
            </w:tcBorders>
            <w:noWrap w:val="0"/>
            <w:vAlign w:val="center"/>
          </w:tcPr>
          <w:p w14:paraId="0C5CEBE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38</w:t>
            </w:r>
          </w:p>
        </w:tc>
        <w:tc>
          <w:tcPr>
            <w:tcW w:w="1100" w:type="dxa"/>
            <w:tcBorders>
              <w:right w:val="nil"/>
            </w:tcBorders>
            <w:noWrap w:val="0"/>
            <w:vAlign w:val="center"/>
          </w:tcPr>
          <w:p w14:paraId="55CC250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55B358B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乙苯</w:t>
            </w:r>
          </w:p>
        </w:tc>
        <w:tc>
          <w:tcPr>
            <w:tcW w:w="1101" w:type="dxa"/>
            <w:tcBorders>
              <w:right w:val="nil"/>
            </w:tcBorders>
            <w:noWrap w:val="0"/>
            <w:vAlign w:val="center"/>
          </w:tcPr>
          <w:p w14:paraId="4C8DA40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18AA66C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w:t>
            </w:r>
          </w:p>
        </w:tc>
        <w:tc>
          <w:tcPr>
            <w:tcW w:w="923" w:type="dxa"/>
            <w:noWrap w:val="0"/>
            <w:vAlign w:val="center"/>
          </w:tcPr>
          <w:p w14:paraId="6B1DA2B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3D5B2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3131D99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镍</w:t>
            </w:r>
          </w:p>
        </w:tc>
        <w:tc>
          <w:tcPr>
            <w:tcW w:w="1219" w:type="dxa"/>
            <w:tcBorders>
              <w:right w:val="nil"/>
            </w:tcBorders>
            <w:noWrap w:val="0"/>
            <w:vAlign w:val="center"/>
          </w:tcPr>
          <w:p w14:paraId="3F0DAAB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1011" w:type="dxa"/>
            <w:tcBorders>
              <w:right w:val="nil"/>
            </w:tcBorders>
            <w:noWrap w:val="0"/>
            <w:vAlign w:val="center"/>
          </w:tcPr>
          <w:p w14:paraId="47EFFFF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900</w:t>
            </w:r>
          </w:p>
        </w:tc>
        <w:tc>
          <w:tcPr>
            <w:tcW w:w="1100" w:type="dxa"/>
            <w:tcBorders>
              <w:right w:val="nil"/>
            </w:tcBorders>
            <w:noWrap w:val="0"/>
            <w:vAlign w:val="center"/>
          </w:tcPr>
          <w:p w14:paraId="651BB3F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165EC8C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苯乙烯</w:t>
            </w:r>
          </w:p>
        </w:tc>
        <w:tc>
          <w:tcPr>
            <w:tcW w:w="1101" w:type="dxa"/>
            <w:tcBorders>
              <w:right w:val="nil"/>
            </w:tcBorders>
            <w:noWrap w:val="0"/>
            <w:vAlign w:val="center"/>
          </w:tcPr>
          <w:p w14:paraId="47DF27F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464E406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1290</w:t>
            </w:r>
          </w:p>
        </w:tc>
        <w:tc>
          <w:tcPr>
            <w:tcW w:w="923" w:type="dxa"/>
            <w:noWrap w:val="0"/>
            <w:vAlign w:val="center"/>
          </w:tcPr>
          <w:p w14:paraId="7AC5CA8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21336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510FB53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四氯化碳</w:t>
            </w:r>
          </w:p>
        </w:tc>
        <w:tc>
          <w:tcPr>
            <w:tcW w:w="1219" w:type="dxa"/>
            <w:tcBorders>
              <w:right w:val="nil"/>
            </w:tcBorders>
            <w:noWrap w:val="0"/>
            <w:vAlign w:val="center"/>
          </w:tcPr>
          <w:p w14:paraId="600711D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1A9B5E6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w:t>
            </w:r>
          </w:p>
        </w:tc>
        <w:tc>
          <w:tcPr>
            <w:tcW w:w="1100" w:type="dxa"/>
            <w:tcBorders>
              <w:right w:val="nil"/>
            </w:tcBorders>
            <w:noWrap w:val="0"/>
            <w:vAlign w:val="center"/>
          </w:tcPr>
          <w:p w14:paraId="3BDA1E9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2EC1D5C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甲苯</w:t>
            </w:r>
          </w:p>
        </w:tc>
        <w:tc>
          <w:tcPr>
            <w:tcW w:w="1101" w:type="dxa"/>
            <w:tcBorders>
              <w:right w:val="nil"/>
            </w:tcBorders>
            <w:noWrap w:val="0"/>
            <w:vAlign w:val="center"/>
          </w:tcPr>
          <w:p w14:paraId="531B7D0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694702A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1200</w:t>
            </w:r>
          </w:p>
        </w:tc>
        <w:tc>
          <w:tcPr>
            <w:tcW w:w="923" w:type="dxa"/>
            <w:noWrap w:val="0"/>
            <w:vAlign w:val="center"/>
          </w:tcPr>
          <w:p w14:paraId="5613076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08729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90" w:type="dxa"/>
            <w:noWrap w:val="0"/>
            <w:vAlign w:val="center"/>
          </w:tcPr>
          <w:p w14:paraId="0AD6104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氯仿</w:t>
            </w:r>
          </w:p>
        </w:tc>
        <w:tc>
          <w:tcPr>
            <w:tcW w:w="1219" w:type="dxa"/>
            <w:tcBorders>
              <w:right w:val="nil"/>
            </w:tcBorders>
            <w:noWrap w:val="0"/>
            <w:vAlign w:val="center"/>
          </w:tcPr>
          <w:p w14:paraId="0268C6B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06F8F2D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0.9</w:t>
            </w:r>
          </w:p>
        </w:tc>
        <w:tc>
          <w:tcPr>
            <w:tcW w:w="1100" w:type="dxa"/>
            <w:tcBorders>
              <w:right w:val="nil"/>
            </w:tcBorders>
            <w:noWrap w:val="0"/>
            <w:vAlign w:val="center"/>
          </w:tcPr>
          <w:p w14:paraId="619BA80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21FE856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间二甲苯</w:t>
            </w:r>
            <w:r>
              <w:rPr>
                <w:rFonts w:hint="default" w:ascii="Times New Roman" w:hAnsi="Times New Roman" w:eastAsia="宋体" w:cs="Times New Roman"/>
                <w:color w:val="auto"/>
                <w:sz w:val="21"/>
                <w:szCs w:val="21"/>
                <w:highlight w:val="none"/>
                <w:u w:val="none" w:color="auto"/>
                <w:lang w:val="en-US" w:eastAsia="zh-CN"/>
              </w:rPr>
              <w:t>+对</w:t>
            </w:r>
            <w:r>
              <w:rPr>
                <w:rFonts w:hint="default" w:ascii="Times New Roman" w:hAnsi="Times New Roman" w:eastAsia="宋体" w:cs="Times New Roman"/>
                <w:color w:val="auto"/>
                <w:sz w:val="21"/>
                <w:szCs w:val="21"/>
                <w:highlight w:val="none"/>
                <w:u w:val="none" w:color="auto"/>
                <w:lang w:eastAsia="zh-CN"/>
              </w:rPr>
              <w:t>二甲苯</w:t>
            </w:r>
          </w:p>
        </w:tc>
        <w:tc>
          <w:tcPr>
            <w:tcW w:w="1101" w:type="dxa"/>
            <w:tcBorders>
              <w:right w:val="nil"/>
            </w:tcBorders>
            <w:noWrap w:val="0"/>
            <w:vAlign w:val="center"/>
          </w:tcPr>
          <w:p w14:paraId="4C6C639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0DCD138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570</w:t>
            </w:r>
          </w:p>
        </w:tc>
        <w:tc>
          <w:tcPr>
            <w:tcW w:w="923" w:type="dxa"/>
            <w:noWrap w:val="0"/>
            <w:vAlign w:val="center"/>
          </w:tcPr>
          <w:p w14:paraId="13D1A2B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34C54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3716B25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氯甲烷</w:t>
            </w:r>
          </w:p>
        </w:tc>
        <w:tc>
          <w:tcPr>
            <w:tcW w:w="1219" w:type="dxa"/>
            <w:tcBorders>
              <w:right w:val="nil"/>
            </w:tcBorders>
            <w:noWrap w:val="0"/>
            <w:vAlign w:val="center"/>
          </w:tcPr>
          <w:p w14:paraId="20AD06F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1C7900C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37</w:t>
            </w:r>
          </w:p>
        </w:tc>
        <w:tc>
          <w:tcPr>
            <w:tcW w:w="1100" w:type="dxa"/>
            <w:tcBorders>
              <w:right w:val="nil"/>
            </w:tcBorders>
            <w:noWrap w:val="0"/>
            <w:vAlign w:val="center"/>
          </w:tcPr>
          <w:p w14:paraId="05D4963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04D30A4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邻二甲苯</w:t>
            </w:r>
          </w:p>
        </w:tc>
        <w:tc>
          <w:tcPr>
            <w:tcW w:w="1101" w:type="dxa"/>
            <w:tcBorders>
              <w:right w:val="nil"/>
            </w:tcBorders>
            <w:noWrap w:val="0"/>
            <w:vAlign w:val="center"/>
          </w:tcPr>
          <w:p w14:paraId="3F41268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41CAE89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640</w:t>
            </w:r>
          </w:p>
        </w:tc>
        <w:tc>
          <w:tcPr>
            <w:tcW w:w="923" w:type="dxa"/>
            <w:noWrap w:val="0"/>
            <w:vAlign w:val="center"/>
          </w:tcPr>
          <w:p w14:paraId="43AA1D3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353EE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17EF88E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1，1-二氯乙烷</w:t>
            </w:r>
          </w:p>
        </w:tc>
        <w:tc>
          <w:tcPr>
            <w:tcW w:w="1219" w:type="dxa"/>
            <w:tcBorders>
              <w:right w:val="nil"/>
            </w:tcBorders>
            <w:noWrap w:val="0"/>
            <w:vAlign w:val="center"/>
          </w:tcPr>
          <w:p w14:paraId="30D0F50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453F6C0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9</w:t>
            </w:r>
          </w:p>
        </w:tc>
        <w:tc>
          <w:tcPr>
            <w:tcW w:w="1100" w:type="dxa"/>
            <w:tcBorders>
              <w:right w:val="nil"/>
            </w:tcBorders>
            <w:noWrap w:val="0"/>
            <w:vAlign w:val="center"/>
          </w:tcPr>
          <w:p w14:paraId="7F9E3C0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4A1B464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硝基苯</w:t>
            </w:r>
          </w:p>
        </w:tc>
        <w:tc>
          <w:tcPr>
            <w:tcW w:w="1101" w:type="dxa"/>
            <w:tcBorders>
              <w:right w:val="nil"/>
            </w:tcBorders>
            <w:noWrap w:val="0"/>
            <w:vAlign w:val="center"/>
          </w:tcPr>
          <w:p w14:paraId="4EB5EF0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053723B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76</w:t>
            </w:r>
          </w:p>
        </w:tc>
        <w:tc>
          <w:tcPr>
            <w:tcW w:w="923" w:type="dxa"/>
            <w:noWrap w:val="0"/>
            <w:vAlign w:val="center"/>
          </w:tcPr>
          <w:p w14:paraId="7A3FEFA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23AEF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77E7BFF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1，2-二氯乙烷</w:t>
            </w:r>
          </w:p>
        </w:tc>
        <w:tc>
          <w:tcPr>
            <w:tcW w:w="1219" w:type="dxa"/>
            <w:tcBorders>
              <w:right w:val="nil"/>
            </w:tcBorders>
            <w:noWrap w:val="0"/>
            <w:vAlign w:val="center"/>
          </w:tcPr>
          <w:p w14:paraId="27C0FC6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2217155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1100" w:type="dxa"/>
            <w:tcBorders>
              <w:right w:val="nil"/>
            </w:tcBorders>
            <w:noWrap w:val="0"/>
            <w:vAlign w:val="center"/>
          </w:tcPr>
          <w:p w14:paraId="20806F0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7ADC21E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苯胺</w:t>
            </w:r>
          </w:p>
        </w:tc>
        <w:tc>
          <w:tcPr>
            <w:tcW w:w="1101" w:type="dxa"/>
            <w:tcBorders>
              <w:right w:val="nil"/>
            </w:tcBorders>
            <w:noWrap w:val="0"/>
            <w:vAlign w:val="center"/>
          </w:tcPr>
          <w:p w14:paraId="5B13D10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19D03DB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260</w:t>
            </w:r>
          </w:p>
        </w:tc>
        <w:tc>
          <w:tcPr>
            <w:tcW w:w="923" w:type="dxa"/>
            <w:noWrap w:val="0"/>
            <w:vAlign w:val="center"/>
          </w:tcPr>
          <w:p w14:paraId="20218806">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41D8D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5EAF556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1，1-二氯乙烯</w:t>
            </w:r>
          </w:p>
        </w:tc>
        <w:tc>
          <w:tcPr>
            <w:tcW w:w="1219" w:type="dxa"/>
            <w:tcBorders>
              <w:right w:val="nil"/>
            </w:tcBorders>
            <w:noWrap w:val="0"/>
            <w:vAlign w:val="center"/>
          </w:tcPr>
          <w:p w14:paraId="54A5776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177641D6">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66</w:t>
            </w:r>
          </w:p>
        </w:tc>
        <w:tc>
          <w:tcPr>
            <w:tcW w:w="1100" w:type="dxa"/>
            <w:tcBorders>
              <w:right w:val="nil"/>
            </w:tcBorders>
            <w:noWrap w:val="0"/>
            <w:vAlign w:val="center"/>
          </w:tcPr>
          <w:p w14:paraId="6606AA2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4E48EB7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2-氯酚</w:t>
            </w:r>
          </w:p>
        </w:tc>
        <w:tc>
          <w:tcPr>
            <w:tcW w:w="1101" w:type="dxa"/>
            <w:tcBorders>
              <w:right w:val="nil"/>
            </w:tcBorders>
            <w:noWrap w:val="0"/>
            <w:vAlign w:val="center"/>
          </w:tcPr>
          <w:p w14:paraId="16C318B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20651A5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2256</w:t>
            </w:r>
          </w:p>
        </w:tc>
        <w:tc>
          <w:tcPr>
            <w:tcW w:w="923" w:type="dxa"/>
            <w:noWrap w:val="0"/>
            <w:vAlign w:val="center"/>
          </w:tcPr>
          <w:p w14:paraId="39EAEE7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04772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90" w:type="dxa"/>
            <w:noWrap w:val="0"/>
            <w:vAlign w:val="center"/>
          </w:tcPr>
          <w:p w14:paraId="2CCBBDF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顺-1，2-二氯乙烯</w:t>
            </w:r>
          </w:p>
        </w:tc>
        <w:tc>
          <w:tcPr>
            <w:tcW w:w="1219" w:type="dxa"/>
            <w:tcBorders>
              <w:right w:val="nil"/>
            </w:tcBorders>
            <w:noWrap w:val="0"/>
            <w:vAlign w:val="center"/>
          </w:tcPr>
          <w:p w14:paraId="1AD3CF6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2908EEB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596</w:t>
            </w:r>
          </w:p>
        </w:tc>
        <w:tc>
          <w:tcPr>
            <w:tcW w:w="1100" w:type="dxa"/>
            <w:tcBorders>
              <w:right w:val="nil"/>
            </w:tcBorders>
            <w:noWrap w:val="0"/>
            <w:vAlign w:val="center"/>
          </w:tcPr>
          <w:p w14:paraId="24F0946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52C3520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苯并[a]蒽</w:t>
            </w:r>
          </w:p>
        </w:tc>
        <w:tc>
          <w:tcPr>
            <w:tcW w:w="1101" w:type="dxa"/>
            <w:tcBorders>
              <w:right w:val="nil"/>
            </w:tcBorders>
            <w:noWrap w:val="0"/>
            <w:vAlign w:val="center"/>
          </w:tcPr>
          <w:p w14:paraId="2F8ADBC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668F815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923" w:type="dxa"/>
            <w:noWrap w:val="0"/>
            <w:vAlign w:val="center"/>
          </w:tcPr>
          <w:p w14:paraId="692DD0E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1315C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90" w:type="dxa"/>
            <w:noWrap w:val="0"/>
            <w:vAlign w:val="center"/>
          </w:tcPr>
          <w:p w14:paraId="4BF26F1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反-1，2-二氯乙烯</w:t>
            </w:r>
          </w:p>
        </w:tc>
        <w:tc>
          <w:tcPr>
            <w:tcW w:w="1219" w:type="dxa"/>
            <w:tcBorders>
              <w:right w:val="nil"/>
            </w:tcBorders>
            <w:noWrap w:val="0"/>
            <w:vAlign w:val="center"/>
          </w:tcPr>
          <w:p w14:paraId="58B36B1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7EA3FE9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54</w:t>
            </w:r>
          </w:p>
        </w:tc>
        <w:tc>
          <w:tcPr>
            <w:tcW w:w="1100" w:type="dxa"/>
            <w:tcBorders>
              <w:right w:val="nil"/>
            </w:tcBorders>
            <w:noWrap w:val="0"/>
            <w:vAlign w:val="center"/>
          </w:tcPr>
          <w:p w14:paraId="125C01E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2AD7B5D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苯并[a]芘</w:t>
            </w:r>
          </w:p>
        </w:tc>
        <w:tc>
          <w:tcPr>
            <w:tcW w:w="1101" w:type="dxa"/>
            <w:tcBorders>
              <w:right w:val="nil"/>
            </w:tcBorders>
            <w:noWrap w:val="0"/>
            <w:vAlign w:val="center"/>
          </w:tcPr>
          <w:p w14:paraId="788C973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7EC2C12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923" w:type="dxa"/>
            <w:noWrap w:val="0"/>
            <w:vAlign w:val="center"/>
          </w:tcPr>
          <w:p w14:paraId="44013A5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257D7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738CD78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二氯甲烷</w:t>
            </w:r>
          </w:p>
        </w:tc>
        <w:tc>
          <w:tcPr>
            <w:tcW w:w="1219" w:type="dxa"/>
            <w:tcBorders>
              <w:right w:val="nil"/>
            </w:tcBorders>
            <w:noWrap w:val="0"/>
            <w:vAlign w:val="center"/>
          </w:tcPr>
          <w:p w14:paraId="5670283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2FBE780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616</w:t>
            </w:r>
          </w:p>
        </w:tc>
        <w:tc>
          <w:tcPr>
            <w:tcW w:w="1100" w:type="dxa"/>
            <w:tcBorders>
              <w:right w:val="nil"/>
            </w:tcBorders>
            <w:noWrap w:val="0"/>
            <w:vAlign w:val="center"/>
          </w:tcPr>
          <w:p w14:paraId="237E372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1F5A0FF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苯并[b]荧蒽</w:t>
            </w:r>
          </w:p>
        </w:tc>
        <w:tc>
          <w:tcPr>
            <w:tcW w:w="1101" w:type="dxa"/>
            <w:tcBorders>
              <w:right w:val="nil"/>
            </w:tcBorders>
            <w:noWrap w:val="0"/>
            <w:vAlign w:val="center"/>
          </w:tcPr>
          <w:p w14:paraId="53A41F7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31C92A1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923" w:type="dxa"/>
            <w:noWrap w:val="0"/>
            <w:vAlign w:val="center"/>
          </w:tcPr>
          <w:p w14:paraId="5C7A1E7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2CAD2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1958571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1，2-二氯丙烷</w:t>
            </w:r>
          </w:p>
        </w:tc>
        <w:tc>
          <w:tcPr>
            <w:tcW w:w="1219" w:type="dxa"/>
            <w:tcBorders>
              <w:right w:val="nil"/>
            </w:tcBorders>
            <w:noWrap w:val="0"/>
            <w:vAlign w:val="center"/>
          </w:tcPr>
          <w:p w14:paraId="734FDCD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5E16D51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1100" w:type="dxa"/>
            <w:tcBorders>
              <w:right w:val="nil"/>
            </w:tcBorders>
            <w:noWrap w:val="0"/>
            <w:vAlign w:val="center"/>
          </w:tcPr>
          <w:p w14:paraId="1ADB9F2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68E1761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苯并[k]荧蒽</w:t>
            </w:r>
          </w:p>
        </w:tc>
        <w:tc>
          <w:tcPr>
            <w:tcW w:w="1101" w:type="dxa"/>
            <w:tcBorders>
              <w:right w:val="nil"/>
            </w:tcBorders>
            <w:noWrap w:val="0"/>
            <w:vAlign w:val="center"/>
          </w:tcPr>
          <w:p w14:paraId="4B6B3AB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2613051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151</w:t>
            </w:r>
          </w:p>
        </w:tc>
        <w:tc>
          <w:tcPr>
            <w:tcW w:w="923" w:type="dxa"/>
            <w:noWrap w:val="0"/>
            <w:vAlign w:val="center"/>
          </w:tcPr>
          <w:p w14:paraId="4029BA9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096CE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90" w:type="dxa"/>
            <w:noWrap w:val="0"/>
            <w:vAlign w:val="center"/>
          </w:tcPr>
          <w:p w14:paraId="1BED7CF6">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1，1，1，2-四氯乙烷</w:t>
            </w:r>
          </w:p>
        </w:tc>
        <w:tc>
          <w:tcPr>
            <w:tcW w:w="1219" w:type="dxa"/>
            <w:tcBorders>
              <w:right w:val="nil"/>
            </w:tcBorders>
            <w:noWrap w:val="0"/>
            <w:vAlign w:val="center"/>
          </w:tcPr>
          <w:p w14:paraId="5A33BAF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15B0FA7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c>
          <w:tcPr>
            <w:tcW w:w="1100" w:type="dxa"/>
            <w:tcBorders>
              <w:right w:val="nil"/>
            </w:tcBorders>
            <w:noWrap w:val="0"/>
            <w:vAlign w:val="center"/>
          </w:tcPr>
          <w:p w14:paraId="008B12D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5AF5D4E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䓛</w:t>
            </w:r>
          </w:p>
        </w:tc>
        <w:tc>
          <w:tcPr>
            <w:tcW w:w="1101" w:type="dxa"/>
            <w:tcBorders>
              <w:right w:val="nil"/>
            </w:tcBorders>
            <w:noWrap w:val="0"/>
            <w:vAlign w:val="center"/>
          </w:tcPr>
          <w:p w14:paraId="6A050A9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009D46C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1293</w:t>
            </w:r>
          </w:p>
        </w:tc>
        <w:tc>
          <w:tcPr>
            <w:tcW w:w="923" w:type="dxa"/>
            <w:noWrap w:val="0"/>
            <w:vAlign w:val="center"/>
          </w:tcPr>
          <w:p w14:paraId="7BE7573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7488D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90" w:type="dxa"/>
            <w:noWrap w:val="0"/>
            <w:vAlign w:val="center"/>
          </w:tcPr>
          <w:p w14:paraId="1119C6D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1，1，2，2-四氯乙烷</w:t>
            </w:r>
          </w:p>
        </w:tc>
        <w:tc>
          <w:tcPr>
            <w:tcW w:w="1219" w:type="dxa"/>
            <w:tcBorders>
              <w:right w:val="nil"/>
            </w:tcBorders>
            <w:noWrap w:val="0"/>
            <w:vAlign w:val="center"/>
          </w:tcPr>
          <w:p w14:paraId="28EE1A2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7234911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6.8</w:t>
            </w:r>
          </w:p>
        </w:tc>
        <w:tc>
          <w:tcPr>
            <w:tcW w:w="1100" w:type="dxa"/>
            <w:tcBorders>
              <w:right w:val="nil"/>
            </w:tcBorders>
            <w:noWrap w:val="0"/>
            <w:vAlign w:val="center"/>
          </w:tcPr>
          <w:p w14:paraId="73369D8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4EECAC5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二苯并[a，h]蒽</w:t>
            </w:r>
          </w:p>
        </w:tc>
        <w:tc>
          <w:tcPr>
            <w:tcW w:w="1101" w:type="dxa"/>
            <w:tcBorders>
              <w:right w:val="nil"/>
            </w:tcBorders>
            <w:noWrap w:val="0"/>
            <w:vAlign w:val="center"/>
          </w:tcPr>
          <w:p w14:paraId="6667A19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160AA2A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923" w:type="dxa"/>
            <w:noWrap w:val="0"/>
            <w:vAlign w:val="center"/>
          </w:tcPr>
          <w:p w14:paraId="7C802D9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4092A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90" w:type="dxa"/>
            <w:noWrap w:val="0"/>
            <w:vAlign w:val="center"/>
          </w:tcPr>
          <w:p w14:paraId="38AEA90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四氯乙烯</w:t>
            </w:r>
          </w:p>
        </w:tc>
        <w:tc>
          <w:tcPr>
            <w:tcW w:w="1219" w:type="dxa"/>
            <w:tcBorders>
              <w:right w:val="nil"/>
            </w:tcBorders>
            <w:noWrap w:val="0"/>
            <w:vAlign w:val="center"/>
          </w:tcPr>
          <w:p w14:paraId="7D6CA6D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17C0D0C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53</w:t>
            </w:r>
          </w:p>
        </w:tc>
        <w:tc>
          <w:tcPr>
            <w:tcW w:w="1100" w:type="dxa"/>
            <w:tcBorders>
              <w:right w:val="nil"/>
            </w:tcBorders>
            <w:noWrap w:val="0"/>
            <w:vAlign w:val="center"/>
          </w:tcPr>
          <w:p w14:paraId="2B65D3A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17B2608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茚并[1，2，3-cd]芘</w:t>
            </w:r>
          </w:p>
        </w:tc>
        <w:tc>
          <w:tcPr>
            <w:tcW w:w="1101" w:type="dxa"/>
            <w:tcBorders>
              <w:right w:val="nil"/>
            </w:tcBorders>
            <w:noWrap w:val="0"/>
            <w:vAlign w:val="center"/>
          </w:tcPr>
          <w:p w14:paraId="45D8D47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300781E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923" w:type="dxa"/>
            <w:noWrap w:val="0"/>
            <w:vAlign w:val="center"/>
          </w:tcPr>
          <w:p w14:paraId="746147AC">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72D1F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90" w:type="dxa"/>
            <w:noWrap w:val="0"/>
            <w:vAlign w:val="center"/>
          </w:tcPr>
          <w:p w14:paraId="237C6F7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1，1，1-三氯乙烷</w:t>
            </w:r>
          </w:p>
        </w:tc>
        <w:tc>
          <w:tcPr>
            <w:tcW w:w="1219" w:type="dxa"/>
            <w:tcBorders>
              <w:right w:val="nil"/>
            </w:tcBorders>
            <w:noWrap w:val="0"/>
            <w:vAlign w:val="center"/>
          </w:tcPr>
          <w:p w14:paraId="0D6EAF0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0101ABE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840</w:t>
            </w:r>
          </w:p>
        </w:tc>
        <w:tc>
          <w:tcPr>
            <w:tcW w:w="1100" w:type="dxa"/>
            <w:tcBorders>
              <w:right w:val="nil"/>
            </w:tcBorders>
            <w:noWrap w:val="0"/>
            <w:vAlign w:val="center"/>
          </w:tcPr>
          <w:p w14:paraId="77A3F03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1C80B5A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萘</w:t>
            </w:r>
          </w:p>
        </w:tc>
        <w:tc>
          <w:tcPr>
            <w:tcW w:w="1101" w:type="dxa"/>
            <w:tcBorders>
              <w:right w:val="nil"/>
            </w:tcBorders>
            <w:noWrap w:val="0"/>
            <w:vAlign w:val="center"/>
          </w:tcPr>
          <w:p w14:paraId="33720FC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59" w:type="dxa"/>
            <w:noWrap w:val="0"/>
            <w:vAlign w:val="center"/>
          </w:tcPr>
          <w:p w14:paraId="434D940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70</w:t>
            </w:r>
          </w:p>
        </w:tc>
        <w:tc>
          <w:tcPr>
            <w:tcW w:w="923" w:type="dxa"/>
            <w:noWrap w:val="0"/>
            <w:vAlign w:val="center"/>
          </w:tcPr>
          <w:p w14:paraId="008FDCB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0E0BB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90" w:type="dxa"/>
            <w:noWrap w:val="0"/>
            <w:vAlign w:val="center"/>
          </w:tcPr>
          <w:p w14:paraId="32E42C5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1，1，2-三氯乙烷</w:t>
            </w:r>
          </w:p>
        </w:tc>
        <w:tc>
          <w:tcPr>
            <w:tcW w:w="1219" w:type="dxa"/>
            <w:tcBorders>
              <w:right w:val="nil"/>
            </w:tcBorders>
            <w:noWrap w:val="0"/>
            <w:vAlign w:val="center"/>
          </w:tcPr>
          <w:p w14:paraId="036B10E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5336BEF6">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w:t>
            </w:r>
          </w:p>
        </w:tc>
        <w:tc>
          <w:tcPr>
            <w:tcW w:w="1100" w:type="dxa"/>
            <w:tcBorders>
              <w:right w:val="nil"/>
            </w:tcBorders>
            <w:noWrap w:val="0"/>
            <w:vAlign w:val="center"/>
          </w:tcPr>
          <w:p w14:paraId="65E7768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259242F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石油类（</w:t>
            </w:r>
            <w:r>
              <w:rPr>
                <w:rFonts w:hint="default" w:ascii="Times New Roman" w:hAnsi="Times New Roman" w:eastAsia="宋体" w:cs="Times New Roman"/>
                <w:color w:val="auto"/>
                <w:sz w:val="21"/>
                <w:szCs w:val="21"/>
                <w:highlight w:val="none"/>
                <w:u w:val="none" w:color="auto"/>
                <w:lang w:val="en-US" w:eastAsia="zh-CN"/>
              </w:rPr>
              <w:t>C10-C40</w:t>
            </w:r>
            <w:r>
              <w:rPr>
                <w:rFonts w:hint="default" w:ascii="Times New Roman" w:hAnsi="Times New Roman" w:eastAsia="宋体" w:cs="Times New Roman"/>
                <w:color w:val="auto"/>
                <w:sz w:val="21"/>
                <w:szCs w:val="21"/>
                <w:highlight w:val="none"/>
                <w:u w:val="none" w:color="auto"/>
                <w:lang w:eastAsia="zh-CN"/>
              </w:rPr>
              <w:t>）</w:t>
            </w:r>
          </w:p>
        </w:tc>
        <w:tc>
          <w:tcPr>
            <w:tcW w:w="1101" w:type="dxa"/>
            <w:tcBorders>
              <w:right w:val="nil"/>
            </w:tcBorders>
            <w:noWrap w:val="0"/>
            <w:vAlign w:val="center"/>
          </w:tcPr>
          <w:p w14:paraId="5A338B23">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230</w:t>
            </w:r>
          </w:p>
        </w:tc>
        <w:tc>
          <w:tcPr>
            <w:tcW w:w="1059" w:type="dxa"/>
            <w:noWrap w:val="0"/>
            <w:vAlign w:val="center"/>
          </w:tcPr>
          <w:p w14:paraId="17CAE76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4500</w:t>
            </w:r>
          </w:p>
        </w:tc>
        <w:tc>
          <w:tcPr>
            <w:tcW w:w="923" w:type="dxa"/>
            <w:noWrap w:val="0"/>
            <w:vAlign w:val="center"/>
          </w:tcPr>
          <w:p w14:paraId="57F95B4D">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r>
      <w:tr w14:paraId="7A9BA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90" w:type="dxa"/>
            <w:noWrap w:val="0"/>
            <w:vAlign w:val="center"/>
          </w:tcPr>
          <w:p w14:paraId="3ADADB4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三氯乙烯</w:t>
            </w:r>
          </w:p>
        </w:tc>
        <w:tc>
          <w:tcPr>
            <w:tcW w:w="1219" w:type="dxa"/>
            <w:tcBorders>
              <w:right w:val="nil"/>
            </w:tcBorders>
            <w:noWrap w:val="0"/>
            <w:vAlign w:val="center"/>
          </w:tcPr>
          <w:p w14:paraId="6108A738">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70216E10">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w:t>
            </w:r>
          </w:p>
        </w:tc>
        <w:tc>
          <w:tcPr>
            <w:tcW w:w="1100" w:type="dxa"/>
            <w:tcBorders>
              <w:right w:val="nil"/>
            </w:tcBorders>
            <w:noWrap w:val="0"/>
            <w:vAlign w:val="center"/>
          </w:tcPr>
          <w:p w14:paraId="7FD59AD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32845BA4">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pH值</w:t>
            </w:r>
          </w:p>
        </w:tc>
        <w:tc>
          <w:tcPr>
            <w:tcW w:w="1101" w:type="dxa"/>
            <w:tcBorders>
              <w:right w:val="nil"/>
            </w:tcBorders>
            <w:noWrap w:val="0"/>
            <w:vAlign w:val="center"/>
          </w:tcPr>
          <w:p w14:paraId="286200EE">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6.71</w:t>
            </w:r>
          </w:p>
        </w:tc>
        <w:tc>
          <w:tcPr>
            <w:tcW w:w="1059" w:type="dxa"/>
            <w:noWrap w:val="0"/>
            <w:vAlign w:val="center"/>
          </w:tcPr>
          <w:p w14:paraId="561C4F6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923" w:type="dxa"/>
            <w:noWrap w:val="0"/>
            <w:vAlign w:val="center"/>
          </w:tcPr>
          <w:p w14:paraId="210C04A5">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752DB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90" w:type="dxa"/>
            <w:noWrap w:val="0"/>
            <w:vAlign w:val="center"/>
          </w:tcPr>
          <w:p w14:paraId="21C55752">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1，2，3-三氯丙烷</w:t>
            </w:r>
          </w:p>
        </w:tc>
        <w:tc>
          <w:tcPr>
            <w:tcW w:w="1219" w:type="dxa"/>
            <w:tcBorders>
              <w:right w:val="nil"/>
            </w:tcBorders>
            <w:noWrap w:val="0"/>
            <w:vAlign w:val="center"/>
          </w:tcPr>
          <w:p w14:paraId="68F030E1">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1011" w:type="dxa"/>
            <w:tcBorders>
              <w:right w:val="nil"/>
            </w:tcBorders>
            <w:noWrap w:val="0"/>
            <w:vAlign w:val="center"/>
          </w:tcPr>
          <w:p w14:paraId="18EA71EF">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0.5</w:t>
            </w:r>
          </w:p>
        </w:tc>
        <w:tc>
          <w:tcPr>
            <w:tcW w:w="1100" w:type="dxa"/>
            <w:tcBorders>
              <w:right w:val="nil"/>
            </w:tcBorders>
            <w:noWrap w:val="0"/>
            <w:vAlign w:val="center"/>
          </w:tcPr>
          <w:p w14:paraId="287D0727">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达标</w:t>
            </w:r>
          </w:p>
        </w:tc>
        <w:tc>
          <w:tcPr>
            <w:tcW w:w="1574" w:type="dxa"/>
            <w:tcBorders>
              <w:right w:val="nil"/>
            </w:tcBorders>
            <w:noWrap w:val="0"/>
            <w:vAlign w:val="center"/>
          </w:tcPr>
          <w:p w14:paraId="6C41567A">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p>
        </w:tc>
        <w:tc>
          <w:tcPr>
            <w:tcW w:w="1101" w:type="dxa"/>
            <w:tcBorders>
              <w:right w:val="nil"/>
            </w:tcBorders>
            <w:noWrap w:val="0"/>
            <w:vAlign w:val="center"/>
          </w:tcPr>
          <w:p w14:paraId="1D5AEBF9">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p>
        </w:tc>
        <w:tc>
          <w:tcPr>
            <w:tcW w:w="1059" w:type="dxa"/>
            <w:noWrap w:val="0"/>
            <w:vAlign w:val="center"/>
          </w:tcPr>
          <w:p w14:paraId="507280FB">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p>
        </w:tc>
        <w:tc>
          <w:tcPr>
            <w:tcW w:w="923" w:type="dxa"/>
            <w:noWrap w:val="0"/>
            <w:vAlign w:val="center"/>
          </w:tcPr>
          <w:p w14:paraId="4E6E0FE6">
            <w:pPr>
              <w:keepNext w:val="0"/>
              <w:keepLines w:val="0"/>
              <w:pageBreakBefore w:val="0"/>
              <w:kinsoku/>
              <w:wordWrap/>
              <w:overflowPunct/>
              <w:topLinePunct w:val="0"/>
              <w:autoSpaceDE/>
              <w:autoSpaceDN/>
              <w:bidi w:val="0"/>
              <w:adjustRightInd w:val="0"/>
              <w:snapToGrid w:val="0"/>
              <w:spacing w:line="240" w:lineRule="auto"/>
              <w:ind w:left="-56" w:leftChars="-20"/>
              <w:jc w:val="center"/>
              <w:rPr>
                <w:rFonts w:hint="default" w:ascii="Times New Roman" w:hAnsi="Times New Roman" w:eastAsia="宋体" w:cs="Times New Roman"/>
                <w:color w:val="auto"/>
                <w:sz w:val="21"/>
                <w:szCs w:val="21"/>
                <w:highlight w:val="none"/>
                <w:u w:val="none" w:color="auto"/>
                <w:lang w:val="en-US" w:eastAsia="zh-CN"/>
              </w:rPr>
            </w:pPr>
          </w:p>
        </w:tc>
      </w:tr>
    </w:tbl>
    <w:p w14:paraId="5B76DEE6">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71" w:name="_Toc20655"/>
      <w:r>
        <w:rPr>
          <w:rFonts w:hint="default" w:ascii="Times New Roman" w:hAnsi="Times New Roman" w:eastAsia="宋体" w:cs="Times New Roman"/>
          <w:color w:val="auto"/>
          <w:sz w:val="28"/>
          <w:szCs w:val="28"/>
          <w:highlight w:val="none"/>
          <w:u w:val="none" w:color="auto"/>
          <w:lang w:val="en-US" w:eastAsia="zh-CN"/>
        </w:rPr>
        <w:t>6.6生态环境现状调查与评价</w:t>
      </w:r>
      <w:bookmarkEnd w:id="71"/>
    </w:p>
    <w:p w14:paraId="57CD8610">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松木经开区地处中亚热带湿润区，气候温和，热量丰富，雨水充沛，适合植物生长。该地域植被区的地带性植被应为亚热带常绿阔叶林带。原始森林已被破坏，为次生植被所取代。由于该地区人类开发活动历史悠久，土地利用率高，自然植被基本已不复存在。松木经济开发区所在区域已开发建成的区域有明显的人类活动干扰痕迹，动植物数量锐减，分布的植被以人工城市绿化带的植被为主，而未开发的区域内植被和动植物情况基本保持原貌，分布的植被多为松散的灌丛，间有马尾松、杉木、油茶、柑桔、茶树等疏林地及蔬菜等农作物。据调查，评价区域内无珍稀、濒危植物及国家法规保护的植物资源。生态环境质量一般。</w:t>
      </w:r>
    </w:p>
    <w:p w14:paraId="35B4F7E1">
      <w:pPr>
        <w:ind w:firstLine="56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项目位于衡阳松木经济开发区松枫路，用地为工业用地，评价区域内无珍稀、濒危野生动植物。</w:t>
      </w:r>
    </w:p>
    <w:p w14:paraId="438C6147">
      <w:pPr>
        <w:rPr>
          <w:rFonts w:hint="default" w:ascii="Times New Roman" w:hAnsi="Times New Roman" w:cs="Times New Roman"/>
          <w:color w:val="auto"/>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80F42AB">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val="en-US" w:eastAsia="zh-CN"/>
        </w:rPr>
      </w:pPr>
      <w:bookmarkStart w:id="72" w:name="_Toc480366185"/>
      <w:bookmarkStart w:id="73" w:name="_Toc25937"/>
      <w:r>
        <w:rPr>
          <w:rFonts w:hint="default" w:ascii="Times New Roman" w:hAnsi="Times New Roman" w:eastAsia="宋体" w:cs="Times New Roman"/>
          <w:color w:val="auto"/>
          <w:sz w:val="32"/>
          <w:szCs w:val="32"/>
          <w:highlight w:val="none"/>
          <w:u w:val="none" w:color="auto"/>
          <w:lang w:val="en-US" w:eastAsia="zh-CN"/>
        </w:rPr>
        <w:t>7环境影响分析与评价</w:t>
      </w:r>
      <w:bookmarkEnd w:id="72"/>
      <w:bookmarkEnd w:id="73"/>
    </w:p>
    <w:p w14:paraId="02A35D31">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74" w:name="_Toc32090"/>
      <w:r>
        <w:rPr>
          <w:rFonts w:hint="default" w:ascii="Times New Roman" w:hAnsi="Times New Roman" w:eastAsia="宋体" w:cs="Times New Roman"/>
          <w:color w:val="auto"/>
          <w:sz w:val="28"/>
          <w:szCs w:val="28"/>
          <w:highlight w:val="none"/>
          <w:u w:val="none" w:color="auto"/>
          <w:lang w:val="en-US" w:eastAsia="zh-CN"/>
        </w:rPr>
        <w:t>7.1施工期环境影响分析</w:t>
      </w:r>
      <w:bookmarkEnd w:id="74"/>
    </w:p>
    <w:p w14:paraId="688BE252">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7.1.1施工期大气环境影响分析</w:t>
      </w:r>
    </w:p>
    <w:p w14:paraId="39DB62E2">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（1）施工扬尘</w:t>
      </w:r>
    </w:p>
    <w:p w14:paraId="229C816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项目施工期对环境空气的影响主要是施工扬尘，建筑材料堆放、搬运及使用会产生扬尘，来往运输的车辆会产生道路扬尘。</w:t>
      </w:r>
    </w:p>
    <w:p w14:paraId="0B94138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扬尘属无组织间歇排放，其产生量与施工范围、方式方法、气象等诸多因素有关，由于施工的需要，一些建材需露天堆放，在气候干燥又有风的情况下，会产生扬尘，起尘的经验计算公式为：</w:t>
      </w:r>
    </w:p>
    <w:p w14:paraId="04A6430F">
      <w:pPr>
        <w:keepNext w:val="0"/>
        <w:keepLines w:val="0"/>
        <w:pageBreakBefore w:val="0"/>
        <w:widowControl w:val="0"/>
        <w:kinsoku/>
        <w:wordWrap/>
        <w:overflowPunct/>
        <w:topLinePunct w:val="0"/>
        <w:autoSpaceDE/>
        <w:autoSpaceDN/>
        <w:bidi w:val="0"/>
        <w:adjustRightInd/>
        <w:snapToGrid/>
        <w:spacing w:line="360" w:lineRule="auto"/>
        <w:ind w:firstLine="560"/>
        <w:jc w:val="center"/>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i/>
          <w:iCs/>
          <w:color w:val="auto"/>
          <w:sz w:val="24"/>
          <w:szCs w:val="21"/>
          <w:highlight w:val="none"/>
          <w:u w:val="none" w:color="auto"/>
        </w:rPr>
        <w:t>Q</w:t>
      </w:r>
      <w:r>
        <w:rPr>
          <w:rFonts w:hint="default" w:ascii="Times New Roman" w:hAnsi="Times New Roman" w:eastAsia="宋体" w:cs="Times New Roman"/>
          <w:color w:val="auto"/>
          <w:sz w:val="24"/>
          <w:szCs w:val="21"/>
          <w:highlight w:val="none"/>
          <w:u w:val="none" w:color="auto"/>
        </w:rPr>
        <w:t>=2.1(</w:t>
      </w:r>
      <w:r>
        <w:rPr>
          <w:rFonts w:hint="default" w:ascii="Times New Roman" w:hAnsi="Times New Roman" w:eastAsia="宋体" w:cs="Times New Roman"/>
          <w:i/>
          <w:iCs/>
          <w:color w:val="auto"/>
          <w:sz w:val="24"/>
          <w:szCs w:val="21"/>
          <w:highlight w:val="none"/>
          <w:u w:val="none" w:color="auto"/>
        </w:rPr>
        <w:t>V</w:t>
      </w:r>
      <w:r>
        <w:rPr>
          <w:rFonts w:hint="default" w:ascii="Times New Roman" w:hAnsi="Times New Roman" w:eastAsia="宋体" w:cs="Times New Roman"/>
          <w:color w:val="auto"/>
          <w:sz w:val="24"/>
          <w:szCs w:val="21"/>
          <w:highlight w:val="none"/>
          <w:u w:val="none" w:color="auto"/>
          <w:vertAlign w:val="subscript"/>
        </w:rPr>
        <w:t>50</w:t>
      </w:r>
      <w:r>
        <w:rPr>
          <w:rFonts w:hint="default" w:ascii="Times New Roman" w:hAnsi="Times New Roman" w:eastAsia="宋体" w:cs="Times New Roman"/>
          <w:color w:val="auto"/>
          <w:sz w:val="24"/>
          <w:szCs w:val="21"/>
          <w:highlight w:val="none"/>
          <w:u w:val="none" w:color="auto"/>
        </w:rPr>
        <w:t>-</w:t>
      </w:r>
      <w:r>
        <w:rPr>
          <w:rFonts w:hint="default" w:ascii="Times New Roman" w:hAnsi="Times New Roman" w:eastAsia="宋体" w:cs="Times New Roman"/>
          <w:i/>
          <w:iCs/>
          <w:color w:val="auto"/>
          <w:sz w:val="24"/>
          <w:szCs w:val="21"/>
          <w:highlight w:val="none"/>
          <w:u w:val="none" w:color="auto"/>
        </w:rPr>
        <w:t>V</w:t>
      </w:r>
      <w:r>
        <w:rPr>
          <w:rFonts w:hint="default" w:ascii="Times New Roman" w:hAnsi="Times New Roman" w:eastAsia="宋体" w:cs="Times New Roman"/>
          <w:color w:val="auto"/>
          <w:sz w:val="24"/>
          <w:szCs w:val="21"/>
          <w:highlight w:val="none"/>
          <w:u w:val="none" w:color="auto"/>
          <w:vertAlign w:val="subscript"/>
        </w:rPr>
        <w:t>0</w:t>
      </w:r>
      <w:r>
        <w:rPr>
          <w:rFonts w:hint="default" w:ascii="Times New Roman" w:hAnsi="Times New Roman" w:eastAsia="宋体" w:cs="Times New Roman"/>
          <w:color w:val="auto"/>
          <w:sz w:val="24"/>
          <w:szCs w:val="21"/>
          <w:highlight w:val="none"/>
          <w:u w:val="none" w:color="auto"/>
        </w:rPr>
        <w:t>)</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e</w:t>
      </w:r>
      <w:r>
        <w:rPr>
          <w:rFonts w:hint="default" w:ascii="Times New Roman" w:hAnsi="Times New Roman" w:eastAsia="宋体" w:cs="Times New Roman"/>
          <w:color w:val="auto"/>
          <w:sz w:val="24"/>
          <w:szCs w:val="21"/>
          <w:highlight w:val="none"/>
          <w:u w:val="none" w:color="auto"/>
          <w:vertAlign w:val="superscript"/>
        </w:rPr>
        <w:t>-1.023</w:t>
      </w:r>
      <w:r>
        <w:rPr>
          <w:rFonts w:hint="default" w:ascii="Times New Roman" w:hAnsi="Times New Roman" w:eastAsia="宋体" w:cs="Times New Roman"/>
          <w:i/>
          <w:iCs/>
          <w:color w:val="auto"/>
          <w:sz w:val="24"/>
          <w:szCs w:val="21"/>
          <w:highlight w:val="none"/>
          <w:u w:val="none" w:color="auto"/>
          <w:vertAlign w:val="superscript"/>
        </w:rPr>
        <w:t>w</w:t>
      </w:r>
    </w:p>
    <w:p w14:paraId="60845833">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其中：Q——起尘量，kg/t·a；</w:t>
      </w:r>
    </w:p>
    <w:p w14:paraId="78B4B21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V</w:t>
      </w:r>
      <w:r>
        <w:rPr>
          <w:rFonts w:hint="default" w:ascii="Times New Roman" w:hAnsi="Times New Roman" w:eastAsia="宋体" w:cs="Times New Roman"/>
          <w:color w:val="auto"/>
          <w:sz w:val="24"/>
          <w:szCs w:val="21"/>
          <w:highlight w:val="none"/>
          <w:u w:val="none" w:color="auto"/>
          <w:vertAlign w:val="subscript"/>
        </w:rPr>
        <w:t>50</w:t>
      </w:r>
      <w:r>
        <w:rPr>
          <w:rFonts w:hint="default" w:ascii="Times New Roman" w:hAnsi="Times New Roman" w:eastAsia="宋体" w:cs="Times New Roman"/>
          <w:color w:val="auto"/>
          <w:sz w:val="24"/>
          <w:szCs w:val="21"/>
          <w:highlight w:val="none"/>
          <w:u w:val="none" w:color="auto"/>
        </w:rPr>
        <w:t>——距地面50m处风速，取10m/s；</w:t>
      </w:r>
    </w:p>
    <w:p w14:paraId="6E352B00">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V</w:t>
      </w:r>
      <w:r>
        <w:rPr>
          <w:rFonts w:hint="default" w:ascii="Times New Roman" w:hAnsi="Times New Roman" w:eastAsia="宋体" w:cs="Times New Roman"/>
          <w:color w:val="auto"/>
          <w:sz w:val="24"/>
          <w:szCs w:val="21"/>
          <w:highlight w:val="none"/>
          <w:u w:val="none" w:color="auto"/>
          <w:vertAlign w:val="subscript"/>
        </w:rPr>
        <w:t>0</w:t>
      </w:r>
      <w:r>
        <w:rPr>
          <w:rFonts w:hint="default" w:ascii="Times New Roman" w:hAnsi="Times New Roman" w:eastAsia="宋体" w:cs="Times New Roman"/>
          <w:color w:val="auto"/>
          <w:sz w:val="24"/>
          <w:szCs w:val="21"/>
          <w:highlight w:val="none"/>
          <w:u w:val="none" w:color="auto"/>
        </w:rPr>
        <w:t>——起尘风速，取5m/s；</w:t>
      </w:r>
    </w:p>
    <w:p w14:paraId="19E0DA6B">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W——尘粒的含水率，%。</w:t>
      </w:r>
    </w:p>
    <w:p w14:paraId="2EFE325A">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不同含水率的尘粒起尘量见下表：</w:t>
      </w:r>
    </w:p>
    <w:p w14:paraId="0F02D883">
      <w:pPr>
        <w:pStyle w:val="48"/>
        <w:rPr>
          <w:rFonts w:hint="default" w:ascii="Times New Roman" w:hAnsi="Times New Roman" w:eastAsia="宋体" w:cs="Times New Roman"/>
          <w:b/>
          <w:bCs/>
          <w:i w:val="0"/>
          <w:iCs w:val="0"/>
          <w:color w:val="auto"/>
          <w:kern w:val="2"/>
          <w:sz w:val="21"/>
          <w:szCs w:val="21"/>
          <w:highlight w:val="none"/>
          <w:u w:val="none" w:color="auto"/>
          <w:lang w:val="en-US" w:eastAsia="zh-CN" w:bidi="ar-SA"/>
        </w:rPr>
      </w:pPr>
      <w:r>
        <w:rPr>
          <w:rFonts w:hint="default" w:ascii="Times New Roman" w:hAnsi="Times New Roman" w:eastAsia="宋体" w:cs="Times New Roman"/>
          <w:b/>
          <w:bCs/>
          <w:i w:val="0"/>
          <w:iCs w:val="0"/>
          <w:color w:val="auto"/>
          <w:kern w:val="2"/>
          <w:sz w:val="21"/>
          <w:szCs w:val="21"/>
          <w:highlight w:val="none"/>
          <w:u w:val="none" w:color="auto"/>
          <w:lang w:val="en-US" w:eastAsia="zh-CN" w:bidi="ar-SA"/>
        </w:rPr>
        <w:t>表7.1-1  不同含水率尘粒的起尘量</w:t>
      </w:r>
    </w:p>
    <w:tbl>
      <w:tblPr>
        <w:tblStyle w:val="22"/>
        <w:tblW w:w="85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9"/>
        <w:gridCol w:w="781"/>
        <w:gridCol w:w="781"/>
        <w:gridCol w:w="781"/>
        <w:gridCol w:w="781"/>
        <w:gridCol w:w="781"/>
        <w:gridCol w:w="1355"/>
        <w:gridCol w:w="1382"/>
      </w:tblGrid>
      <w:tr w14:paraId="72227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79" w:type="dxa"/>
            <w:vAlign w:val="center"/>
          </w:tcPr>
          <w:p w14:paraId="43AEA87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含水率（%）</w:t>
            </w:r>
          </w:p>
        </w:tc>
        <w:tc>
          <w:tcPr>
            <w:tcW w:w="781" w:type="dxa"/>
            <w:vAlign w:val="center"/>
          </w:tcPr>
          <w:p w14:paraId="7EAA4C9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w:t>
            </w:r>
          </w:p>
        </w:tc>
        <w:tc>
          <w:tcPr>
            <w:tcW w:w="781" w:type="dxa"/>
            <w:vAlign w:val="center"/>
          </w:tcPr>
          <w:p w14:paraId="1FE2086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w:t>
            </w:r>
          </w:p>
        </w:tc>
        <w:tc>
          <w:tcPr>
            <w:tcW w:w="781" w:type="dxa"/>
            <w:vAlign w:val="center"/>
          </w:tcPr>
          <w:p w14:paraId="439BD6B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w:t>
            </w:r>
          </w:p>
        </w:tc>
        <w:tc>
          <w:tcPr>
            <w:tcW w:w="781" w:type="dxa"/>
            <w:vAlign w:val="center"/>
          </w:tcPr>
          <w:p w14:paraId="6B405EA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8</w:t>
            </w:r>
          </w:p>
        </w:tc>
        <w:tc>
          <w:tcPr>
            <w:tcW w:w="781" w:type="dxa"/>
            <w:vAlign w:val="center"/>
          </w:tcPr>
          <w:p w14:paraId="3A786FB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10</w:t>
            </w:r>
          </w:p>
        </w:tc>
        <w:tc>
          <w:tcPr>
            <w:tcW w:w="1355" w:type="dxa"/>
            <w:vAlign w:val="center"/>
          </w:tcPr>
          <w:p w14:paraId="334A117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20</w:t>
            </w:r>
          </w:p>
        </w:tc>
        <w:tc>
          <w:tcPr>
            <w:tcW w:w="1382" w:type="dxa"/>
            <w:vAlign w:val="center"/>
          </w:tcPr>
          <w:p w14:paraId="5CE54B2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30</w:t>
            </w:r>
          </w:p>
        </w:tc>
      </w:tr>
      <w:tr w14:paraId="71ECA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79" w:type="dxa"/>
            <w:vAlign w:val="center"/>
          </w:tcPr>
          <w:p w14:paraId="5B61C3B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起尘量（kg/t·a）</w:t>
            </w:r>
          </w:p>
        </w:tc>
        <w:tc>
          <w:tcPr>
            <w:tcW w:w="781" w:type="dxa"/>
            <w:vAlign w:val="center"/>
          </w:tcPr>
          <w:p w14:paraId="5C81BED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94.50</w:t>
            </w:r>
          </w:p>
        </w:tc>
        <w:tc>
          <w:tcPr>
            <w:tcW w:w="781" w:type="dxa"/>
            <w:vAlign w:val="center"/>
          </w:tcPr>
          <w:p w14:paraId="53E4864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11.80</w:t>
            </w:r>
          </w:p>
        </w:tc>
        <w:tc>
          <w:tcPr>
            <w:tcW w:w="781" w:type="dxa"/>
            <w:vAlign w:val="center"/>
          </w:tcPr>
          <w:p w14:paraId="451E79F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1.54</w:t>
            </w:r>
          </w:p>
        </w:tc>
        <w:tc>
          <w:tcPr>
            <w:tcW w:w="781" w:type="dxa"/>
            <w:vAlign w:val="center"/>
          </w:tcPr>
          <w:p w14:paraId="6BF3A35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0.08</w:t>
            </w:r>
          </w:p>
        </w:tc>
        <w:tc>
          <w:tcPr>
            <w:tcW w:w="781" w:type="dxa"/>
            <w:vAlign w:val="center"/>
          </w:tcPr>
          <w:p w14:paraId="5C3CB72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0.01</w:t>
            </w:r>
          </w:p>
        </w:tc>
        <w:tc>
          <w:tcPr>
            <w:tcW w:w="1355" w:type="dxa"/>
            <w:vAlign w:val="center"/>
          </w:tcPr>
          <w:p w14:paraId="6D63A0C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3.33×10</w:t>
            </w:r>
            <w:r>
              <w:rPr>
                <w:rFonts w:hint="default" w:ascii="Times New Roman" w:hAnsi="Times New Roman" w:cs="Times New Roman"/>
                <w:color w:val="auto"/>
                <w:kern w:val="2"/>
                <w:sz w:val="21"/>
                <w:szCs w:val="22"/>
                <w:highlight w:val="none"/>
                <w:u w:val="none" w:color="auto"/>
                <w:vertAlign w:val="superscript"/>
              </w:rPr>
              <w:t>-7</w:t>
            </w:r>
          </w:p>
        </w:tc>
        <w:tc>
          <w:tcPr>
            <w:tcW w:w="1382" w:type="dxa"/>
            <w:vAlign w:val="center"/>
          </w:tcPr>
          <w:p w14:paraId="6AEC24A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1.2×10</w:t>
            </w:r>
            <w:r>
              <w:rPr>
                <w:rFonts w:hint="default" w:ascii="Times New Roman" w:hAnsi="Times New Roman" w:cs="Times New Roman"/>
                <w:color w:val="auto"/>
                <w:kern w:val="2"/>
                <w:sz w:val="21"/>
                <w:szCs w:val="22"/>
                <w:highlight w:val="none"/>
                <w:u w:val="none" w:color="auto"/>
                <w:vertAlign w:val="superscript"/>
              </w:rPr>
              <w:t>-12</w:t>
            </w:r>
          </w:p>
        </w:tc>
      </w:tr>
    </w:tbl>
    <w:p w14:paraId="52D5D621">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根据上表，尘粒含水率越大，起尘量越小，当尘粒含水率超过 10%时，基本不会起尘。</w:t>
      </w:r>
    </w:p>
    <w:p w14:paraId="53A68319">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尘粒在空气中的传播扩散情况与风速等气象条件有关，也与尘粒本身的沉降速度有关。不同粒径尘粒的沉降速度见表</w:t>
      </w:r>
      <w:r>
        <w:rPr>
          <w:rFonts w:hint="default" w:ascii="Times New Roman" w:hAnsi="Times New Roman" w:eastAsia="宋体" w:cs="Times New Roman"/>
          <w:color w:val="auto"/>
          <w:sz w:val="24"/>
          <w:szCs w:val="21"/>
          <w:highlight w:val="none"/>
          <w:u w:val="none" w:color="auto"/>
          <w:lang w:val="en-US" w:eastAsia="zh-CN"/>
        </w:rPr>
        <w:t>7</w:t>
      </w:r>
      <w:r>
        <w:rPr>
          <w:rFonts w:hint="default" w:ascii="Times New Roman" w:hAnsi="Times New Roman" w:eastAsia="宋体" w:cs="Times New Roman"/>
          <w:color w:val="auto"/>
          <w:sz w:val="24"/>
          <w:szCs w:val="21"/>
          <w:highlight w:val="none"/>
          <w:u w:val="none" w:color="auto"/>
        </w:rPr>
        <w:t>.1-2。</w:t>
      </w:r>
    </w:p>
    <w:p w14:paraId="1F051185">
      <w:pPr>
        <w:pStyle w:val="48"/>
        <w:rPr>
          <w:rFonts w:hint="default" w:ascii="Times New Roman" w:hAnsi="Times New Roman" w:eastAsia="宋体" w:cs="Times New Roman"/>
          <w:b/>
          <w:bCs/>
          <w:i w:val="0"/>
          <w:iCs w:val="0"/>
          <w:color w:val="auto"/>
          <w:kern w:val="2"/>
          <w:sz w:val="21"/>
          <w:szCs w:val="21"/>
          <w:highlight w:val="none"/>
          <w:u w:val="none" w:color="auto"/>
          <w:lang w:val="en-US" w:eastAsia="zh-CN" w:bidi="ar-SA"/>
        </w:rPr>
      </w:pPr>
      <w:r>
        <w:rPr>
          <w:rFonts w:hint="default" w:ascii="Times New Roman" w:hAnsi="Times New Roman" w:eastAsia="宋体" w:cs="Times New Roman"/>
          <w:b/>
          <w:bCs/>
          <w:i w:val="0"/>
          <w:iCs w:val="0"/>
          <w:color w:val="auto"/>
          <w:kern w:val="2"/>
          <w:sz w:val="21"/>
          <w:szCs w:val="21"/>
          <w:highlight w:val="none"/>
          <w:u w:val="none" w:color="auto"/>
          <w:lang w:val="en-US" w:eastAsia="zh-CN" w:bidi="ar-SA"/>
        </w:rPr>
        <w:t>表7.1-2  不同粒径尘粒的沉降速度</w:t>
      </w:r>
    </w:p>
    <w:tbl>
      <w:tblPr>
        <w:tblStyle w:val="22"/>
        <w:tblW w:w="85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2"/>
        <w:gridCol w:w="934"/>
        <w:gridCol w:w="935"/>
        <w:gridCol w:w="934"/>
        <w:gridCol w:w="934"/>
        <w:gridCol w:w="934"/>
        <w:gridCol w:w="934"/>
        <w:gridCol w:w="934"/>
      </w:tblGrid>
      <w:tr w14:paraId="19A6F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82" w:type="dxa"/>
            <w:vAlign w:val="center"/>
          </w:tcPr>
          <w:p w14:paraId="110B810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粒径，μm</w:t>
            </w:r>
          </w:p>
        </w:tc>
        <w:tc>
          <w:tcPr>
            <w:tcW w:w="934" w:type="dxa"/>
            <w:vAlign w:val="center"/>
          </w:tcPr>
          <w:p w14:paraId="5C64ED4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10</w:t>
            </w:r>
          </w:p>
        </w:tc>
        <w:tc>
          <w:tcPr>
            <w:tcW w:w="935" w:type="dxa"/>
            <w:vAlign w:val="center"/>
          </w:tcPr>
          <w:p w14:paraId="6C60B12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20</w:t>
            </w:r>
          </w:p>
        </w:tc>
        <w:tc>
          <w:tcPr>
            <w:tcW w:w="934" w:type="dxa"/>
            <w:vAlign w:val="center"/>
          </w:tcPr>
          <w:p w14:paraId="576A5D4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30</w:t>
            </w:r>
          </w:p>
        </w:tc>
        <w:tc>
          <w:tcPr>
            <w:tcW w:w="934" w:type="dxa"/>
            <w:vAlign w:val="center"/>
          </w:tcPr>
          <w:p w14:paraId="210FB4F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40</w:t>
            </w:r>
          </w:p>
        </w:tc>
        <w:tc>
          <w:tcPr>
            <w:tcW w:w="934" w:type="dxa"/>
            <w:vAlign w:val="center"/>
          </w:tcPr>
          <w:p w14:paraId="4431B2B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50</w:t>
            </w:r>
          </w:p>
        </w:tc>
        <w:tc>
          <w:tcPr>
            <w:tcW w:w="934" w:type="dxa"/>
            <w:vAlign w:val="center"/>
          </w:tcPr>
          <w:p w14:paraId="0216B54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60</w:t>
            </w:r>
          </w:p>
        </w:tc>
        <w:tc>
          <w:tcPr>
            <w:tcW w:w="934" w:type="dxa"/>
            <w:vAlign w:val="center"/>
          </w:tcPr>
          <w:p w14:paraId="2A03DF7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70</w:t>
            </w:r>
          </w:p>
        </w:tc>
      </w:tr>
      <w:tr w14:paraId="10181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82" w:type="dxa"/>
            <w:vAlign w:val="center"/>
          </w:tcPr>
          <w:p w14:paraId="12BA375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沉降速度，m/s</w:t>
            </w:r>
          </w:p>
        </w:tc>
        <w:tc>
          <w:tcPr>
            <w:tcW w:w="934" w:type="dxa"/>
            <w:vAlign w:val="center"/>
          </w:tcPr>
          <w:p w14:paraId="6D60E5F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0.003</w:t>
            </w:r>
          </w:p>
        </w:tc>
        <w:tc>
          <w:tcPr>
            <w:tcW w:w="935" w:type="dxa"/>
            <w:vAlign w:val="center"/>
          </w:tcPr>
          <w:p w14:paraId="050F31B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0.012</w:t>
            </w:r>
          </w:p>
        </w:tc>
        <w:tc>
          <w:tcPr>
            <w:tcW w:w="934" w:type="dxa"/>
            <w:vAlign w:val="center"/>
          </w:tcPr>
          <w:p w14:paraId="2F23694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0.027</w:t>
            </w:r>
          </w:p>
        </w:tc>
        <w:tc>
          <w:tcPr>
            <w:tcW w:w="934" w:type="dxa"/>
            <w:vAlign w:val="center"/>
          </w:tcPr>
          <w:p w14:paraId="71733A0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0.048</w:t>
            </w:r>
          </w:p>
        </w:tc>
        <w:tc>
          <w:tcPr>
            <w:tcW w:w="934" w:type="dxa"/>
            <w:vAlign w:val="center"/>
          </w:tcPr>
          <w:p w14:paraId="0E4ED76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0.075</w:t>
            </w:r>
          </w:p>
        </w:tc>
        <w:tc>
          <w:tcPr>
            <w:tcW w:w="934" w:type="dxa"/>
            <w:vAlign w:val="center"/>
          </w:tcPr>
          <w:p w14:paraId="200C899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0.108</w:t>
            </w:r>
          </w:p>
        </w:tc>
        <w:tc>
          <w:tcPr>
            <w:tcW w:w="934" w:type="dxa"/>
            <w:vAlign w:val="center"/>
          </w:tcPr>
          <w:p w14:paraId="68ED812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0.147</w:t>
            </w:r>
          </w:p>
        </w:tc>
      </w:tr>
      <w:tr w14:paraId="78B74C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82" w:type="dxa"/>
            <w:vAlign w:val="center"/>
          </w:tcPr>
          <w:p w14:paraId="3FFFAFD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粒径，μm</w:t>
            </w:r>
          </w:p>
        </w:tc>
        <w:tc>
          <w:tcPr>
            <w:tcW w:w="934" w:type="dxa"/>
            <w:vAlign w:val="center"/>
          </w:tcPr>
          <w:p w14:paraId="30FFF79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80</w:t>
            </w:r>
          </w:p>
        </w:tc>
        <w:tc>
          <w:tcPr>
            <w:tcW w:w="935" w:type="dxa"/>
            <w:vAlign w:val="center"/>
          </w:tcPr>
          <w:p w14:paraId="4F6D614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90</w:t>
            </w:r>
          </w:p>
        </w:tc>
        <w:tc>
          <w:tcPr>
            <w:tcW w:w="934" w:type="dxa"/>
            <w:vAlign w:val="center"/>
          </w:tcPr>
          <w:p w14:paraId="58250BB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100</w:t>
            </w:r>
          </w:p>
        </w:tc>
        <w:tc>
          <w:tcPr>
            <w:tcW w:w="934" w:type="dxa"/>
            <w:vAlign w:val="center"/>
          </w:tcPr>
          <w:p w14:paraId="20A1D1E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150</w:t>
            </w:r>
          </w:p>
        </w:tc>
        <w:tc>
          <w:tcPr>
            <w:tcW w:w="934" w:type="dxa"/>
            <w:vAlign w:val="center"/>
          </w:tcPr>
          <w:p w14:paraId="5958BCC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200</w:t>
            </w:r>
          </w:p>
        </w:tc>
        <w:tc>
          <w:tcPr>
            <w:tcW w:w="934" w:type="dxa"/>
            <w:vAlign w:val="center"/>
          </w:tcPr>
          <w:p w14:paraId="7195887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250</w:t>
            </w:r>
          </w:p>
        </w:tc>
        <w:tc>
          <w:tcPr>
            <w:tcW w:w="934" w:type="dxa"/>
            <w:vAlign w:val="center"/>
          </w:tcPr>
          <w:p w14:paraId="1620B88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350</w:t>
            </w:r>
          </w:p>
        </w:tc>
      </w:tr>
      <w:tr w14:paraId="428FB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82" w:type="dxa"/>
            <w:vAlign w:val="center"/>
          </w:tcPr>
          <w:p w14:paraId="2045DA7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沉降速度，m/s</w:t>
            </w:r>
          </w:p>
        </w:tc>
        <w:tc>
          <w:tcPr>
            <w:tcW w:w="934" w:type="dxa"/>
            <w:vAlign w:val="center"/>
          </w:tcPr>
          <w:p w14:paraId="4FD1B55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0.158</w:t>
            </w:r>
          </w:p>
        </w:tc>
        <w:tc>
          <w:tcPr>
            <w:tcW w:w="935" w:type="dxa"/>
            <w:vAlign w:val="center"/>
          </w:tcPr>
          <w:p w14:paraId="6354F62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0.170</w:t>
            </w:r>
          </w:p>
        </w:tc>
        <w:tc>
          <w:tcPr>
            <w:tcW w:w="934" w:type="dxa"/>
            <w:vAlign w:val="center"/>
          </w:tcPr>
          <w:p w14:paraId="46454D3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0.182</w:t>
            </w:r>
          </w:p>
        </w:tc>
        <w:tc>
          <w:tcPr>
            <w:tcW w:w="934" w:type="dxa"/>
            <w:vAlign w:val="center"/>
          </w:tcPr>
          <w:p w14:paraId="3792FA1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0.239</w:t>
            </w:r>
          </w:p>
        </w:tc>
        <w:tc>
          <w:tcPr>
            <w:tcW w:w="934" w:type="dxa"/>
            <w:vAlign w:val="center"/>
          </w:tcPr>
          <w:p w14:paraId="6DC51E2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0.804</w:t>
            </w:r>
          </w:p>
        </w:tc>
        <w:tc>
          <w:tcPr>
            <w:tcW w:w="934" w:type="dxa"/>
            <w:vAlign w:val="center"/>
          </w:tcPr>
          <w:p w14:paraId="0EEA00D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1.005</w:t>
            </w:r>
          </w:p>
        </w:tc>
        <w:tc>
          <w:tcPr>
            <w:tcW w:w="934" w:type="dxa"/>
            <w:vAlign w:val="center"/>
          </w:tcPr>
          <w:p w14:paraId="1E7C40C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1.829</w:t>
            </w:r>
          </w:p>
        </w:tc>
      </w:tr>
      <w:tr w14:paraId="37AB5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82" w:type="dxa"/>
            <w:vAlign w:val="center"/>
          </w:tcPr>
          <w:p w14:paraId="7C9C093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粒径，μm</w:t>
            </w:r>
          </w:p>
        </w:tc>
        <w:tc>
          <w:tcPr>
            <w:tcW w:w="934" w:type="dxa"/>
            <w:vAlign w:val="center"/>
          </w:tcPr>
          <w:p w14:paraId="2AD756F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450</w:t>
            </w:r>
          </w:p>
        </w:tc>
        <w:tc>
          <w:tcPr>
            <w:tcW w:w="935" w:type="dxa"/>
            <w:vAlign w:val="center"/>
          </w:tcPr>
          <w:p w14:paraId="42A27F2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550</w:t>
            </w:r>
          </w:p>
        </w:tc>
        <w:tc>
          <w:tcPr>
            <w:tcW w:w="934" w:type="dxa"/>
            <w:vAlign w:val="center"/>
          </w:tcPr>
          <w:p w14:paraId="64F2414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650</w:t>
            </w:r>
          </w:p>
        </w:tc>
        <w:tc>
          <w:tcPr>
            <w:tcW w:w="934" w:type="dxa"/>
            <w:vAlign w:val="center"/>
          </w:tcPr>
          <w:p w14:paraId="77A4A75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750</w:t>
            </w:r>
          </w:p>
        </w:tc>
        <w:tc>
          <w:tcPr>
            <w:tcW w:w="934" w:type="dxa"/>
            <w:vAlign w:val="center"/>
          </w:tcPr>
          <w:p w14:paraId="68CB064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850</w:t>
            </w:r>
          </w:p>
        </w:tc>
        <w:tc>
          <w:tcPr>
            <w:tcW w:w="934" w:type="dxa"/>
            <w:vAlign w:val="center"/>
          </w:tcPr>
          <w:p w14:paraId="50E9DD0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950</w:t>
            </w:r>
          </w:p>
        </w:tc>
        <w:tc>
          <w:tcPr>
            <w:tcW w:w="934" w:type="dxa"/>
            <w:vAlign w:val="center"/>
          </w:tcPr>
          <w:p w14:paraId="2304005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1050</w:t>
            </w:r>
          </w:p>
        </w:tc>
      </w:tr>
      <w:tr w14:paraId="4D37B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82" w:type="dxa"/>
            <w:vAlign w:val="center"/>
          </w:tcPr>
          <w:p w14:paraId="73E77B3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沉降速度，m/s</w:t>
            </w:r>
          </w:p>
        </w:tc>
        <w:tc>
          <w:tcPr>
            <w:tcW w:w="934" w:type="dxa"/>
            <w:vAlign w:val="center"/>
          </w:tcPr>
          <w:p w14:paraId="2EC14B7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2.211</w:t>
            </w:r>
          </w:p>
        </w:tc>
        <w:tc>
          <w:tcPr>
            <w:tcW w:w="935" w:type="dxa"/>
            <w:vAlign w:val="center"/>
          </w:tcPr>
          <w:p w14:paraId="7D7180E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2.614</w:t>
            </w:r>
          </w:p>
        </w:tc>
        <w:tc>
          <w:tcPr>
            <w:tcW w:w="934" w:type="dxa"/>
            <w:vAlign w:val="center"/>
          </w:tcPr>
          <w:p w14:paraId="1661C86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3.016</w:t>
            </w:r>
          </w:p>
        </w:tc>
        <w:tc>
          <w:tcPr>
            <w:tcW w:w="934" w:type="dxa"/>
            <w:vAlign w:val="center"/>
          </w:tcPr>
          <w:p w14:paraId="3780C14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3.418</w:t>
            </w:r>
          </w:p>
        </w:tc>
        <w:tc>
          <w:tcPr>
            <w:tcW w:w="934" w:type="dxa"/>
            <w:vAlign w:val="center"/>
          </w:tcPr>
          <w:p w14:paraId="0DD0F64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3.820</w:t>
            </w:r>
          </w:p>
        </w:tc>
        <w:tc>
          <w:tcPr>
            <w:tcW w:w="934" w:type="dxa"/>
            <w:vAlign w:val="center"/>
          </w:tcPr>
          <w:p w14:paraId="3144159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4.222</w:t>
            </w:r>
          </w:p>
        </w:tc>
        <w:tc>
          <w:tcPr>
            <w:tcW w:w="934" w:type="dxa"/>
            <w:vAlign w:val="center"/>
          </w:tcPr>
          <w:p w14:paraId="0C4159D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4.624</w:t>
            </w:r>
          </w:p>
        </w:tc>
      </w:tr>
    </w:tbl>
    <w:p w14:paraId="1B9EA7EF">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从上表可以看出，尘粒的沉降速度随粒径的增大而迅速增大，当粒径为250μm时，沉降速度为1.005m/s，因此可以认为当尘粒大于 250μm时，主要影响范围在扬尘点下风向近距离范围内，而真正对外环境产生影响的是一些微小尘粒。在有风的情况下，施工扬尘会对该区域造成一定的影响。</w:t>
      </w:r>
    </w:p>
    <w:p w14:paraId="0D476E5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类比其它建筑施工工地扬尘污染情况，施工工地扬尘污染情况，如表</w:t>
      </w:r>
      <w:r>
        <w:rPr>
          <w:rFonts w:hint="default" w:ascii="Times New Roman" w:hAnsi="Times New Roman" w:eastAsia="宋体" w:cs="Times New Roman"/>
          <w:color w:val="auto"/>
          <w:sz w:val="24"/>
          <w:szCs w:val="21"/>
          <w:highlight w:val="none"/>
          <w:u w:val="none" w:color="auto"/>
          <w:lang w:val="en-US" w:eastAsia="zh-CN"/>
        </w:rPr>
        <w:t>7</w:t>
      </w:r>
      <w:r>
        <w:rPr>
          <w:rFonts w:hint="default" w:ascii="Times New Roman" w:hAnsi="Times New Roman" w:eastAsia="宋体" w:cs="Times New Roman"/>
          <w:color w:val="auto"/>
          <w:sz w:val="24"/>
          <w:szCs w:val="21"/>
          <w:highlight w:val="none"/>
          <w:u w:val="none" w:color="auto"/>
        </w:rPr>
        <w:t>.1-3。</w:t>
      </w:r>
    </w:p>
    <w:p w14:paraId="7B5AE537">
      <w:pPr>
        <w:pStyle w:val="48"/>
        <w:rPr>
          <w:rFonts w:hint="default" w:ascii="Times New Roman" w:hAnsi="Times New Roman" w:eastAsia="宋体" w:cs="Times New Roman"/>
          <w:b/>
          <w:bCs/>
          <w:i w:val="0"/>
          <w:iCs w:val="0"/>
          <w:color w:val="auto"/>
          <w:kern w:val="2"/>
          <w:sz w:val="21"/>
          <w:szCs w:val="21"/>
          <w:highlight w:val="none"/>
          <w:u w:val="none" w:color="auto"/>
          <w:lang w:val="en-US" w:eastAsia="zh-CN" w:bidi="ar-SA"/>
        </w:rPr>
      </w:pPr>
      <w:r>
        <w:rPr>
          <w:rFonts w:hint="default" w:ascii="Times New Roman" w:hAnsi="Times New Roman" w:eastAsia="宋体" w:cs="Times New Roman"/>
          <w:b/>
          <w:bCs/>
          <w:i w:val="0"/>
          <w:iCs w:val="0"/>
          <w:color w:val="auto"/>
          <w:kern w:val="2"/>
          <w:sz w:val="21"/>
          <w:szCs w:val="21"/>
          <w:highlight w:val="none"/>
          <w:u w:val="none" w:color="auto"/>
          <w:lang w:val="en-US" w:eastAsia="zh-CN" w:bidi="ar-SA"/>
        </w:rPr>
        <w:t>表7.1-3  建筑施工工地扬尘污染情况（mg/m</w:t>
      </w:r>
      <w:r>
        <w:rPr>
          <w:rFonts w:hint="default" w:ascii="Times New Roman" w:hAnsi="Times New Roman" w:eastAsia="宋体" w:cs="Times New Roman"/>
          <w:b/>
          <w:bCs/>
          <w:i w:val="0"/>
          <w:iCs w:val="0"/>
          <w:color w:val="auto"/>
          <w:kern w:val="2"/>
          <w:sz w:val="21"/>
          <w:szCs w:val="21"/>
          <w:highlight w:val="none"/>
          <w:u w:val="none" w:color="auto"/>
          <w:vertAlign w:val="superscript"/>
          <w:lang w:val="en-US" w:eastAsia="zh-CN" w:bidi="ar-SA"/>
        </w:rPr>
        <w:t>3</w:t>
      </w:r>
      <w:r>
        <w:rPr>
          <w:rFonts w:hint="default" w:ascii="Times New Roman" w:hAnsi="Times New Roman" w:eastAsia="宋体" w:cs="Times New Roman"/>
          <w:b/>
          <w:bCs/>
          <w:i w:val="0"/>
          <w:iCs w:val="0"/>
          <w:color w:val="auto"/>
          <w:kern w:val="2"/>
          <w:sz w:val="21"/>
          <w:szCs w:val="21"/>
          <w:highlight w:val="none"/>
          <w:u w:val="none" w:color="auto"/>
          <w:lang w:val="en-US" w:eastAsia="zh-CN" w:bidi="ar-SA"/>
        </w:rPr>
        <w:t>）</w:t>
      </w:r>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0"/>
        <w:gridCol w:w="1420"/>
        <w:gridCol w:w="1420"/>
        <w:gridCol w:w="1420"/>
        <w:gridCol w:w="1421"/>
        <w:gridCol w:w="1421"/>
      </w:tblGrid>
      <w:tr w14:paraId="2C443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0" w:type="dxa"/>
            <w:vMerge w:val="restart"/>
            <w:vAlign w:val="center"/>
          </w:tcPr>
          <w:p w14:paraId="7C945D0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监测值</w:t>
            </w:r>
          </w:p>
        </w:tc>
        <w:tc>
          <w:tcPr>
            <w:tcW w:w="1420" w:type="dxa"/>
            <w:vMerge w:val="restart"/>
            <w:vAlign w:val="center"/>
          </w:tcPr>
          <w:p w14:paraId="3E4D77A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上风向50m</w:t>
            </w:r>
          </w:p>
        </w:tc>
        <w:tc>
          <w:tcPr>
            <w:tcW w:w="1420" w:type="dxa"/>
            <w:vMerge w:val="restart"/>
            <w:vAlign w:val="center"/>
          </w:tcPr>
          <w:p w14:paraId="461772D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工地内</w:t>
            </w:r>
          </w:p>
        </w:tc>
        <w:tc>
          <w:tcPr>
            <w:tcW w:w="4262" w:type="dxa"/>
            <w:gridSpan w:val="3"/>
            <w:vAlign w:val="center"/>
          </w:tcPr>
          <w:p w14:paraId="48BFECA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工地下风向</w:t>
            </w:r>
          </w:p>
        </w:tc>
      </w:tr>
      <w:tr w14:paraId="7A908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0" w:type="dxa"/>
            <w:vMerge w:val="continue"/>
            <w:vAlign w:val="center"/>
          </w:tcPr>
          <w:p w14:paraId="1AAC70C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p>
        </w:tc>
        <w:tc>
          <w:tcPr>
            <w:tcW w:w="1420" w:type="dxa"/>
            <w:vMerge w:val="continue"/>
            <w:vAlign w:val="center"/>
          </w:tcPr>
          <w:p w14:paraId="37DACA9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p>
        </w:tc>
        <w:tc>
          <w:tcPr>
            <w:tcW w:w="1420" w:type="dxa"/>
            <w:vMerge w:val="continue"/>
            <w:vAlign w:val="center"/>
          </w:tcPr>
          <w:p w14:paraId="3B43E92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p>
        </w:tc>
        <w:tc>
          <w:tcPr>
            <w:tcW w:w="1420" w:type="dxa"/>
            <w:vAlign w:val="center"/>
          </w:tcPr>
          <w:p w14:paraId="7B0E462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50m</w:t>
            </w:r>
          </w:p>
        </w:tc>
        <w:tc>
          <w:tcPr>
            <w:tcW w:w="1421" w:type="dxa"/>
            <w:vAlign w:val="center"/>
          </w:tcPr>
          <w:p w14:paraId="29F326B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100m</w:t>
            </w:r>
          </w:p>
        </w:tc>
        <w:tc>
          <w:tcPr>
            <w:tcW w:w="1421" w:type="dxa"/>
            <w:vAlign w:val="center"/>
          </w:tcPr>
          <w:p w14:paraId="65B0CC1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150m</w:t>
            </w:r>
          </w:p>
        </w:tc>
      </w:tr>
      <w:tr w14:paraId="5FEDA3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0" w:type="dxa"/>
            <w:vAlign w:val="center"/>
          </w:tcPr>
          <w:p w14:paraId="79389CF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范围值</w:t>
            </w:r>
          </w:p>
        </w:tc>
        <w:tc>
          <w:tcPr>
            <w:tcW w:w="1420" w:type="dxa"/>
            <w:vAlign w:val="center"/>
          </w:tcPr>
          <w:p w14:paraId="24279CC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0.303-0.328</w:t>
            </w:r>
          </w:p>
        </w:tc>
        <w:tc>
          <w:tcPr>
            <w:tcW w:w="1420" w:type="dxa"/>
            <w:vAlign w:val="center"/>
          </w:tcPr>
          <w:p w14:paraId="355C7C7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0.409-0.759</w:t>
            </w:r>
          </w:p>
        </w:tc>
        <w:tc>
          <w:tcPr>
            <w:tcW w:w="1420" w:type="dxa"/>
            <w:vAlign w:val="center"/>
          </w:tcPr>
          <w:p w14:paraId="13F240F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0.434-0.538</w:t>
            </w:r>
          </w:p>
        </w:tc>
        <w:tc>
          <w:tcPr>
            <w:tcW w:w="1421" w:type="dxa"/>
            <w:vAlign w:val="center"/>
          </w:tcPr>
          <w:p w14:paraId="06C9791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0.356-0.465</w:t>
            </w:r>
          </w:p>
        </w:tc>
        <w:tc>
          <w:tcPr>
            <w:tcW w:w="1421" w:type="dxa"/>
            <w:vAlign w:val="center"/>
          </w:tcPr>
          <w:p w14:paraId="7BA4E22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0.309-0.336</w:t>
            </w:r>
          </w:p>
        </w:tc>
      </w:tr>
      <w:tr w14:paraId="4E3B1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20" w:type="dxa"/>
            <w:vAlign w:val="center"/>
          </w:tcPr>
          <w:p w14:paraId="4401257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平均值</w:t>
            </w:r>
          </w:p>
        </w:tc>
        <w:tc>
          <w:tcPr>
            <w:tcW w:w="1420" w:type="dxa"/>
            <w:vAlign w:val="center"/>
          </w:tcPr>
          <w:p w14:paraId="0D7ECAC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0.317</w:t>
            </w:r>
          </w:p>
        </w:tc>
        <w:tc>
          <w:tcPr>
            <w:tcW w:w="1420" w:type="dxa"/>
            <w:vAlign w:val="center"/>
          </w:tcPr>
          <w:p w14:paraId="42B63DC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0.596</w:t>
            </w:r>
          </w:p>
        </w:tc>
        <w:tc>
          <w:tcPr>
            <w:tcW w:w="1420" w:type="dxa"/>
            <w:vAlign w:val="center"/>
          </w:tcPr>
          <w:p w14:paraId="05A34AE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0.487</w:t>
            </w:r>
          </w:p>
        </w:tc>
        <w:tc>
          <w:tcPr>
            <w:tcW w:w="1421" w:type="dxa"/>
            <w:vAlign w:val="center"/>
          </w:tcPr>
          <w:p w14:paraId="1D86754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0.390</w:t>
            </w:r>
          </w:p>
        </w:tc>
        <w:tc>
          <w:tcPr>
            <w:tcW w:w="1421" w:type="dxa"/>
            <w:vAlign w:val="center"/>
          </w:tcPr>
          <w:p w14:paraId="7B9685A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0.322</w:t>
            </w:r>
          </w:p>
        </w:tc>
      </w:tr>
    </w:tbl>
    <w:p w14:paraId="019A5B3C">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根据上表所列结果，施工工地扬尘能达到《大气污染物综合排放标准》（GB16297-1996）表2中二级标准的颗粒物无组织排放浓度限值（1.0mg/m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w:t>
      </w:r>
    </w:p>
    <w:p w14:paraId="2D5F5AC9">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项目施工时需加强施工场地内的洒水抑尘措施，同时施工时在场界设置围挡，以减少施工扬尘的产生，减轻施工扬尘对周边环境保护目标的影响。</w:t>
      </w:r>
    </w:p>
    <w:p w14:paraId="6B8525EC">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（2）汽车尾气</w:t>
      </w:r>
    </w:p>
    <w:p w14:paraId="56D3885D">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类比同类工程施工机械的实际运行情况，施工机械废气经10～20m的大气稀释扩散后，对周边环境空气影响轻微，在该范围内无环境敏感点。项目施工期施工过程中土石方开挖、回填量较小，施工过程中用到的机械设备主要运输卡车，施工期汽车尾气排放量有限，施工机械废气对环境敏感点影响不大。</w:t>
      </w:r>
    </w:p>
    <w:p w14:paraId="6DA0C67C">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7.1.2施工期水环境影响分析</w:t>
      </w:r>
    </w:p>
    <w:p w14:paraId="4F62970F">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施工废水主要来源于工程施工砼浇筑和机械、车辆的冲洗和施工人员的</w:t>
      </w:r>
      <w:r>
        <w:rPr>
          <w:rFonts w:hint="default" w:ascii="Times New Roman" w:hAnsi="Times New Roman" w:eastAsia="宋体" w:cs="Times New Roman"/>
          <w:color w:val="auto"/>
          <w:sz w:val="24"/>
          <w:szCs w:val="21"/>
          <w:highlight w:val="none"/>
          <w:u w:val="none" w:color="auto"/>
          <w:lang w:eastAsia="zh-CN"/>
        </w:rPr>
        <w:t>生活污水</w:t>
      </w:r>
      <w:r>
        <w:rPr>
          <w:rFonts w:hint="default" w:ascii="Times New Roman" w:hAnsi="Times New Roman" w:eastAsia="宋体" w:cs="Times New Roman"/>
          <w:color w:val="auto"/>
          <w:sz w:val="24"/>
          <w:szCs w:val="21"/>
          <w:highlight w:val="none"/>
          <w:u w:val="none" w:color="auto"/>
        </w:rPr>
        <w:t>等。</w:t>
      </w:r>
    </w:p>
    <w:p w14:paraId="4934DB31">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（1）施工作业废水</w:t>
      </w:r>
    </w:p>
    <w:p w14:paraId="6182ADD7">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施工废水主要为施工设备的清洗用水等过程产生，施工废水产生量约10m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施工废水中污染物主要为SS，项目施工期拟设置施工废水沉淀池，将引入池中的废水进行沉淀处理，大大降低废水中SS的浓度，经过沉淀处理后的施工废水用于施工场地降尘用水、车辆和工具冲洗水，不排放。因此施工期施工作业废水对区域水环境不会造成明显影响。</w:t>
      </w:r>
    </w:p>
    <w:p w14:paraId="03C243DF">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（2）施工生活污水</w:t>
      </w:r>
    </w:p>
    <w:p w14:paraId="3EA25051">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由工程分析可知，项目施工期</w:t>
      </w:r>
      <w:r>
        <w:rPr>
          <w:rFonts w:hint="default" w:ascii="Times New Roman" w:hAnsi="Times New Roman" w:eastAsia="宋体" w:cs="Times New Roman"/>
          <w:color w:val="auto"/>
          <w:sz w:val="24"/>
          <w:szCs w:val="21"/>
          <w:highlight w:val="none"/>
          <w:u w:val="none" w:color="auto"/>
          <w:lang w:eastAsia="zh-CN"/>
        </w:rPr>
        <w:t>生活污水</w:t>
      </w:r>
      <w:r>
        <w:rPr>
          <w:rFonts w:hint="default" w:ascii="Times New Roman" w:hAnsi="Times New Roman" w:eastAsia="宋体" w:cs="Times New Roman"/>
          <w:color w:val="auto"/>
          <w:sz w:val="24"/>
          <w:szCs w:val="21"/>
          <w:highlight w:val="none"/>
          <w:u w:val="none" w:color="auto"/>
        </w:rPr>
        <w:t>产生量约3m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/d，产生量较小，</w:t>
      </w:r>
      <w:r>
        <w:rPr>
          <w:rFonts w:hint="default" w:ascii="Times New Roman" w:hAnsi="Times New Roman" w:eastAsia="宋体" w:cs="Times New Roman"/>
          <w:color w:val="auto"/>
          <w:sz w:val="24"/>
          <w:szCs w:val="21"/>
          <w:highlight w:val="none"/>
          <w:u w:val="none" w:color="auto"/>
          <w:lang w:eastAsia="zh-CN"/>
        </w:rPr>
        <w:t>生活污水</w:t>
      </w:r>
      <w:r>
        <w:rPr>
          <w:rFonts w:hint="default" w:ascii="Times New Roman" w:hAnsi="Times New Roman" w:eastAsia="宋体" w:cs="Times New Roman"/>
          <w:color w:val="auto"/>
          <w:sz w:val="24"/>
          <w:szCs w:val="21"/>
          <w:highlight w:val="none"/>
          <w:u w:val="none" w:color="auto"/>
        </w:rPr>
        <w:t>经化粪池处理后排至</w:t>
      </w:r>
      <w:r>
        <w:rPr>
          <w:rFonts w:hint="default" w:ascii="Times New Roman" w:hAnsi="Times New Roman" w:eastAsia="宋体" w:cs="Times New Roman"/>
          <w:color w:val="auto"/>
          <w:sz w:val="24"/>
          <w:szCs w:val="21"/>
          <w:highlight w:val="none"/>
          <w:u w:val="none" w:color="auto"/>
          <w:lang w:eastAsia="zh-CN"/>
        </w:rPr>
        <w:t>松木经开区</w:t>
      </w:r>
      <w:r>
        <w:rPr>
          <w:rFonts w:hint="default" w:ascii="Times New Roman" w:hAnsi="Times New Roman" w:eastAsia="宋体" w:cs="Times New Roman"/>
          <w:color w:val="auto"/>
          <w:sz w:val="24"/>
          <w:szCs w:val="21"/>
          <w:highlight w:val="none"/>
          <w:u w:val="none" w:color="auto"/>
        </w:rPr>
        <w:t>市政污水管网，对环境的影响较小。</w:t>
      </w:r>
    </w:p>
    <w:p w14:paraId="74B195A4">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7.1.3施工期噪声影响分析</w:t>
      </w:r>
    </w:p>
    <w:p w14:paraId="1D23729C">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（1）施工噪声源强</w:t>
      </w:r>
    </w:p>
    <w:p w14:paraId="6FD5916A">
      <w:pPr>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施工噪声源有推土机、挖掘机、冲击钻、手风钻以及运输车辆所产生的交通噪声，施工期各施工机械噪声见表</w:t>
      </w:r>
      <w:r>
        <w:rPr>
          <w:rFonts w:hint="default" w:ascii="Times New Roman" w:hAnsi="Times New Roman" w:eastAsia="宋体" w:cs="Times New Roman"/>
          <w:color w:val="auto"/>
          <w:sz w:val="24"/>
          <w:szCs w:val="21"/>
          <w:highlight w:val="none"/>
          <w:u w:val="none" w:color="auto"/>
          <w:lang w:val="en-US" w:eastAsia="zh-CN"/>
        </w:rPr>
        <w:t>7</w:t>
      </w:r>
      <w:r>
        <w:rPr>
          <w:rFonts w:hint="default" w:ascii="Times New Roman" w:hAnsi="Times New Roman" w:eastAsia="宋体" w:cs="Times New Roman"/>
          <w:color w:val="auto"/>
          <w:sz w:val="24"/>
          <w:szCs w:val="21"/>
          <w:highlight w:val="none"/>
          <w:u w:val="none" w:color="auto"/>
        </w:rPr>
        <w:t>.1-4。</w:t>
      </w:r>
    </w:p>
    <w:p w14:paraId="4566C496">
      <w:pPr>
        <w:pStyle w:val="48"/>
        <w:rPr>
          <w:rFonts w:hint="default" w:ascii="Times New Roman" w:hAnsi="Times New Roman" w:eastAsia="宋体" w:cs="Times New Roman"/>
          <w:b/>
          <w:bCs/>
          <w:i w:val="0"/>
          <w:iCs w:val="0"/>
          <w:color w:val="auto"/>
          <w:kern w:val="2"/>
          <w:sz w:val="21"/>
          <w:szCs w:val="21"/>
          <w:highlight w:val="none"/>
          <w:u w:val="none" w:color="auto"/>
          <w:lang w:val="en-US" w:eastAsia="zh-CN" w:bidi="ar-SA"/>
        </w:rPr>
      </w:pPr>
      <w:r>
        <w:rPr>
          <w:rFonts w:hint="default" w:ascii="Times New Roman" w:hAnsi="Times New Roman" w:eastAsia="宋体" w:cs="Times New Roman"/>
          <w:b/>
          <w:bCs/>
          <w:i w:val="0"/>
          <w:iCs w:val="0"/>
          <w:color w:val="auto"/>
          <w:kern w:val="2"/>
          <w:sz w:val="21"/>
          <w:szCs w:val="21"/>
          <w:highlight w:val="none"/>
          <w:u w:val="none" w:color="auto"/>
          <w:lang w:val="en-US" w:eastAsia="zh-CN" w:bidi="ar-SA"/>
        </w:rPr>
        <w:t>表7.1-4  主要施工机械噪声强度</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22"/>
        <w:gridCol w:w="3155"/>
        <w:gridCol w:w="2945"/>
      </w:tblGrid>
      <w:tr w14:paraId="05CC2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22" w:type="dxa"/>
            <w:vAlign w:val="center"/>
          </w:tcPr>
          <w:p w14:paraId="359A816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序号</w:t>
            </w:r>
          </w:p>
        </w:tc>
        <w:tc>
          <w:tcPr>
            <w:tcW w:w="3155" w:type="dxa"/>
            <w:vAlign w:val="center"/>
          </w:tcPr>
          <w:p w14:paraId="2B02FC4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设备名称</w:t>
            </w:r>
          </w:p>
        </w:tc>
        <w:tc>
          <w:tcPr>
            <w:tcW w:w="2945" w:type="dxa"/>
            <w:vAlign w:val="center"/>
          </w:tcPr>
          <w:p w14:paraId="77C529B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测量声级dB（A）</w:t>
            </w:r>
          </w:p>
        </w:tc>
      </w:tr>
      <w:tr w14:paraId="73341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22" w:type="dxa"/>
            <w:vAlign w:val="center"/>
          </w:tcPr>
          <w:p w14:paraId="7485FB8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w:t>
            </w:r>
          </w:p>
        </w:tc>
        <w:tc>
          <w:tcPr>
            <w:tcW w:w="3155" w:type="dxa"/>
            <w:vAlign w:val="center"/>
          </w:tcPr>
          <w:p w14:paraId="7AEC1D9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推土机</w:t>
            </w:r>
          </w:p>
        </w:tc>
        <w:tc>
          <w:tcPr>
            <w:tcW w:w="2945" w:type="dxa"/>
            <w:vAlign w:val="center"/>
          </w:tcPr>
          <w:p w14:paraId="766726F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96</w:t>
            </w:r>
          </w:p>
        </w:tc>
      </w:tr>
      <w:tr w14:paraId="21208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22" w:type="dxa"/>
            <w:vAlign w:val="center"/>
          </w:tcPr>
          <w:p w14:paraId="5FDFD4D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2</w:t>
            </w:r>
          </w:p>
        </w:tc>
        <w:tc>
          <w:tcPr>
            <w:tcW w:w="3155" w:type="dxa"/>
            <w:vAlign w:val="center"/>
          </w:tcPr>
          <w:p w14:paraId="528FF14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装载机</w:t>
            </w:r>
          </w:p>
        </w:tc>
        <w:tc>
          <w:tcPr>
            <w:tcW w:w="2945" w:type="dxa"/>
            <w:vAlign w:val="center"/>
          </w:tcPr>
          <w:p w14:paraId="0ADA2F5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89</w:t>
            </w:r>
          </w:p>
        </w:tc>
      </w:tr>
      <w:tr w14:paraId="0DF29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22" w:type="dxa"/>
            <w:vAlign w:val="center"/>
          </w:tcPr>
          <w:p w14:paraId="09394F6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w:t>
            </w:r>
          </w:p>
        </w:tc>
        <w:tc>
          <w:tcPr>
            <w:tcW w:w="3155" w:type="dxa"/>
            <w:vAlign w:val="center"/>
          </w:tcPr>
          <w:p w14:paraId="6D9CA6F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挖掘机</w:t>
            </w:r>
          </w:p>
        </w:tc>
        <w:tc>
          <w:tcPr>
            <w:tcW w:w="2945" w:type="dxa"/>
            <w:vAlign w:val="center"/>
          </w:tcPr>
          <w:p w14:paraId="77A3D99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86</w:t>
            </w:r>
          </w:p>
        </w:tc>
      </w:tr>
      <w:tr w14:paraId="51E75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22" w:type="dxa"/>
            <w:vAlign w:val="center"/>
          </w:tcPr>
          <w:p w14:paraId="20EA7D2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w:t>
            </w:r>
          </w:p>
        </w:tc>
        <w:tc>
          <w:tcPr>
            <w:tcW w:w="3155" w:type="dxa"/>
            <w:vAlign w:val="center"/>
          </w:tcPr>
          <w:p w14:paraId="4B3F34C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振动器</w:t>
            </w:r>
          </w:p>
        </w:tc>
        <w:tc>
          <w:tcPr>
            <w:tcW w:w="2945" w:type="dxa"/>
            <w:vAlign w:val="center"/>
          </w:tcPr>
          <w:p w14:paraId="6E50E86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92</w:t>
            </w:r>
          </w:p>
        </w:tc>
      </w:tr>
      <w:tr w14:paraId="0C1F5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22" w:type="dxa"/>
            <w:vAlign w:val="center"/>
          </w:tcPr>
          <w:p w14:paraId="75A6AF1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w:t>
            </w:r>
          </w:p>
        </w:tc>
        <w:tc>
          <w:tcPr>
            <w:tcW w:w="3155" w:type="dxa"/>
            <w:vAlign w:val="center"/>
          </w:tcPr>
          <w:p w14:paraId="7C453AC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中、轻型载重汽车</w:t>
            </w:r>
          </w:p>
        </w:tc>
        <w:tc>
          <w:tcPr>
            <w:tcW w:w="2945" w:type="dxa"/>
            <w:vAlign w:val="center"/>
          </w:tcPr>
          <w:p w14:paraId="1FF656D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85</w:t>
            </w:r>
          </w:p>
        </w:tc>
      </w:tr>
    </w:tbl>
    <w:p w14:paraId="453CEC5B">
      <w:pPr>
        <w:ind w:firstLine="56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（2）施工机械噪声影响预测</w:t>
      </w:r>
    </w:p>
    <w:p w14:paraId="23788652">
      <w:pPr>
        <w:ind w:firstLine="56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施工期噪声机械与设备，可作为点声源处理，各点声源至预测点噪声衰减模式为：</w:t>
      </w:r>
    </w:p>
    <w:p w14:paraId="740799CD">
      <w:pPr>
        <w:jc w:val="center"/>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Lp(r)=Lp(r</w:t>
      </w:r>
      <w:r>
        <w:rPr>
          <w:rFonts w:hint="default" w:ascii="Times New Roman" w:hAnsi="Times New Roman" w:eastAsia="宋体" w:cs="Times New Roman"/>
          <w:color w:val="auto"/>
          <w:sz w:val="24"/>
          <w:szCs w:val="21"/>
          <w:highlight w:val="none"/>
          <w:u w:val="none" w:color="auto"/>
          <w:vertAlign w:val="subscript"/>
        </w:rPr>
        <w:t>0</w:t>
      </w:r>
      <w:r>
        <w:rPr>
          <w:rFonts w:hint="default" w:ascii="Times New Roman" w:hAnsi="Times New Roman" w:eastAsia="宋体" w:cs="Times New Roman"/>
          <w:color w:val="auto"/>
          <w:sz w:val="24"/>
          <w:szCs w:val="21"/>
          <w:highlight w:val="none"/>
          <w:u w:val="none" w:color="auto"/>
        </w:rPr>
        <w:t>)-20lg(r/r</w:t>
      </w:r>
      <w:r>
        <w:rPr>
          <w:rFonts w:hint="default" w:ascii="Times New Roman" w:hAnsi="Times New Roman" w:eastAsia="宋体" w:cs="Times New Roman"/>
          <w:color w:val="auto"/>
          <w:sz w:val="24"/>
          <w:szCs w:val="21"/>
          <w:highlight w:val="none"/>
          <w:u w:val="none" w:color="auto"/>
          <w:vertAlign w:val="subscript"/>
        </w:rPr>
        <w:t>0</w:t>
      </w:r>
      <w:r>
        <w:rPr>
          <w:rFonts w:hint="default" w:ascii="Times New Roman" w:hAnsi="Times New Roman" w:eastAsia="宋体" w:cs="Times New Roman"/>
          <w:color w:val="auto"/>
          <w:sz w:val="24"/>
          <w:szCs w:val="21"/>
          <w:highlight w:val="none"/>
          <w:u w:val="none" w:color="auto"/>
        </w:rPr>
        <w:t>)</w:t>
      </w:r>
    </w:p>
    <w:p w14:paraId="5DE42A92">
      <w:pPr>
        <w:ind w:firstLine="56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式中：Lp(r)——距离声源r处的倍频带声压级，dB(A)</w:t>
      </w:r>
    </w:p>
    <w:p w14:paraId="449278B1">
      <w:pPr>
        <w:ind w:firstLine="1200" w:firstLineChars="5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Lp(r</w:t>
      </w:r>
      <w:r>
        <w:rPr>
          <w:rFonts w:hint="default" w:ascii="Times New Roman" w:hAnsi="Times New Roman" w:eastAsia="宋体" w:cs="Times New Roman"/>
          <w:color w:val="auto"/>
          <w:sz w:val="24"/>
          <w:szCs w:val="21"/>
          <w:highlight w:val="none"/>
          <w:u w:val="none" w:color="auto"/>
          <w:vertAlign w:val="subscript"/>
        </w:rPr>
        <w:t>0</w:t>
      </w:r>
      <w:r>
        <w:rPr>
          <w:rFonts w:hint="default" w:ascii="Times New Roman" w:hAnsi="Times New Roman" w:eastAsia="宋体" w:cs="Times New Roman"/>
          <w:color w:val="auto"/>
          <w:sz w:val="24"/>
          <w:szCs w:val="21"/>
          <w:highlight w:val="none"/>
          <w:u w:val="none" w:color="auto"/>
        </w:rPr>
        <w:t>)——参考位置r</w:t>
      </w:r>
      <w:r>
        <w:rPr>
          <w:rFonts w:hint="default" w:ascii="Times New Roman" w:hAnsi="Times New Roman" w:eastAsia="宋体" w:cs="Times New Roman"/>
          <w:color w:val="auto"/>
          <w:sz w:val="24"/>
          <w:szCs w:val="21"/>
          <w:highlight w:val="none"/>
          <w:u w:val="none" w:color="auto"/>
          <w:vertAlign w:val="subscript"/>
        </w:rPr>
        <w:t>0</w:t>
      </w:r>
      <w:r>
        <w:rPr>
          <w:rFonts w:hint="default" w:ascii="Times New Roman" w:hAnsi="Times New Roman" w:eastAsia="宋体" w:cs="Times New Roman"/>
          <w:color w:val="auto"/>
          <w:sz w:val="24"/>
          <w:szCs w:val="21"/>
          <w:highlight w:val="none"/>
          <w:u w:val="none" w:color="auto"/>
        </w:rPr>
        <w:t>处</w:t>
      </w:r>
      <w:r>
        <w:rPr>
          <w:rFonts w:hint="eastAsia" w:ascii="Times New Roman" w:hAnsi="Times New Roman" w:eastAsia="宋体" w:cs="Times New Roman"/>
          <w:color w:val="auto"/>
          <w:sz w:val="24"/>
          <w:szCs w:val="21"/>
          <w:highlight w:val="none"/>
          <w:u w:val="none" w:color="auto"/>
          <w:lang w:eastAsia="zh-CN"/>
        </w:rPr>
        <w:t>的</w:t>
      </w:r>
      <w:r>
        <w:rPr>
          <w:rFonts w:hint="default" w:ascii="Times New Roman" w:hAnsi="Times New Roman" w:eastAsia="宋体" w:cs="Times New Roman"/>
          <w:color w:val="auto"/>
          <w:sz w:val="24"/>
          <w:szCs w:val="21"/>
          <w:highlight w:val="none"/>
          <w:u w:val="none" w:color="auto"/>
        </w:rPr>
        <w:t>倍频带声压级，dB(A)</w:t>
      </w:r>
    </w:p>
    <w:p w14:paraId="232D8DB7">
      <w:pPr>
        <w:ind w:firstLine="1200" w:firstLineChars="5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r——预测点与声源之间的距离，m</w:t>
      </w:r>
    </w:p>
    <w:p w14:paraId="64F91DCE">
      <w:pPr>
        <w:ind w:firstLine="1200" w:firstLineChars="5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r</w:t>
      </w:r>
      <w:r>
        <w:rPr>
          <w:rFonts w:hint="default" w:ascii="Times New Roman" w:hAnsi="Times New Roman" w:eastAsia="宋体" w:cs="Times New Roman"/>
          <w:color w:val="auto"/>
          <w:sz w:val="24"/>
          <w:szCs w:val="21"/>
          <w:highlight w:val="none"/>
          <w:u w:val="none" w:color="auto"/>
          <w:vertAlign w:val="subscript"/>
        </w:rPr>
        <w:t>0</w:t>
      </w:r>
      <w:r>
        <w:rPr>
          <w:rFonts w:hint="default" w:ascii="Times New Roman" w:hAnsi="Times New Roman" w:eastAsia="宋体" w:cs="Times New Roman"/>
          <w:color w:val="auto"/>
          <w:sz w:val="24"/>
          <w:szCs w:val="21"/>
          <w:highlight w:val="none"/>
          <w:u w:val="none" w:color="auto"/>
        </w:rPr>
        <w:t>——参考声级与点声源间的距离，m</w:t>
      </w:r>
    </w:p>
    <w:p w14:paraId="44A89E76">
      <w:pPr>
        <w:ind w:firstLine="56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噪声叠加背景值的计算公式如下：</w:t>
      </w:r>
    </w:p>
    <w:p w14:paraId="6DD91945">
      <w:pPr>
        <w:jc w:val="center"/>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L</w:t>
      </w:r>
      <w:r>
        <w:rPr>
          <w:rFonts w:hint="default" w:ascii="Times New Roman" w:hAnsi="Times New Roman" w:eastAsia="宋体" w:cs="Times New Roman"/>
          <w:color w:val="auto"/>
          <w:sz w:val="24"/>
          <w:szCs w:val="21"/>
          <w:highlight w:val="none"/>
          <w:u w:val="none" w:color="auto"/>
          <w:vertAlign w:val="subscript"/>
        </w:rPr>
        <w:t>eq</w:t>
      </w:r>
      <w:r>
        <w:rPr>
          <w:rFonts w:hint="default" w:ascii="Times New Roman" w:hAnsi="Times New Roman" w:eastAsia="宋体" w:cs="Times New Roman"/>
          <w:color w:val="auto"/>
          <w:sz w:val="24"/>
          <w:szCs w:val="21"/>
          <w:highlight w:val="none"/>
          <w:u w:val="none" w:color="auto"/>
        </w:rPr>
        <w:t>=10lg(10</w:t>
      </w:r>
      <w:r>
        <w:rPr>
          <w:rFonts w:hint="default" w:ascii="Times New Roman" w:hAnsi="Times New Roman" w:eastAsia="宋体" w:cs="Times New Roman"/>
          <w:color w:val="auto"/>
          <w:sz w:val="24"/>
          <w:szCs w:val="21"/>
          <w:highlight w:val="none"/>
          <w:u w:val="none" w:color="auto"/>
          <w:vertAlign w:val="superscript"/>
        </w:rPr>
        <w:t>0.1Lp1</w:t>
      </w:r>
      <w:r>
        <w:rPr>
          <w:rFonts w:hint="default" w:ascii="Times New Roman" w:hAnsi="Times New Roman" w:eastAsia="宋体" w:cs="Times New Roman"/>
          <w:color w:val="auto"/>
          <w:sz w:val="24"/>
          <w:szCs w:val="21"/>
          <w:highlight w:val="none"/>
          <w:u w:val="none" w:color="auto"/>
        </w:rPr>
        <w:t>+10</w:t>
      </w:r>
      <w:r>
        <w:rPr>
          <w:rFonts w:hint="default" w:ascii="Times New Roman" w:hAnsi="Times New Roman" w:eastAsia="宋体" w:cs="Times New Roman"/>
          <w:color w:val="auto"/>
          <w:sz w:val="24"/>
          <w:szCs w:val="21"/>
          <w:highlight w:val="none"/>
          <w:u w:val="none" w:color="auto"/>
          <w:vertAlign w:val="superscript"/>
        </w:rPr>
        <w:t>0.1Lp2</w:t>
      </w:r>
      <w:r>
        <w:rPr>
          <w:rFonts w:hint="default" w:ascii="Times New Roman" w:hAnsi="Times New Roman" w:eastAsia="宋体" w:cs="Times New Roman"/>
          <w:color w:val="auto"/>
          <w:sz w:val="24"/>
          <w:szCs w:val="21"/>
          <w:highlight w:val="none"/>
          <w:u w:val="none" w:color="auto"/>
        </w:rPr>
        <w:t>)</w:t>
      </w:r>
    </w:p>
    <w:p w14:paraId="2D60C82C">
      <w:pPr>
        <w:ind w:firstLine="56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式中：L</w:t>
      </w:r>
      <w:r>
        <w:rPr>
          <w:rFonts w:hint="default" w:ascii="Times New Roman" w:hAnsi="Times New Roman" w:eastAsia="宋体" w:cs="Times New Roman"/>
          <w:color w:val="auto"/>
          <w:sz w:val="24"/>
          <w:szCs w:val="21"/>
          <w:highlight w:val="none"/>
          <w:u w:val="none" w:color="auto"/>
          <w:vertAlign w:val="subscript"/>
        </w:rPr>
        <w:t>eq</w:t>
      </w:r>
      <w:r>
        <w:rPr>
          <w:rFonts w:hint="default" w:ascii="Times New Roman" w:hAnsi="Times New Roman" w:eastAsia="宋体" w:cs="Times New Roman"/>
          <w:color w:val="auto"/>
          <w:sz w:val="24"/>
          <w:szCs w:val="21"/>
          <w:highlight w:val="none"/>
          <w:u w:val="none" w:color="auto"/>
        </w:rPr>
        <w:t>——预测点接收到的各设备点声源噪声预测值，dB(A)</w:t>
      </w:r>
    </w:p>
    <w:p w14:paraId="66BAF03D">
      <w:pPr>
        <w:ind w:firstLine="1200" w:firstLineChars="5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L</w:t>
      </w:r>
      <w:r>
        <w:rPr>
          <w:rFonts w:hint="default" w:ascii="Times New Roman" w:hAnsi="Times New Roman" w:eastAsia="宋体" w:cs="Times New Roman"/>
          <w:color w:val="auto"/>
          <w:sz w:val="24"/>
          <w:szCs w:val="21"/>
          <w:highlight w:val="none"/>
          <w:u w:val="none" w:color="auto"/>
          <w:vertAlign w:val="subscript"/>
        </w:rPr>
        <w:t>p1</w:t>
      </w:r>
      <w:r>
        <w:rPr>
          <w:rFonts w:hint="default" w:ascii="Times New Roman" w:hAnsi="Times New Roman" w:eastAsia="宋体" w:cs="Times New Roman"/>
          <w:color w:val="auto"/>
          <w:sz w:val="24"/>
          <w:szCs w:val="21"/>
          <w:highlight w:val="none"/>
          <w:u w:val="none" w:color="auto"/>
        </w:rPr>
        <w:t>——建设项目声源在预测点的等效声级贡献值，dB(A)</w:t>
      </w:r>
    </w:p>
    <w:p w14:paraId="04F13D99">
      <w:pPr>
        <w:ind w:firstLine="1200" w:firstLineChars="50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L</w:t>
      </w:r>
      <w:r>
        <w:rPr>
          <w:rFonts w:hint="default" w:ascii="Times New Roman" w:hAnsi="Times New Roman" w:eastAsia="宋体" w:cs="Times New Roman"/>
          <w:color w:val="auto"/>
          <w:sz w:val="24"/>
          <w:szCs w:val="21"/>
          <w:highlight w:val="none"/>
          <w:u w:val="none" w:color="auto"/>
          <w:vertAlign w:val="subscript"/>
        </w:rPr>
        <w:t>p2</w:t>
      </w:r>
      <w:r>
        <w:rPr>
          <w:rFonts w:hint="default" w:ascii="Times New Roman" w:hAnsi="Times New Roman" w:eastAsia="宋体" w:cs="Times New Roman"/>
          <w:color w:val="auto"/>
          <w:sz w:val="24"/>
          <w:szCs w:val="21"/>
          <w:highlight w:val="none"/>
          <w:u w:val="none" w:color="auto"/>
        </w:rPr>
        <w:t>——预测点的背景值，dB(A)</w:t>
      </w:r>
    </w:p>
    <w:p w14:paraId="0F173746">
      <w:pPr>
        <w:ind w:firstLine="56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根据预测公式计算出施工场地机械噪声传至各个不同距离的噪声值见表</w:t>
      </w:r>
      <w:r>
        <w:rPr>
          <w:rFonts w:hint="default" w:ascii="Times New Roman" w:hAnsi="Times New Roman" w:eastAsia="宋体" w:cs="Times New Roman"/>
          <w:color w:val="auto"/>
          <w:sz w:val="24"/>
          <w:szCs w:val="21"/>
          <w:highlight w:val="none"/>
          <w:u w:val="none" w:color="auto"/>
          <w:lang w:val="en-US" w:eastAsia="zh-CN"/>
        </w:rPr>
        <w:t>7</w:t>
      </w:r>
      <w:r>
        <w:rPr>
          <w:rFonts w:hint="default" w:ascii="Times New Roman" w:hAnsi="Times New Roman" w:eastAsia="宋体" w:cs="Times New Roman"/>
          <w:color w:val="auto"/>
          <w:sz w:val="24"/>
          <w:szCs w:val="21"/>
          <w:highlight w:val="none"/>
          <w:u w:val="none" w:color="auto"/>
        </w:rPr>
        <w:t>.1-5。</w:t>
      </w:r>
    </w:p>
    <w:p w14:paraId="4AD97EA0">
      <w:pPr>
        <w:pStyle w:val="48"/>
        <w:rPr>
          <w:rFonts w:hint="default" w:ascii="Times New Roman" w:hAnsi="Times New Roman" w:eastAsia="宋体" w:cs="Times New Roman"/>
          <w:b/>
          <w:bCs/>
          <w:i w:val="0"/>
          <w:iCs w:val="0"/>
          <w:color w:val="auto"/>
          <w:kern w:val="2"/>
          <w:sz w:val="21"/>
          <w:szCs w:val="21"/>
          <w:highlight w:val="none"/>
          <w:u w:val="none" w:color="auto"/>
          <w:lang w:val="en-US" w:eastAsia="zh-CN" w:bidi="ar-SA"/>
        </w:rPr>
      </w:pPr>
      <w:r>
        <w:rPr>
          <w:rFonts w:hint="default" w:ascii="Times New Roman" w:hAnsi="Times New Roman" w:eastAsia="宋体" w:cs="Times New Roman"/>
          <w:b/>
          <w:bCs/>
          <w:i w:val="0"/>
          <w:iCs w:val="0"/>
          <w:color w:val="auto"/>
          <w:kern w:val="2"/>
          <w:sz w:val="21"/>
          <w:szCs w:val="21"/>
          <w:highlight w:val="none"/>
          <w:u w:val="none" w:color="auto"/>
          <w:lang w:val="en-US" w:eastAsia="zh-CN" w:bidi="ar-SA"/>
        </w:rPr>
        <w:t>表7.1-5  距主要声源不同距离处的噪声值dB（A）</w:t>
      </w:r>
    </w:p>
    <w:tbl>
      <w:tblPr>
        <w:tblStyle w:val="22"/>
        <w:tblW w:w="85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67"/>
        <w:gridCol w:w="795"/>
        <w:gridCol w:w="794"/>
        <w:gridCol w:w="794"/>
        <w:gridCol w:w="794"/>
        <w:gridCol w:w="794"/>
        <w:gridCol w:w="795"/>
        <w:gridCol w:w="794"/>
        <w:gridCol w:w="794"/>
      </w:tblGrid>
      <w:tr w14:paraId="04B114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7" w:type="dxa"/>
            <w:vAlign w:val="center"/>
          </w:tcPr>
          <w:p w14:paraId="54A1CCA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设备名称</w:t>
            </w:r>
          </w:p>
        </w:tc>
        <w:tc>
          <w:tcPr>
            <w:tcW w:w="795" w:type="dxa"/>
            <w:vAlign w:val="center"/>
          </w:tcPr>
          <w:p w14:paraId="658B27C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1m</w:t>
            </w:r>
          </w:p>
        </w:tc>
        <w:tc>
          <w:tcPr>
            <w:tcW w:w="794" w:type="dxa"/>
            <w:vAlign w:val="center"/>
          </w:tcPr>
          <w:p w14:paraId="7BBF52C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10m</w:t>
            </w:r>
          </w:p>
        </w:tc>
        <w:tc>
          <w:tcPr>
            <w:tcW w:w="794" w:type="dxa"/>
            <w:vAlign w:val="center"/>
          </w:tcPr>
          <w:p w14:paraId="02EE235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20m</w:t>
            </w:r>
          </w:p>
        </w:tc>
        <w:tc>
          <w:tcPr>
            <w:tcW w:w="794" w:type="dxa"/>
            <w:vAlign w:val="center"/>
          </w:tcPr>
          <w:p w14:paraId="03C3B27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30m</w:t>
            </w:r>
          </w:p>
        </w:tc>
        <w:tc>
          <w:tcPr>
            <w:tcW w:w="794" w:type="dxa"/>
            <w:vAlign w:val="center"/>
          </w:tcPr>
          <w:p w14:paraId="43E1D91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50m</w:t>
            </w:r>
          </w:p>
        </w:tc>
        <w:tc>
          <w:tcPr>
            <w:tcW w:w="795" w:type="dxa"/>
            <w:vAlign w:val="center"/>
          </w:tcPr>
          <w:p w14:paraId="06F70A4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60m</w:t>
            </w:r>
          </w:p>
        </w:tc>
        <w:tc>
          <w:tcPr>
            <w:tcW w:w="794" w:type="dxa"/>
            <w:vAlign w:val="center"/>
          </w:tcPr>
          <w:p w14:paraId="20BF1B3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100m</w:t>
            </w:r>
          </w:p>
        </w:tc>
        <w:tc>
          <w:tcPr>
            <w:tcW w:w="794" w:type="dxa"/>
            <w:vAlign w:val="center"/>
          </w:tcPr>
          <w:p w14:paraId="0E99631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200m</w:t>
            </w:r>
          </w:p>
        </w:tc>
      </w:tr>
      <w:tr w14:paraId="439D2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7" w:type="dxa"/>
            <w:vAlign w:val="center"/>
          </w:tcPr>
          <w:p w14:paraId="28A4B79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推土机</w:t>
            </w:r>
          </w:p>
        </w:tc>
        <w:tc>
          <w:tcPr>
            <w:tcW w:w="795" w:type="dxa"/>
            <w:vAlign w:val="center"/>
          </w:tcPr>
          <w:p w14:paraId="4624555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96</w:t>
            </w:r>
          </w:p>
        </w:tc>
        <w:tc>
          <w:tcPr>
            <w:tcW w:w="794" w:type="dxa"/>
            <w:vAlign w:val="center"/>
          </w:tcPr>
          <w:p w14:paraId="38F01C2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76</w:t>
            </w:r>
          </w:p>
        </w:tc>
        <w:tc>
          <w:tcPr>
            <w:tcW w:w="794" w:type="dxa"/>
            <w:vAlign w:val="center"/>
          </w:tcPr>
          <w:p w14:paraId="05D0AEB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70</w:t>
            </w:r>
          </w:p>
        </w:tc>
        <w:tc>
          <w:tcPr>
            <w:tcW w:w="794" w:type="dxa"/>
            <w:vAlign w:val="center"/>
          </w:tcPr>
          <w:p w14:paraId="3CA4BB3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66</w:t>
            </w:r>
          </w:p>
        </w:tc>
        <w:tc>
          <w:tcPr>
            <w:tcW w:w="794" w:type="dxa"/>
            <w:vAlign w:val="center"/>
          </w:tcPr>
          <w:p w14:paraId="5E50F82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62</w:t>
            </w:r>
          </w:p>
        </w:tc>
        <w:tc>
          <w:tcPr>
            <w:tcW w:w="795" w:type="dxa"/>
            <w:vAlign w:val="center"/>
          </w:tcPr>
          <w:p w14:paraId="51D7861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60</w:t>
            </w:r>
          </w:p>
        </w:tc>
        <w:tc>
          <w:tcPr>
            <w:tcW w:w="794" w:type="dxa"/>
            <w:vAlign w:val="center"/>
          </w:tcPr>
          <w:p w14:paraId="76A38EE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56</w:t>
            </w:r>
          </w:p>
        </w:tc>
        <w:tc>
          <w:tcPr>
            <w:tcW w:w="794" w:type="dxa"/>
            <w:vAlign w:val="center"/>
          </w:tcPr>
          <w:p w14:paraId="031B71C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50</w:t>
            </w:r>
          </w:p>
        </w:tc>
      </w:tr>
      <w:tr w14:paraId="06ACB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7" w:type="dxa"/>
            <w:vAlign w:val="center"/>
          </w:tcPr>
          <w:p w14:paraId="77D0F69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装载机</w:t>
            </w:r>
          </w:p>
        </w:tc>
        <w:tc>
          <w:tcPr>
            <w:tcW w:w="795" w:type="dxa"/>
            <w:vAlign w:val="center"/>
          </w:tcPr>
          <w:p w14:paraId="2756AD1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89</w:t>
            </w:r>
          </w:p>
        </w:tc>
        <w:tc>
          <w:tcPr>
            <w:tcW w:w="794" w:type="dxa"/>
            <w:vAlign w:val="center"/>
          </w:tcPr>
          <w:p w14:paraId="5F97153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69</w:t>
            </w:r>
          </w:p>
        </w:tc>
        <w:tc>
          <w:tcPr>
            <w:tcW w:w="794" w:type="dxa"/>
            <w:vAlign w:val="center"/>
          </w:tcPr>
          <w:p w14:paraId="51BCAA6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63</w:t>
            </w:r>
          </w:p>
        </w:tc>
        <w:tc>
          <w:tcPr>
            <w:tcW w:w="794" w:type="dxa"/>
            <w:vAlign w:val="center"/>
          </w:tcPr>
          <w:p w14:paraId="159FBAB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59</w:t>
            </w:r>
          </w:p>
        </w:tc>
        <w:tc>
          <w:tcPr>
            <w:tcW w:w="794" w:type="dxa"/>
            <w:vAlign w:val="center"/>
          </w:tcPr>
          <w:p w14:paraId="5D83CD8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55</w:t>
            </w:r>
          </w:p>
        </w:tc>
        <w:tc>
          <w:tcPr>
            <w:tcW w:w="795" w:type="dxa"/>
            <w:vAlign w:val="center"/>
          </w:tcPr>
          <w:p w14:paraId="6720305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53</w:t>
            </w:r>
          </w:p>
        </w:tc>
        <w:tc>
          <w:tcPr>
            <w:tcW w:w="794" w:type="dxa"/>
            <w:vAlign w:val="center"/>
          </w:tcPr>
          <w:p w14:paraId="34D4040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49</w:t>
            </w:r>
          </w:p>
        </w:tc>
        <w:tc>
          <w:tcPr>
            <w:tcW w:w="794" w:type="dxa"/>
            <w:vAlign w:val="center"/>
          </w:tcPr>
          <w:p w14:paraId="508BB44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43</w:t>
            </w:r>
          </w:p>
        </w:tc>
      </w:tr>
      <w:tr w14:paraId="7A980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7" w:type="dxa"/>
            <w:vAlign w:val="center"/>
          </w:tcPr>
          <w:p w14:paraId="1368168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挖掘机</w:t>
            </w:r>
          </w:p>
        </w:tc>
        <w:tc>
          <w:tcPr>
            <w:tcW w:w="795" w:type="dxa"/>
            <w:vAlign w:val="center"/>
          </w:tcPr>
          <w:p w14:paraId="354C88A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86</w:t>
            </w:r>
          </w:p>
        </w:tc>
        <w:tc>
          <w:tcPr>
            <w:tcW w:w="794" w:type="dxa"/>
            <w:vAlign w:val="center"/>
          </w:tcPr>
          <w:p w14:paraId="74A33FD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66</w:t>
            </w:r>
          </w:p>
        </w:tc>
        <w:tc>
          <w:tcPr>
            <w:tcW w:w="794" w:type="dxa"/>
            <w:vAlign w:val="center"/>
          </w:tcPr>
          <w:p w14:paraId="76A0A6F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60</w:t>
            </w:r>
          </w:p>
        </w:tc>
        <w:tc>
          <w:tcPr>
            <w:tcW w:w="794" w:type="dxa"/>
            <w:vAlign w:val="center"/>
          </w:tcPr>
          <w:p w14:paraId="3CA1AFB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56</w:t>
            </w:r>
          </w:p>
        </w:tc>
        <w:tc>
          <w:tcPr>
            <w:tcW w:w="794" w:type="dxa"/>
            <w:vAlign w:val="center"/>
          </w:tcPr>
          <w:p w14:paraId="3083D1F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52</w:t>
            </w:r>
          </w:p>
        </w:tc>
        <w:tc>
          <w:tcPr>
            <w:tcW w:w="795" w:type="dxa"/>
            <w:vAlign w:val="center"/>
          </w:tcPr>
          <w:p w14:paraId="1A1A130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50</w:t>
            </w:r>
          </w:p>
        </w:tc>
        <w:tc>
          <w:tcPr>
            <w:tcW w:w="794" w:type="dxa"/>
            <w:vAlign w:val="center"/>
          </w:tcPr>
          <w:p w14:paraId="16C0DF1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46</w:t>
            </w:r>
          </w:p>
        </w:tc>
        <w:tc>
          <w:tcPr>
            <w:tcW w:w="794" w:type="dxa"/>
            <w:vAlign w:val="center"/>
          </w:tcPr>
          <w:p w14:paraId="1EA6263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40</w:t>
            </w:r>
          </w:p>
        </w:tc>
      </w:tr>
      <w:tr w14:paraId="2CA5B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7" w:type="dxa"/>
            <w:vAlign w:val="center"/>
          </w:tcPr>
          <w:p w14:paraId="44B9499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振动器</w:t>
            </w:r>
          </w:p>
        </w:tc>
        <w:tc>
          <w:tcPr>
            <w:tcW w:w="795" w:type="dxa"/>
            <w:vAlign w:val="center"/>
          </w:tcPr>
          <w:p w14:paraId="5EBF06F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92</w:t>
            </w:r>
          </w:p>
        </w:tc>
        <w:tc>
          <w:tcPr>
            <w:tcW w:w="794" w:type="dxa"/>
            <w:vAlign w:val="center"/>
          </w:tcPr>
          <w:p w14:paraId="5AC63B1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72</w:t>
            </w:r>
          </w:p>
        </w:tc>
        <w:tc>
          <w:tcPr>
            <w:tcW w:w="794" w:type="dxa"/>
            <w:vAlign w:val="center"/>
          </w:tcPr>
          <w:p w14:paraId="34E243E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66</w:t>
            </w:r>
          </w:p>
        </w:tc>
        <w:tc>
          <w:tcPr>
            <w:tcW w:w="794" w:type="dxa"/>
            <w:vAlign w:val="center"/>
          </w:tcPr>
          <w:p w14:paraId="2D4339A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62</w:t>
            </w:r>
          </w:p>
        </w:tc>
        <w:tc>
          <w:tcPr>
            <w:tcW w:w="794" w:type="dxa"/>
            <w:vAlign w:val="center"/>
          </w:tcPr>
          <w:p w14:paraId="3755F9E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58</w:t>
            </w:r>
          </w:p>
        </w:tc>
        <w:tc>
          <w:tcPr>
            <w:tcW w:w="795" w:type="dxa"/>
            <w:vAlign w:val="center"/>
          </w:tcPr>
          <w:p w14:paraId="2C8FB90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56</w:t>
            </w:r>
          </w:p>
        </w:tc>
        <w:tc>
          <w:tcPr>
            <w:tcW w:w="794" w:type="dxa"/>
            <w:vAlign w:val="center"/>
          </w:tcPr>
          <w:p w14:paraId="4816C96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52</w:t>
            </w:r>
          </w:p>
        </w:tc>
        <w:tc>
          <w:tcPr>
            <w:tcW w:w="794" w:type="dxa"/>
            <w:vAlign w:val="center"/>
          </w:tcPr>
          <w:p w14:paraId="33B386F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46</w:t>
            </w:r>
          </w:p>
        </w:tc>
      </w:tr>
      <w:tr w14:paraId="48502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7" w:type="dxa"/>
            <w:vAlign w:val="center"/>
          </w:tcPr>
          <w:p w14:paraId="1C829B3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中、轻型载重汽车</w:t>
            </w:r>
          </w:p>
        </w:tc>
        <w:tc>
          <w:tcPr>
            <w:tcW w:w="795" w:type="dxa"/>
            <w:vAlign w:val="center"/>
          </w:tcPr>
          <w:p w14:paraId="10197DD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85</w:t>
            </w:r>
          </w:p>
        </w:tc>
        <w:tc>
          <w:tcPr>
            <w:tcW w:w="794" w:type="dxa"/>
            <w:vAlign w:val="center"/>
          </w:tcPr>
          <w:p w14:paraId="053A394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65</w:t>
            </w:r>
          </w:p>
        </w:tc>
        <w:tc>
          <w:tcPr>
            <w:tcW w:w="794" w:type="dxa"/>
            <w:vAlign w:val="center"/>
          </w:tcPr>
          <w:p w14:paraId="58BFFA3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59</w:t>
            </w:r>
          </w:p>
        </w:tc>
        <w:tc>
          <w:tcPr>
            <w:tcW w:w="794" w:type="dxa"/>
            <w:vAlign w:val="center"/>
          </w:tcPr>
          <w:p w14:paraId="1BC39E3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55</w:t>
            </w:r>
          </w:p>
        </w:tc>
        <w:tc>
          <w:tcPr>
            <w:tcW w:w="794" w:type="dxa"/>
            <w:vAlign w:val="center"/>
          </w:tcPr>
          <w:p w14:paraId="75AA5B2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51</w:t>
            </w:r>
          </w:p>
        </w:tc>
        <w:tc>
          <w:tcPr>
            <w:tcW w:w="795" w:type="dxa"/>
            <w:vAlign w:val="center"/>
          </w:tcPr>
          <w:p w14:paraId="5D04D9BB">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49</w:t>
            </w:r>
          </w:p>
        </w:tc>
        <w:tc>
          <w:tcPr>
            <w:tcW w:w="794" w:type="dxa"/>
            <w:vAlign w:val="center"/>
          </w:tcPr>
          <w:p w14:paraId="0D75FE8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45</w:t>
            </w:r>
          </w:p>
        </w:tc>
        <w:tc>
          <w:tcPr>
            <w:tcW w:w="794" w:type="dxa"/>
            <w:vAlign w:val="center"/>
          </w:tcPr>
          <w:p w14:paraId="31B4283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39</w:t>
            </w:r>
          </w:p>
        </w:tc>
      </w:tr>
      <w:tr w14:paraId="566D24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67" w:type="dxa"/>
            <w:vAlign w:val="center"/>
          </w:tcPr>
          <w:p w14:paraId="1653C29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贡献值叠加</w:t>
            </w:r>
          </w:p>
        </w:tc>
        <w:tc>
          <w:tcPr>
            <w:tcW w:w="795" w:type="dxa"/>
            <w:vAlign w:val="center"/>
          </w:tcPr>
          <w:p w14:paraId="34CE60B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98.5</w:t>
            </w:r>
          </w:p>
        </w:tc>
        <w:tc>
          <w:tcPr>
            <w:tcW w:w="794" w:type="dxa"/>
            <w:vAlign w:val="center"/>
          </w:tcPr>
          <w:p w14:paraId="6F2E5AD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78.5</w:t>
            </w:r>
          </w:p>
        </w:tc>
        <w:tc>
          <w:tcPr>
            <w:tcW w:w="794" w:type="dxa"/>
            <w:vAlign w:val="center"/>
          </w:tcPr>
          <w:p w14:paraId="103C3D0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72.5</w:t>
            </w:r>
          </w:p>
        </w:tc>
        <w:tc>
          <w:tcPr>
            <w:tcW w:w="794" w:type="dxa"/>
            <w:vAlign w:val="center"/>
          </w:tcPr>
          <w:p w14:paraId="104DBC5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68.5</w:t>
            </w:r>
          </w:p>
        </w:tc>
        <w:tc>
          <w:tcPr>
            <w:tcW w:w="794" w:type="dxa"/>
            <w:vAlign w:val="center"/>
          </w:tcPr>
          <w:p w14:paraId="22A1B8F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64.5</w:t>
            </w:r>
          </w:p>
        </w:tc>
        <w:tc>
          <w:tcPr>
            <w:tcW w:w="795" w:type="dxa"/>
            <w:vAlign w:val="center"/>
          </w:tcPr>
          <w:p w14:paraId="00B2FAD8">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62.5</w:t>
            </w:r>
          </w:p>
        </w:tc>
        <w:tc>
          <w:tcPr>
            <w:tcW w:w="794" w:type="dxa"/>
            <w:vAlign w:val="center"/>
          </w:tcPr>
          <w:p w14:paraId="7F74F40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58.5</w:t>
            </w:r>
          </w:p>
        </w:tc>
        <w:tc>
          <w:tcPr>
            <w:tcW w:w="794" w:type="dxa"/>
            <w:vAlign w:val="center"/>
          </w:tcPr>
          <w:p w14:paraId="473782F3">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kern w:val="2"/>
                <w:sz w:val="21"/>
                <w:szCs w:val="22"/>
                <w:highlight w:val="none"/>
                <w:u w:val="none" w:color="auto"/>
              </w:rPr>
            </w:pPr>
            <w:r>
              <w:rPr>
                <w:rFonts w:hint="default" w:ascii="Times New Roman" w:hAnsi="Times New Roman" w:cs="Times New Roman"/>
                <w:color w:val="auto"/>
                <w:kern w:val="2"/>
                <w:sz w:val="21"/>
                <w:szCs w:val="22"/>
                <w:highlight w:val="none"/>
                <w:u w:val="none" w:color="auto"/>
              </w:rPr>
              <w:t>52.5</w:t>
            </w:r>
          </w:p>
        </w:tc>
      </w:tr>
    </w:tbl>
    <w:p w14:paraId="16E804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由表7.1-5噪声叠加结果可以看出，考虑所有的施工设备在同时运转的情况下，施工机械噪声在距施工点50m内的噪声值较大，对环境噪声质量可形成较明显的影响，但随着距离的加大，均有明显的衰减。</w:t>
      </w:r>
    </w:p>
    <w:p w14:paraId="0B9F19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项目施工均在昼间进行，当施工机械与场界的距离大于30m时，施工噪声能够满足《建筑施工场界环境噪声排放标准》（GB 12523 -2011）中昼间限值要求（70dB（A））；当与施工机械的距离大于50m时，施工噪声贡献值就已经在65dB（A）以下，因此，在距离施工机械50m外，施工噪声的贡献值能够满足《声环境质量标准》（GB 3096-2008）中3类、4a类标准的要求，项目施工对距施工点50m外的声环境保护目标影响较小。</w:t>
      </w:r>
    </w:p>
    <w:p w14:paraId="05EA17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评价要求项目施工时仍需加强施工管理，尽量采用低噪声设备施工，对施工机械设备定期保养，严格按施工规范操作，同时在施工场地边界设置围挡，以最大限度的减轻施工噪声对周边环境的影响。</w:t>
      </w:r>
    </w:p>
    <w:p w14:paraId="362183ED">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7.1.4固体废物影响分析</w:t>
      </w:r>
    </w:p>
    <w:p w14:paraId="59EBE1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项目施工过程中场地平整、建筑物基础开挖产生的开挖土石方全部用于项目用地范围的回填，施工期固体废物主要是生活垃圾、建筑垃圾。</w:t>
      </w:r>
    </w:p>
    <w:p w14:paraId="31669B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（1）建筑垃圾</w:t>
      </w:r>
    </w:p>
    <w:p w14:paraId="492D76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工程建筑垃圾总产生量约1100t，建设单位应要求施工单位规划运输，加强管理，这些建筑垃圾应尽量分类后回收利用，对无利用价值的废弃物应送至建筑垃圾填埋场，而不能随意丢弃倾倒，以减少对周围环境的影响。</w:t>
      </w:r>
    </w:p>
    <w:p w14:paraId="0675D0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建筑垃圾、工程渣土在48小时内不能完成清运的，应当在施工工地内设置临时堆放场，临时堆放场应当采取围挡、覆盖等防尘措施。建、构筑物建设和装饰过程中运送散装物料、清理建筑垃圾和渣土的，应当采用密闭方式。</w:t>
      </w:r>
    </w:p>
    <w:p w14:paraId="4ADCC8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（3）生活垃圾</w:t>
      </w:r>
    </w:p>
    <w:p w14:paraId="72B850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施工期施工人员约80人，不在施工场地食宿，垃圾产生量以0.3kg/人·d计，则约24kg/d，生活垃圾统一收集后清运至垃圾收集清运点，由环卫部门处置。</w:t>
      </w:r>
    </w:p>
    <w:p w14:paraId="5D0125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综上所述，本项目施工过程中固体废物均可得到妥善处置，对外环境影响较小。</w:t>
      </w:r>
    </w:p>
    <w:p w14:paraId="15056661">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7.1.5生态影响分析</w:t>
      </w:r>
    </w:p>
    <w:p w14:paraId="3A8A5F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期由于开挖地面、机械碾压、排放废弃物等原因，破坏了原有的地貌和植被，扰动了表土结构，致使土壤抗蚀能力降低。裸露的土壤极易被降雨径流冲刷而产生水土流失，特别是暴雨时冲刷更为严重。因此，施工期间应采取一定的防治措施来降低水土流失量：</w:t>
      </w:r>
    </w:p>
    <w:p w14:paraId="428639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（1）本项目土石方可实现厂区内部平衡，为防治水土流失，建设方应及时将挖方转移至所需填方的位置，从根本上减少了水土流失量。</w:t>
      </w:r>
    </w:p>
    <w:p w14:paraId="7A0AB7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（2）科学规划，合理安排，挖填方配套作业，要求分区分片开挖和填压，及时运输挖方、及时压实填方，防止暴雨径流对开挖面及填方区的冲刷，从根本上减少水土流失量。</w:t>
      </w:r>
    </w:p>
    <w:p w14:paraId="188996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（3）设备堆放场、材料堆放场的防径流冲刷措施应加强，废土、废渣应及时运出填埋，不得随意堆放，并应注意挖填平衡，防止出现废土、渣处置不当而导致的水土流失。</w:t>
      </w:r>
    </w:p>
    <w:p w14:paraId="433F4F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综上所述，施工期的噪声、废气、废水和固体废物会对环境产生一定程度的影响，本项目选址位于</w:t>
      </w:r>
      <w:r>
        <w:rPr>
          <w:rFonts w:hint="default" w:ascii="Times New Roman" w:hAnsi="Times New Roman" w:eastAsia="宋体" w:cs="Times New Roman"/>
          <w:color w:val="auto"/>
          <w:sz w:val="24"/>
          <w:szCs w:val="21"/>
          <w:highlight w:val="none"/>
          <w:u w:val="none" w:color="auto"/>
          <w:lang w:eastAsia="zh-CN"/>
        </w:rPr>
        <w:t>松木经开区</w:t>
      </w:r>
      <w:r>
        <w:rPr>
          <w:rFonts w:hint="default" w:ascii="Times New Roman" w:hAnsi="Times New Roman" w:eastAsia="宋体" w:cs="Times New Roman"/>
          <w:color w:val="auto"/>
          <w:sz w:val="24"/>
          <w:szCs w:val="21"/>
          <w:highlight w:val="none"/>
          <w:u w:val="none" w:color="auto"/>
        </w:rPr>
        <w:t>，项目评价范围内未见国家珍稀野生保护动植物，也无国家、省、市保护的生态敏感保护区和文物古迹。只要施工单位认真做好组织工作、文明施工，切实落实各项环保措施的情况下，工程施工过程不会对环境产生明显的影响。</w:t>
      </w:r>
    </w:p>
    <w:p w14:paraId="4E9CAAF4">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75" w:name="_Toc19493"/>
      <w:r>
        <w:rPr>
          <w:rFonts w:hint="default" w:ascii="Times New Roman" w:hAnsi="Times New Roman" w:eastAsia="宋体" w:cs="Times New Roman"/>
          <w:color w:val="auto"/>
          <w:sz w:val="28"/>
          <w:szCs w:val="28"/>
          <w:highlight w:val="none"/>
          <w:u w:val="none" w:color="auto"/>
          <w:lang w:val="en-US" w:eastAsia="zh-CN"/>
        </w:rPr>
        <w:t>7.2运营期环境影响分析</w:t>
      </w:r>
      <w:bookmarkEnd w:id="75"/>
    </w:p>
    <w:p w14:paraId="3D821CB0">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7.2.1运营期大气环境影响分析</w:t>
      </w:r>
    </w:p>
    <w:p w14:paraId="70AC45C0">
      <w:pPr>
        <w:keepNext/>
        <w:keepLines/>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strike w:val="0"/>
          <w:dstrike w:val="0"/>
          <w:color w:val="auto"/>
          <w:sz w:val="24"/>
          <w:szCs w:val="24"/>
          <w:highlight w:val="none"/>
          <w:u w:val="none" w:color="auto"/>
        </w:rPr>
      </w:pPr>
      <w:r>
        <w:rPr>
          <w:rFonts w:hint="default" w:ascii="Times New Roman" w:hAnsi="Times New Roman" w:eastAsia="宋体" w:cs="Times New Roman"/>
          <w:b/>
          <w:bCs/>
          <w:strike w:val="0"/>
          <w:dstrike w:val="0"/>
          <w:color w:val="auto"/>
          <w:sz w:val="24"/>
          <w:szCs w:val="24"/>
          <w:highlight w:val="none"/>
          <w:u w:val="none" w:color="auto"/>
          <w:lang w:val="en-US" w:eastAsia="zh-CN"/>
        </w:rPr>
        <w:t>7</w:t>
      </w:r>
      <w:r>
        <w:rPr>
          <w:rFonts w:hint="default" w:ascii="Times New Roman" w:hAnsi="Times New Roman" w:eastAsia="宋体" w:cs="Times New Roman"/>
          <w:b/>
          <w:bCs/>
          <w:strike w:val="0"/>
          <w:dstrike w:val="0"/>
          <w:color w:val="auto"/>
          <w:sz w:val="24"/>
          <w:szCs w:val="24"/>
          <w:highlight w:val="none"/>
          <w:u w:val="none" w:color="auto"/>
        </w:rPr>
        <w:t>.2.1.1大气污染源强</w:t>
      </w:r>
    </w:p>
    <w:p w14:paraId="0DB6AE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本项目运营期废气主要污染物为氯化氢、硫酸雾、氮氧化物、</w:t>
      </w:r>
      <w:r>
        <w:rPr>
          <w:rFonts w:hint="default" w:ascii="Times New Roman" w:hAnsi="Times New Roman" w:eastAsia="宋体" w:cs="Times New Roman"/>
          <w:color w:val="auto"/>
          <w:sz w:val="24"/>
          <w:szCs w:val="21"/>
          <w:highlight w:val="none"/>
          <w:u w:val="none" w:color="auto"/>
          <w:lang w:eastAsia="zh-CN"/>
        </w:rPr>
        <w:t>颗粒物、</w:t>
      </w:r>
      <w:r>
        <w:rPr>
          <w:rFonts w:hint="default" w:ascii="Times New Roman" w:hAnsi="Times New Roman" w:eastAsia="宋体" w:cs="Times New Roman"/>
          <w:color w:val="auto"/>
          <w:sz w:val="24"/>
          <w:szCs w:val="21"/>
          <w:highlight w:val="none"/>
          <w:u w:val="none" w:color="auto"/>
          <w:lang w:val="en-US" w:eastAsia="zh-CN"/>
        </w:rPr>
        <w:t>VOCs、</w:t>
      </w:r>
      <w:r>
        <w:rPr>
          <w:rFonts w:hint="default" w:ascii="Times New Roman" w:hAnsi="Times New Roman" w:eastAsia="宋体" w:cs="Times New Roman"/>
          <w:color w:val="auto"/>
          <w:sz w:val="24"/>
          <w:szCs w:val="21"/>
          <w:highlight w:val="none"/>
          <w:u w:val="none" w:color="auto"/>
        </w:rPr>
        <w:t>臭气浓度，其中氯化氢、硫酸雾</w:t>
      </w:r>
      <w:r>
        <w:rPr>
          <w:rFonts w:hint="default" w:ascii="Times New Roman" w:hAnsi="Times New Roman" w:eastAsia="宋体" w:cs="Times New Roman"/>
          <w:color w:val="auto"/>
          <w:sz w:val="24"/>
          <w:szCs w:val="21"/>
          <w:highlight w:val="none"/>
          <w:u w:val="none" w:color="auto"/>
          <w:lang w:eastAsia="zh-CN"/>
        </w:rPr>
        <w:t>、氮氧化物</w:t>
      </w:r>
      <w:r>
        <w:rPr>
          <w:rFonts w:hint="default" w:ascii="Times New Roman" w:hAnsi="Times New Roman" w:eastAsia="宋体" w:cs="Times New Roman"/>
          <w:color w:val="auto"/>
          <w:sz w:val="24"/>
          <w:szCs w:val="21"/>
          <w:highlight w:val="none"/>
          <w:u w:val="none" w:color="auto"/>
        </w:rPr>
        <w:t>主要来源于各生产线预处理中的活化、</w:t>
      </w:r>
      <w:r>
        <w:rPr>
          <w:rFonts w:hint="default" w:ascii="Times New Roman" w:hAnsi="Times New Roman" w:eastAsia="宋体" w:cs="Times New Roman"/>
          <w:color w:val="auto"/>
          <w:sz w:val="24"/>
          <w:szCs w:val="21"/>
          <w:highlight w:val="none"/>
          <w:u w:val="none" w:color="auto"/>
          <w:lang w:eastAsia="zh-CN"/>
        </w:rPr>
        <w:t>出光</w:t>
      </w:r>
      <w:r>
        <w:rPr>
          <w:rFonts w:hint="default" w:ascii="Times New Roman" w:hAnsi="Times New Roman" w:eastAsia="宋体" w:cs="Times New Roman"/>
          <w:color w:val="auto"/>
          <w:sz w:val="24"/>
          <w:szCs w:val="21"/>
          <w:highlight w:val="none"/>
          <w:u w:val="none" w:color="auto"/>
        </w:rPr>
        <w:t>等</w:t>
      </w:r>
      <w:r>
        <w:rPr>
          <w:rFonts w:hint="default" w:ascii="Times New Roman" w:hAnsi="Times New Roman" w:eastAsia="宋体" w:cs="Times New Roman"/>
          <w:color w:val="auto"/>
          <w:sz w:val="24"/>
          <w:szCs w:val="21"/>
          <w:highlight w:val="none"/>
          <w:u w:val="none" w:color="auto"/>
          <w:lang w:eastAsia="zh-CN"/>
        </w:rPr>
        <w:t>工序以及退镀线退镀</w:t>
      </w:r>
      <w:r>
        <w:rPr>
          <w:rFonts w:hint="default" w:ascii="Times New Roman" w:hAnsi="Times New Roman" w:eastAsia="宋体" w:cs="Times New Roman"/>
          <w:color w:val="auto"/>
          <w:sz w:val="24"/>
          <w:szCs w:val="21"/>
          <w:highlight w:val="none"/>
          <w:u w:val="none" w:color="auto"/>
        </w:rPr>
        <w:t>，</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1"/>
          <w:highlight w:val="none"/>
          <w:u w:val="none" w:color="auto"/>
          <w:lang w:val="en-US" w:eastAsia="zh-CN"/>
        </w:rPr>
        <w:t>来源烧结超硬材料制品生产线的树脂压制及烧结工序，颗粒物来源于机加工</w:t>
      </w:r>
      <w:r>
        <w:rPr>
          <w:rFonts w:hint="eastAsia" w:ascii="Times New Roman" w:hAnsi="Times New Roman" w:eastAsia="宋体" w:cs="Times New Roman"/>
          <w:color w:val="auto"/>
          <w:sz w:val="24"/>
          <w:szCs w:val="21"/>
          <w:highlight w:val="none"/>
          <w:u w:val="none" w:color="auto"/>
          <w:lang w:val="en-US" w:eastAsia="zh-CN"/>
        </w:rPr>
        <w:t>工序</w:t>
      </w:r>
      <w:r>
        <w:rPr>
          <w:rFonts w:hint="default" w:ascii="Times New Roman" w:hAnsi="Times New Roman" w:eastAsia="宋体" w:cs="Times New Roman"/>
          <w:color w:val="auto"/>
          <w:sz w:val="24"/>
          <w:szCs w:val="21"/>
          <w:highlight w:val="none"/>
          <w:u w:val="none" w:color="auto"/>
          <w:lang w:val="en-US" w:eastAsia="zh-CN"/>
        </w:rPr>
        <w:t>，</w:t>
      </w:r>
      <w:r>
        <w:rPr>
          <w:rFonts w:hint="default" w:ascii="Times New Roman" w:hAnsi="Times New Roman" w:eastAsia="宋体" w:cs="Times New Roman"/>
          <w:color w:val="auto"/>
          <w:sz w:val="24"/>
          <w:szCs w:val="21"/>
          <w:highlight w:val="none"/>
          <w:u w:val="none" w:color="auto"/>
          <w:lang w:eastAsia="zh-CN"/>
        </w:rPr>
        <w:t>臭气浓度</w:t>
      </w:r>
      <w:r>
        <w:rPr>
          <w:rFonts w:hint="default" w:ascii="Times New Roman" w:hAnsi="Times New Roman" w:eastAsia="宋体" w:cs="Times New Roman"/>
          <w:color w:val="auto"/>
          <w:sz w:val="24"/>
          <w:szCs w:val="21"/>
          <w:highlight w:val="none"/>
          <w:u w:val="none" w:color="auto"/>
        </w:rPr>
        <w:t>主要来源于</w:t>
      </w:r>
      <w:r>
        <w:rPr>
          <w:rFonts w:hint="default" w:ascii="Times New Roman" w:hAnsi="Times New Roman" w:eastAsia="宋体" w:cs="Times New Roman"/>
          <w:color w:val="auto"/>
          <w:sz w:val="24"/>
          <w:szCs w:val="21"/>
          <w:highlight w:val="none"/>
          <w:u w:val="none" w:color="auto"/>
          <w:lang w:eastAsia="zh-CN"/>
        </w:rPr>
        <w:t>废水处理站及</w:t>
      </w:r>
      <w:r>
        <w:rPr>
          <w:rFonts w:hint="default" w:ascii="Times New Roman" w:hAnsi="Times New Roman" w:eastAsia="宋体" w:cs="Times New Roman"/>
          <w:color w:val="auto"/>
          <w:sz w:val="24"/>
          <w:szCs w:val="21"/>
          <w:highlight w:val="none"/>
          <w:u w:val="none" w:color="auto"/>
          <w:lang w:val="en-US" w:eastAsia="zh-CN"/>
        </w:rPr>
        <w:t>树脂压制及烧结工序</w:t>
      </w:r>
      <w:r>
        <w:rPr>
          <w:rFonts w:hint="default" w:ascii="Times New Roman" w:hAnsi="Times New Roman" w:eastAsia="宋体" w:cs="Times New Roman"/>
          <w:color w:val="auto"/>
          <w:sz w:val="24"/>
          <w:szCs w:val="21"/>
          <w:highlight w:val="none"/>
          <w:u w:val="none" w:color="auto"/>
        </w:rPr>
        <w:t>。</w:t>
      </w:r>
    </w:p>
    <w:p w14:paraId="0B42192A">
      <w:pPr>
        <w:ind w:firstLine="480" w:firstLineChars="200"/>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bCs/>
          <w:strike w:val="0"/>
          <w:dstrike w:val="0"/>
          <w:color w:val="auto"/>
          <w:sz w:val="24"/>
          <w:szCs w:val="21"/>
          <w:highlight w:val="none"/>
          <w:u w:val="none" w:color="auto"/>
        </w:rPr>
        <w:t>项目运营期主要大气污染物排放源强及排放参数详见下表。</w:t>
      </w:r>
    </w:p>
    <w:p w14:paraId="17A548AC">
      <w:pPr>
        <w:jc w:val="center"/>
        <w:rPr>
          <w:rFonts w:hint="default" w:ascii="Times New Roman" w:hAnsi="Times New Roman" w:eastAsia="宋体" w:cs="Times New Roman"/>
          <w:b/>
          <w:strike w:val="0"/>
          <w:dstrike w:val="0"/>
          <w:color w:val="auto"/>
          <w:sz w:val="21"/>
          <w:szCs w:val="18"/>
          <w:highlight w:val="none"/>
          <w:u w:val="none" w:color="auto"/>
        </w:rPr>
      </w:pPr>
    </w:p>
    <w:p w14:paraId="6392DA80">
      <w:pPr>
        <w:jc w:val="center"/>
        <w:rPr>
          <w:rFonts w:hint="default" w:ascii="Times New Roman" w:hAnsi="Times New Roman" w:eastAsia="宋体" w:cs="Times New Roman"/>
          <w:b/>
          <w:strike w:val="0"/>
          <w:dstrike w:val="0"/>
          <w:color w:val="auto"/>
          <w:sz w:val="21"/>
          <w:szCs w:val="18"/>
          <w:highlight w:val="none"/>
          <w:u w:val="none" w:color="auto"/>
        </w:rPr>
      </w:pPr>
    </w:p>
    <w:p w14:paraId="740DD99A">
      <w:pPr>
        <w:jc w:val="center"/>
        <w:rPr>
          <w:rFonts w:hint="default" w:ascii="Times New Roman" w:hAnsi="Times New Roman" w:eastAsia="宋体" w:cs="Times New Roman"/>
          <w:b/>
          <w:strike w:val="0"/>
          <w:dstrike w:val="0"/>
          <w:color w:val="auto"/>
          <w:sz w:val="21"/>
          <w:szCs w:val="18"/>
          <w:highlight w:val="none"/>
          <w:u w:val="single" w:color="auto"/>
        </w:rPr>
      </w:pPr>
      <w:r>
        <w:rPr>
          <w:rFonts w:hint="default" w:ascii="Times New Roman" w:hAnsi="Times New Roman" w:eastAsia="宋体" w:cs="Times New Roman"/>
          <w:b/>
          <w:strike w:val="0"/>
          <w:dstrike w:val="0"/>
          <w:color w:val="auto"/>
          <w:sz w:val="21"/>
          <w:szCs w:val="18"/>
          <w:highlight w:val="none"/>
          <w:u w:val="single" w:color="auto"/>
        </w:rPr>
        <w:t>表</w:t>
      </w:r>
      <w:r>
        <w:rPr>
          <w:rFonts w:hint="default" w:ascii="Times New Roman" w:hAnsi="Times New Roman" w:eastAsia="宋体" w:cs="Times New Roman"/>
          <w:b/>
          <w:strike w:val="0"/>
          <w:dstrike w:val="0"/>
          <w:color w:val="auto"/>
          <w:sz w:val="21"/>
          <w:szCs w:val="18"/>
          <w:highlight w:val="none"/>
          <w:u w:val="single" w:color="auto"/>
          <w:lang w:val="en-US" w:eastAsia="zh-CN"/>
        </w:rPr>
        <w:t>7</w:t>
      </w:r>
      <w:r>
        <w:rPr>
          <w:rFonts w:hint="default" w:ascii="Times New Roman" w:hAnsi="Times New Roman" w:eastAsia="宋体" w:cs="Times New Roman"/>
          <w:b/>
          <w:strike w:val="0"/>
          <w:dstrike w:val="0"/>
          <w:color w:val="auto"/>
          <w:sz w:val="21"/>
          <w:szCs w:val="18"/>
          <w:highlight w:val="none"/>
          <w:u w:val="single" w:color="auto"/>
        </w:rPr>
        <w:t>.2-1本项目有组织污染源排放源强及排放参数一览表</w:t>
      </w:r>
    </w:p>
    <w:tbl>
      <w:tblPr>
        <w:tblStyle w:val="22"/>
        <w:tblW w:w="90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900"/>
        <w:gridCol w:w="875"/>
        <w:gridCol w:w="1117"/>
        <w:gridCol w:w="895"/>
        <w:gridCol w:w="1157"/>
        <w:gridCol w:w="867"/>
        <w:gridCol w:w="966"/>
        <w:gridCol w:w="1017"/>
      </w:tblGrid>
      <w:tr w14:paraId="684B7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4" w:type="dxa"/>
            <w:gridSpan w:val="3"/>
            <w:vAlign w:val="center"/>
          </w:tcPr>
          <w:p w14:paraId="754BC30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来源</w:t>
            </w:r>
          </w:p>
        </w:tc>
        <w:tc>
          <w:tcPr>
            <w:tcW w:w="1117" w:type="dxa"/>
            <w:vMerge w:val="restart"/>
            <w:vAlign w:val="center"/>
          </w:tcPr>
          <w:p w14:paraId="582944D5">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污染物</w:t>
            </w:r>
          </w:p>
        </w:tc>
        <w:tc>
          <w:tcPr>
            <w:tcW w:w="895" w:type="dxa"/>
            <w:vMerge w:val="restart"/>
            <w:vAlign w:val="center"/>
          </w:tcPr>
          <w:p w14:paraId="23585D7D">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废气量（</w:t>
            </w:r>
            <w:r>
              <w:rPr>
                <w:rFonts w:hint="default" w:ascii="Times New Roman" w:hAnsi="Times New Roman" w:eastAsia="宋体" w:cs="Times New Roman"/>
                <w:color w:val="auto"/>
                <w:sz w:val="21"/>
                <w:szCs w:val="21"/>
                <w:highlight w:val="none"/>
                <w:u w:val="single" w:color="auto"/>
              </w:rPr>
              <w:t>m</w:t>
            </w:r>
            <w:r>
              <w:rPr>
                <w:rFonts w:hint="default" w:ascii="Times New Roman" w:hAnsi="Times New Roman" w:eastAsia="宋体" w:cs="Times New Roman"/>
                <w:color w:val="auto"/>
                <w:sz w:val="21"/>
                <w:szCs w:val="21"/>
                <w:highlight w:val="none"/>
                <w:u w:val="single" w:color="auto"/>
                <w:vertAlign w:val="superscript"/>
              </w:rPr>
              <w:t>3</w:t>
            </w:r>
            <w:r>
              <w:rPr>
                <w:rFonts w:hint="default" w:ascii="Times New Roman" w:hAnsi="Times New Roman" w:eastAsia="宋体" w:cs="Times New Roman"/>
                <w:color w:val="auto"/>
                <w:sz w:val="21"/>
                <w:szCs w:val="21"/>
                <w:highlight w:val="none"/>
                <w:u w:val="single" w:color="auto"/>
              </w:rPr>
              <w:t>/h</w:t>
            </w:r>
            <w:r>
              <w:rPr>
                <w:rFonts w:hint="default" w:ascii="Times New Roman" w:hAnsi="Times New Roman" w:eastAsia="宋体" w:cs="Times New Roman"/>
                <w:color w:val="auto"/>
                <w:sz w:val="21"/>
                <w:szCs w:val="21"/>
                <w:highlight w:val="none"/>
                <w:u w:val="single" w:color="auto"/>
                <w:lang w:eastAsia="zh-CN"/>
              </w:rPr>
              <w:t>）</w:t>
            </w:r>
          </w:p>
        </w:tc>
        <w:tc>
          <w:tcPr>
            <w:tcW w:w="1157" w:type="dxa"/>
            <w:vMerge w:val="restart"/>
            <w:vAlign w:val="center"/>
          </w:tcPr>
          <w:p w14:paraId="72C8855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排放速率</w:t>
            </w:r>
          </w:p>
          <w:p w14:paraId="56EB150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（kg/h）</w:t>
            </w:r>
          </w:p>
        </w:tc>
        <w:tc>
          <w:tcPr>
            <w:tcW w:w="867" w:type="dxa"/>
            <w:vMerge w:val="restart"/>
            <w:vAlign w:val="center"/>
          </w:tcPr>
          <w:p w14:paraId="27FA7940">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strike w:val="0"/>
                <w:dstrike w:val="0"/>
                <w:color w:val="auto"/>
                <w:sz w:val="21"/>
                <w:szCs w:val="21"/>
                <w:highlight w:val="none"/>
                <w:u w:val="single" w:color="auto"/>
              </w:rPr>
              <w:t>排气筒高度（m）</w:t>
            </w:r>
          </w:p>
        </w:tc>
        <w:tc>
          <w:tcPr>
            <w:tcW w:w="966" w:type="dxa"/>
            <w:vMerge w:val="restart"/>
            <w:vAlign w:val="center"/>
          </w:tcPr>
          <w:p w14:paraId="1C11856B">
            <w:pPr>
              <w:snapToGrid w:val="0"/>
              <w:spacing w:line="240" w:lineRule="auto"/>
              <w:jc w:val="center"/>
              <w:rPr>
                <w:rFonts w:hint="default" w:ascii="Times New Roman" w:hAnsi="Times New Roman" w:eastAsia="宋体" w:cs="Times New Roman"/>
                <w:strike w:val="0"/>
                <w:dstrike w:val="0"/>
                <w:color w:val="auto"/>
                <w:sz w:val="21"/>
                <w:szCs w:val="21"/>
                <w:highlight w:val="none"/>
                <w:u w:val="single" w:color="auto"/>
              </w:rPr>
            </w:pPr>
            <w:r>
              <w:rPr>
                <w:rFonts w:hint="default" w:ascii="Times New Roman" w:hAnsi="Times New Roman" w:eastAsia="宋体" w:cs="Times New Roman"/>
                <w:strike w:val="0"/>
                <w:dstrike w:val="0"/>
                <w:color w:val="auto"/>
                <w:sz w:val="21"/>
                <w:szCs w:val="21"/>
                <w:highlight w:val="none"/>
                <w:u w:val="single" w:color="auto"/>
              </w:rPr>
              <w:t>排气筒</w:t>
            </w:r>
          </w:p>
          <w:p w14:paraId="7A0B5FD5">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strike w:val="0"/>
                <w:dstrike w:val="0"/>
                <w:color w:val="auto"/>
                <w:sz w:val="21"/>
                <w:szCs w:val="21"/>
                <w:highlight w:val="none"/>
                <w:u w:val="single" w:color="auto"/>
              </w:rPr>
              <w:t>内径（m）</w:t>
            </w:r>
          </w:p>
        </w:tc>
        <w:tc>
          <w:tcPr>
            <w:tcW w:w="1017" w:type="dxa"/>
            <w:vMerge w:val="restart"/>
            <w:vAlign w:val="center"/>
          </w:tcPr>
          <w:p w14:paraId="019B99D8">
            <w:pPr>
              <w:snapToGrid w:val="0"/>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strike w:val="0"/>
                <w:dstrike w:val="0"/>
                <w:color w:val="auto"/>
                <w:sz w:val="21"/>
                <w:szCs w:val="21"/>
                <w:highlight w:val="none"/>
                <w:u w:val="single" w:color="auto"/>
              </w:rPr>
              <w:t>烟气出口温度（K）</w:t>
            </w:r>
          </w:p>
        </w:tc>
      </w:tr>
      <w:tr w14:paraId="432CE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9" w:type="dxa"/>
            <w:gridSpan w:val="2"/>
            <w:vAlign w:val="center"/>
          </w:tcPr>
          <w:p w14:paraId="747955E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废气类别</w:t>
            </w:r>
          </w:p>
        </w:tc>
        <w:tc>
          <w:tcPr>
            <w:tcW w:w="875" w:type="dxa"/>
            <w:vAlign w:val="center"/>
          </w:tcPr>
          <w:p w14:paraId="19B0895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排气筒编号</w:t>
            </w:r>
          </w:p>
        </w:tc>
        <w:tc>
          <w:tcPr>
            <w:tcW w:w="1117" w:type="dxa"/>
            <w:vMerge w:val="continue"/>
            <w:vAlign w:val="center"/>
          </w:tcPr>
          <w:p w14:paraId="2D43CC80">
            <w:pPr>
              <w:spacing w:line="240" w:lineRule="auto"/>
              <w:jc w:val="center"/>
              <w:rPr>
                <w:rFonts w:hint="default" w:ascii="Times New Roman" w:hAnsi="Times New Roman" w:eastAsia="宋体" w:cs="Times New Roman"/>
                <w:color w:val="auto"/>
                <w:sz w:val="21"/>
                <w:szCs w:val="21"/>
                <w:highlight w:val="none"/>
                <w:u w:val="single" w:color="auto"/>
              </w:rPr>
            </w:pPr>
          </w:p>
        </w:tc>
        <w:tc>
          <w:tcPr>
            <w:tcW w:w="895" w:type="dxa"/>
            <w:vMerge w:val="continue"/>
            <w:vAlign w:val="center"/>
          </w:tcPr>
          <w:p w14:paraId="634BB537">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Merge w:val="continue"/>
            <w:vAlign w:val="center"/>
          </w:tcPr>
          <w:p w14:paraId="60D66BFB">
            <w:pPr>
              <w:spacing w:line="240" w:lineRule="auto"/>
              <w:jc w:val="center"/>
              <w:rPr>
                <w:rFonts w:hint="default" w:ascii="Times New Roman" w:hAnsi="Times New Roman" w:eastAsia="宋体" w:cs="Times New Roman"/>
                <w:color w:val="auto"/>
                <w:sz w:val="21"/>
                <w:szCs w:val="21"/>
                <w:highlight w:val="none"/>
                <w:u w:val="single" w:color="auto"/>
              </w:rPr>
            </w:pPr>
          </w:p>
        </w:tc>
        <w:tc>
          <w:tcPr>
            <w:tcW w:w="867" w:type="dxa"/>
            <w:vMerge w:val="continue"/>
            <w:vAlign w:val="center"/>
          </w:tcPr>
          <w:p w14:paraId="6DA3A30B">
            <w:pPr>
              <w:spacing w:line="240" w:lineRule="auto"/>
              <w:jc w:val="center"/>
              <w:rPr>
                <w:rFonts w:hint="default" w:ascii="Times New Roman" w:hAnsi="Times New Roman" w:eastAsia="宋体" w:cs="Times New Roman"/>
                <w:color w:val="auto"/>
                <w:sz w:val="21"/>
                <w:szCs w:val="21"/>
                <w:highlight w:val="none"/>
                <w:u w:val="single" w:color="auto"/>
              </w:rPr>
            </w:pPr>
          </w:p>
        </w:tc>
        <w:tc>
          <w:tcPr>
            <w:tcW w:w="966" w:type="dxa"/>
            <w:vMerge w:val="continue"/>
            <w:vAlign w:val="center"/>
          </w:tcPr>
          <w:p w14:paraId="5DE1F3DC">
            <w:pPr>
              <w:spacing w:line="240" w:lineRule="auto"/>
              <w:jc w:val="center"/>
              <w:rPr>
                <w:rFonts w:hint="default" w:ascii="Times New Roman" w:hAnsi="Times New Roman" w:eastAsia="宋体" w:cs="Times New Roman"/>
                <w:color w:val="auto"/>
                <w:sz w:val="21"/>
                <w:szCs w:val="21"/>
                <w:highlight w:val="none"/>
                <w:u w:val="single" w:color="auto"/>
              </w:rPr>
            </w:pPr>
          </w:p>
        </w:tc>
        <w:tc>
          <w:tcPr>
            <w:tcW w:w="1017" w:type="dxa"/>
            <w:vMerge w:val="continue"/>
            <w:vAlign w:val="center"/>
          </w:tcPr>
          <w:p w14:paraId="63A17720">
            <w:pPr>
              <w:spacing w:line="240" w:lineRule="auto"/>
              <w:jc w:val="center"/>
              <w:rPr>
                <w:rFonts w:hint="default" w:ascii="Times New Roman" w:hAnsi="Times New Roman" w:eastAsia="宋体" w:cs="Times New Roman"/>
                <w:color w:val="auto"/>
                <w:sz w:val="21"/>
                <w:szCs w:val="21"/>
                <w:highlight w:val="none"/>
                <w:u w:val="single" w:color="auto"/>
              </w:rPr>
            </w:pPr>
          </w:p>
        </w:tc>
      </w:tr>
      <w:tr w14:paraId="5EE8C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Align w:val="center"/>
          </w:tcPr>
          <w:p w14:paraId="735C827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金刚石划片刀生产线</w:t>
            </w:r>
          </w:p>
        </w:tc>
        <w:tc>
          <w:tcPr>
            <w:tcW w:w="900" w:type="dxa"/>
            <w:vAlign w:val="center"/>
          </w:tcPr>
          <w:p w14:paraId="0BA446CC">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出光槽</w:t>
            </w:r>
          </w:p>
        </w:tc>
        <w:tc>
          <w:tcPr>
            <w:tcW w:w="875" w:type="dxa"/>
            <w:vAlign w:val="center"/>
          </w:tcPr>
          <w:p w14:paraId="421713A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DA001</w:t>
            </w:r>
          </w:p>
        </w:tc>
        <w:tc>
          <w:tcPr>
            <w:tcW w:w="1117" w:type="dxa"/>
            <w:vAlign w:val="center"/>
          </w:tcPr>
          <w:p w14:paraId="51237195">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895" w:type="dxa"/>
            <w:vAlign w:val="center"/>
          </w:tcPr>
          <w:p w14:paraId="3E60263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rPr>
              <w:t>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w:t>
            </w:r>
            <w:r>
              <w:rPr>
                <w:rFonts w:hint="default" w:ascii="Times New Roman" w:hAnsi="Times New Roman" w:eastAsia="宋体" w:cs="Times New Roman"/>
                <w:color w:val="auto"/>
                <w:sz w:val="21"/>
                <w:szCs w:val="21"/>
                <w:highlight w:val="none"/>
                <w:u w:val="single" w:color="auto"/>
                <w:lang w:val="en-US" w:eastAsia="zh-CN"/>
              </w:rPr>
              <w:t>0</w:t>
            </w:r>
          </w:p>
        </w:tc>
        <w:tc>
          <w:tcPr>
            <w:tcW w:w="1157" w:type="dxa"/>
            <w:vAlign w:val="center"/>
          </w:tcPr>
          <w:p w14:paraId="78C2EDF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867" w:type="dxa"/>
            <w:vAlign w:val="center"/>
          </w:tcPr>
          <w:p w14:paraId="51DB733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25</w:t>
            </w:r>
          </w:p>
        </w:tc>
        <w:tc>
          <w:tcPr>
            <w:tcW w:w="966" w:type="dxa"/>
            <w:vAlign w:val="center"/>
          </w:tcPr>
          <w:p w14:paraId="1314F88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w:t>
            </w:r>
          </w:p>
        </w:tc>
        <w:tc>
          <w:tcPr>
            <w:tcW w:w="1017" w:type="dxa"/>
            <w:vAlign w:val="center"/>
          </w:tcPr>
          <w:p w14:paraId="082E8BF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303</w:t>
            </w:r>
          </w:p>
        </w:tc>
      </w:tr>
      <w:tr w14:paraId="093D9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22CC24F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超硬材料砂轮镀镀超硬材料</w:t>
            </w:r>
            <w:r>
              <w:rPr>
                <w:rFonts w:hint="eastAsia" w:ascii="Times New Roman" w:hAnsi="Times New Roman" w:eastAsia="宋体" w:cs="Times New Roman"/>
                <w:color w:val="auto"/>
                <w:sz w:val="21"/>
                <w:szCs w:val="21"/>
                <w:highlight w:val="none"/>
                <w:u w:val="single" w:color="auto"/>
                <w:lang w:val="en-US" w:eastAsia="zh-CN"/>
              </w:rPr>
              <w:t>工序</w:t>
            </w:r>
          </w:p>
        </w:tc>
        <w:tc>
          <w:tcPr>
            <w:tcW w:w="900" w:type="dxa"/>
            <w:vMerge w:val="restart"/>
            <w:vAlign w:val="center"/>
          </w:tcPr>
          <w:p w14:paraId="6A195CE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875" w:type="dxa"/>
            <w:vMerge w:val="restart"/>
            <w:vAlign w:val="center"/>
          </w:tcPr>
          <w:p w14:paraId="0E22576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DA002</w:t>
            </w:r>
          </w:p>
        </w:tc>
        <w:tc>
          <w:tcPr>
            <w:tcW w:w="1117" w:type="dxa"/>
            <w:vAlign w:val="center"/>
          </w:tcPr>
          <w:p w14:paraId="7AD5F6D9">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95" w:type="dxa"/>
            <w:vMerge w:val="restart"/>
            <w:vAlign w:val="center"/>
          </w:tcPr>
          <w:p w14:paraId="6AC8967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18</w:t>
            </w:r>
            <w:r>
              <w:rPr>
                <w:rFonts w:hint="default" w:ascii="Times New Roman" w:hAnsi="Times New Roman" w:eastAsia="宋体" w:cs="Times New Roman"/>
                <w:color w:val="auto"/>
                <w:sz w:val="21"/>
                <w:szCs w:val="21"/>
                <w:highlight w:val="none"/>
                <w:u w:val="single" w:color="auto"/>
              </w:rPr>
              <w:t>00</w:t>
            </w:r>
            <w:r>
              <w:rPr>
                <w:rFonts w:hint="default" w:ascii="Times New Roman" w:hAnsi="Times New Roman" w:eastAsia="宋体" w:cs="Times New Roman"/>
                <w:color w:val="auto"/>
                <w:sz w:val="21"/>
                <w:szCs w:val="21"/>
                <w:highlight w:val="none"/>
                <w:u w:val="single" w:color="auto"/>
                <w:lang w:val="en-US" w:eastAsia="zh-CN"/>
              </w:rPr>
              <w:t>0</w:t>
            </w:r>
          </w:p>
        </w:tc>
        <w:tc>
          <w:tcPr>
            <w:tcW w:w="1157" w:type="dxa"/>
            <w:vAlign w:val="center"/>
          </w:tcPr>
          <w:p w14:paraId="0FA9682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0.00001</w:t>
            </w:r>
          </w:p>
        </w:tc>
        <w:tc>
          <w:tcPr>
            <w:tcW w:w="867" w:type="dxa"/>
            <w:vMerge w:val="restart"/>
            <w:vAlign w:val="center"/>
          </w:tcPr>
          <w:p w14:paraId="11A0CCB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25</w:t>
            </w:r>
          </w:p>
        </w:tc>
        <w:tc>
          <w:tcPr>
            <w:tcW w:w="966" w:type="dxa"/>
            <w:vMerge w:val="restart"/>
            <w:vAlign w:val="center"/>
          </w:tcPr>
          <w:p w14:paraId="7306536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w:t>
            </w:r>
          </w:p>
        </w:tc>
        <w:tc>
          <w:tcPr>
            <w:tcW w:w="1017" w:type="dxa"/>
            <w:vMerge w:val="restart"/>
            <w:vAlign w:val="center"/>
          </w:tcPr>
          <w:p w14:paraId="66B5D7E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303</w:t>
            </w:r>
          </w:p>
        </w:tc>
      </w:tr>
      <w:tr w14:paraId="273CE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7DD953AA">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00" w:type="dxa"/>
            <w:vMerge w:val="continue"/>
            <w:vAlign w:val="center"/>
          </w:tcPr>
          <w:p w14:paraId="29348F9D">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875" w:type="dxa"/>
            <w:vMerge w:val="continue"/>
            <w:vAlign w:val="center"/>
          </w:tcPr>
          <w:p w14:paraId="471C8805">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17" w:type="dxa"/>
            <w:vAlign w:val="center"/>
          </w:tcPr>
          <w:p w14:paraId="716EB870">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95" w:type="dxa"/>
            <w:vMerge w:val="continue"/>
            <w:vAlign w:val="center"/>
          </w:tcPr>
          <w:p w14:paraId="0C5CDF59">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Align w:val="center"/>
          </w:tcPr>
          <w:p w14:paraId="5209BBF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867" w:type="dxa"/>
            <w:vMerge w:val="continue"/>
            <w:vAlign w:val="center"/>
          </w:tcPr>
          <w:p w14:paraId="41E5B25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966" w:type="dxa"/>
            <w:vMerge w:val="continue"/>
            <w:vAlign w:val="center"/>
          </w:tcPr>
          <w:p w14:paraId="31093DD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17" w:type="dxa"/>
            <w:vMerge w:val="continue"/>
            <w:vAlign w:val="center"/>
          </w:tcPr>
          <w:p w14:paraId="376193A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5AF0E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782649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超硬材料磨头镀镀超硬材料</w:t>
            </w:r>
            <w:r>
              <w:rPr>
                <w:rFonts w:hint="eastAsia" w:ascii="Times New Roman" w:hAnsi="Times New Roman" w:eastAsia="宋体" w:cs="Times New Roman"/>
                <w:color w:val="auto"/>
                <w:sz w:val="21"/>
                <w:szCs w:val="21"/>
                <w:highlight w:val="none"/>
                <w:u w:val="single" w:color="auto"/>
                <w:lang w:val="en-US" w:eastAsia="zh-CN"/>
              </w:rPr>
              <w:t>工序</w:t>
            </w:r>
          </w:p>
        </w:tc>
        <w:tc>
          <w:tcPr>
            <w:tcW w:w="900" w:type="dxa"/>
            <w:vMerge w:val="restart"/>
            <w:vAlign w:val="center"/>
          </w:tcPr>
          <w:p w14:paraId="4F83AEBA">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875" w:type="dxa"/>
            <w:vMerge w:val="restart"/>
            <w:vAlign w:val="center"/>
          </w:tcPr>
          <w:p w14:paraId="0427CEA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DA003</w:t>
            </w:r>
          </w:p>
        </w:tc>
        <w:tc>
          <w:tcPr>
            <w:tcW w:w="1117" w:type="dxa"/>
            <w:vAlign w:val="center"/>
          </w:tcPr>
          <w:p w14:paraId="46B219F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95" w:type="dxa"/>
            <w:vMerge w:val="restart"/>
            <w:vAlign w:val="center"/>
          </w:tcPr>
          <w:p w14:paraId="701E44F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w:t>
            </w:r>
          </w:p>
        </w:tc>
        <w:tc>
          <w:tcPr>
            <w:tcW w:w="1157" w:type="dxa"/>
            <w:vAlign w:val="center"/>
          </w:tcPr>
          <w:p w14:paraId="4722D8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0.000005</w:t>
            </w:r>
          </w:p>
        </w:tc>
        <w:tc>
          <w:tcPr>
            <w:tcW w:w="867" w:type="dxa"/>
            <w:vMerge w:val="restart"/>
            <w:vAlign w:val="center"/>
          </w:tcPr>
          <w:p w14:paraId="44DAC4E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25</w:t>
            </w:r>
          </w:p>
        </w:tc>
        <w:tc>
          <w:tcPr>
            <w:tcW w:w="966" w:type="dxa"/>
            <w:vMerge w:val="restart"/>
            <w:vAlign w:val="center"/>
          </w:tcPr>
          <w:p w14:paraId="7E76D4B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w:t>
            </w:r>
          </w:p>
        </w:tc>
        <w:tc>
          <w:tcPr>
            <w:tcW w:w="1017" w:type="dxa"/>
            <w:vMerge w:val="restart"/>
            <w:vAlign w:val="center"/>
          </w:tcPr>
          <w:p w14:paraId="646C9CB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303</w:t>
            </w:r>
          </w:p>
        </w:tc>
      </w:tr>
      <w:tr w14:paraId="5BDC2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2CE96F3B">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00" w:type="dxa"/>
            <w:vMerge w:val="continue"/>
            <w:vAlign w:val="center"/>
          </w:tcPr>
          <w:p w14:paraId="10E81E75">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875" w:type="dxa"/>
            <w:vMerge w:val="continue"/>
            <w:vAlign w:val="center"/>
          </w:tcPr>
          <w:p w14:paraId="54398571">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17" w:type="dxa"/>
            <w:vAlign w:val="center"/>
          </w:tcPr>
          <w:p w14:paraId="3356EDC9">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95" w:type="dxa"/>
            <w:vMerge w:val="continue"/>
            <w:vAlign w:val="center"/>
          </w:tcPr>
          <w:p w14:paraId="04AF5818">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Align w:val="center"/>
          </w:tcPr>
          <w:p w14:paraId="3FEB37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867" w:type="dxa"/>
            <w:vMerge w:val="continue"/>
            <w:vAlign w:val="center"/>
          </w:tcPr>
          <w:p w14:paraId="566FE46D">
            <w:pPr>
              <w:spacing w:line="240" w:lineRule="auto"/>
              <w:jc w:val="center"/>
              <w:rPr>
                <w:rFonts w:hint="default" w:ascii="Times New Roman" w:hAnsi="Times New Roman" w:eastAsia="宋体" w:cs="Times New Roman"/>
                <w:color w:val="auto"/>
                <w:sz w:val="21"/>
                <w:szCs w:val="21"/>
                <w:highlight w:val="none"/>
                <w:u w:val="single" w:color="auto"/>
              </w:rPr>
            </w:pPr>
          </w:p>
        </w:tc>
        <w:tc>
          <w:tcPr>
            <w:tcW w:w="966" w:type="dxa"/>
            <w:vMerge w:val="continue"/>
            <w:vAlign w:val="center"/>
          </w:tcPr>
          <w:p w14:paraId="67A3B56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17" w:type="dxa"/>
            <w:vMerge w:val="continue"/>
            <w:vAlign w:val="center"/>
          </w:tcPr>
          <w:p w14:paraId="3664F60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7D8C5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1D5CDF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超硬材料套瓦刀及套孔钻镀镀超硬材料</w:t>
            </w:r>
            <w:r>
              <w:rPr>
                <w:rFonts w:hint="eastAsia" w:ascii="Times New Roman" w:hAnsi="Times New Roman" w:eastAsia="宋体" w:cs="Times New Roman"/>
                <w:color w:val="auto"/>
                <w:sz w:val="21"/>
                <w:szCs w:val="21"/>
                <w:highlight w:val="none"/>
                <w:u w:val="single" w:color="auto"/>
                <w:lang w:val="en-US" w:eastAsia="zh-CN"/>
              </w:rPr>
              <w:t>工序</w:t>
            </w:r>
          </w:p>
        </w:tc>
        <w:tc>
          <w:tcPr>
            <w:tcW w:w="900" w:type="dxa"/>
            <w:vMerge w:val="restart"/>
            <w:vAlign w:val="center"/>
          </w:tcPr>
          <w:p w14:paraId="0041DD7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875" w:type="dxa"/>
            <w:vMerge w:val="restart"/>
            <w:vAlign w:val="center"/>
          </w:tcPr>
          <w:p w14:paraId="1B0F34C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DA004</w:t>
            </w:r>
          </w:p>
        </w:tc>
        <w:tc>
          <w:tcPr>
            <w:tcW w:w="1117" w:type="dxa"/>
            <w:vAlign w:val="center"/>
          </w:tcPr>
          <w:p w14:paraId="10345D2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95" w:type="dxa"/>
            <w:vMerge w:val="restart"/>
            <w:vAlign w:val="center"/>
          </w:tcPr>
          <w:p w14:paraId="01B7880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w:t>
            </w:r>
          </w:p>
        </w:tc>
        <w:tc>
          <w:tcPr>
            <w:tcW w:w="1157" w:type="dxa"/>
            <w:vAlign w:val="center"/>
          </w:tcPr>
          <w:p w14:paraId="2FB6E9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0.000003</w:t>
            </w:r>
          </w:p>
        </w:tc>
        <w:tc>
          <w:tcPr>
            <w:tcW w:w="867" w:type="dxa"/>
            <w:vMerge w:val="restart"/>
            <w:vAlign w:val="center"/>
          </w:tcPr>
          <w:p w14:paraId="1041C9A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25</w:t>
            </w:r>
          </w:p>
        </w:tc>
        <w:tc>
          <w:tcPr>
            <w:tcW w:w="966" w:type="dxa"/>
            <w:vMerge w:val="restart"/>
            <w:vAlign w:val="center"/>
          </w:tcPr>
          <w:p w14:paraId="73432F14">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w:t>
            </w:r>
          </w:p>
        </w:tc>
        <w:tc>
          <w:tcPr>
            <w:tcW w:w="1017" w:type="dxa"/>
            <w:vMerge w:val="restart"/>
            <w:vAlign w:val="center"/>
          </w:tcPr>
          <w:p w14:paraId="5534A6C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303</w:t>
            </w:r>
          </w:p>
        </w:tc>
      </w:tr>
      <w:tr w14:paraId="5AA02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0FEF292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00" w:type="dxa"/>
            <w:vMerge w:val="continue"/>
            <w:vAlign w:val="center"/>
          </w:tcPr>
          <w:p w14:paraId="63C3B012">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875" w:type="dxa"/>
            <w:vMerge w:val="continue"/>
            <w:vAlign w:val="center"/>
          </w:tcPr>
          <w:p w14:paraId="4765FB4C">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17" w:type="dxa"/>
            <w:vAlign w:val="center"/>
          </w:tcPr>
          <w:p w14:paraId="5CB283EC">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95" w:type="dxa"/>
            <w:vMerge w:val="continue"/>
            <w:vAlign w:val="center"/>
          </w:tcPr>
          <w:p w14:paraId="7DC28453">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Align w:val="center"/>
          </w:tcPr>
          <w:p w14:paraId="05CF01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0.0004</w:t>
            </w:r>
          </w:p>
        </w:tc>
        <w:tc>
          <w:tcPr>
            <w:tcW w:w="867" w:type="dxa"/>
            <w:vMerge w:val="continue"/>
            <w:vAlign w:val="center"/>
          </w:tcPr>
          <w:p w14:paraId="5DF8BCFE">
            <w:pPr>
              <w:spacing w:line="240" w:lineRule="auto"/>
              <w:jc w:val="center"/>
              <w:rPr>
                <w:rFonts w:hint="default" w:ascii="Times New Roman" w:hAnsi="Times New Roman" w:eastAsia="宋体" w:cs="Times New Roman"/>
                <w:color w:val="auto"/>
                <w:sz w:val="21"/>
                <w:szCs w:val="21"/>
                <w:highlight w:val="none"/>
                <w:u w:val="single" w:color="auto"/>
              </w:rPr>
            </w:pPr>
          </w:p>
        </w:tc>
        <w:tc>
          <w:tcPr>
            <w:tcW w:w="966" w:type="dxa"/>
            <w:vMerge w:val="continue"/>
            <w:vAlign w:val="center"/>
          </w:tcPr>
          <w:p w14:paraId="438608C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17" w:type="dxa"/>
            <w:vMerge w:val="continue"/>
            <w:vAlign w:val="center"/>
          </w:tcPr>
          <w:p w14:paraId="781516A7">
            <w:pPr>
              <w:spacing w:line="240" w:lineRule="auto"/>
              <w:jc w:val="center"/>
              <w:rPr>
                <w:rFonts w:hint="default" w:ascii="Times New Roman" w:hAnsi="Times New Roman" w:eastAsia="宋体" w:cs="Times New Roman"/>
                <w:color w:val="auto"/>
                <w:sz w:val="21"/>
                <w:szCs w:val="21"/>
                <w:highlight w:val="none"/>
                <w:u w:val="single" w:color="auto"/>
              </w:rPr>
            </w:pPr>
          </w:p>
        </w:tc>
      </w:tr>
      <w:tr w14:paraId="09BBA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46BD579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超硬材料砂轮、超硬材料磨头、超硬材料套瓦刀及套孔钻装饰镀</w:t>
            </w:r>
            <w:r>
              <w:rPr>
                <w:rFonts w:hint="eastAsia" w:ascii="Times New Roman" w:hAnsi="Times New Roman" w:eastAsia="宋体" w:cs="Times New Roman"/>
                <w:color w:val="auto"/>
                <w:sz w:val="21"/>
                <w:szCs w:val="21"/>
                <w:highlight w:val="none"/>
                <w:u w:val="single" w:color="auto"/>
                <w:lang w:val="en-US" w:eastAsia="zh-CN"/>
              </w:rPr>
              <w:t>工序</w:t>
            </w:r>
          </w:p>
        </w:tc>
        <w:tc>
          <w:tcPr>
            <w:tcW w:w="900" w:type="dxa"/>
            <w:vMerge w:val="restart"/>
            <w:vAlign w:val="center"/>
          </w:tcPr>
          <w:p w14:paraId="601509A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875" w:type="dxa"/>
            <w:vMerge w:val="restart"/>
            <w:vAlign w:val="center"/>
          </w:tcPr>
          <w:p w14:paraId="2E5689F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DA005</w:t>
            </w:r>
          </w:p>
        </w:tc>
        <w:tc>
          <w:tcPr>
            <w:tcW w:w="1117" w:type="dxa"/>
            <w:vAlign w:val="center"/>
          </w:tcPr>
          <w:p w14:paraId="205068B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95" w:type="dxa"/>
            <w:vMerge w:val="restart"/>
            <w:vAlign w:val="center"/>
          </w:tcPr>
          <w:p w14:paraId="265AE96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w:t>
            </w:r>
          </w:p>
        </w:tc>
        <w:tc>
          <w:tcPr>
            <w:tcW w:w="1157" w:type="dxa"/>
            <w:vAlign w:val="center"/>
          </w:tcPr>
          <w:p w14:paraId="3034F29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867" w:type="dxa"/>
            <w:vMerge w:val="restart"/>
            <w:vAlign w:val="center"/>
          </w:tcPr>
          <w:p w14:paraId="3446DA2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25</w:t>
            </w:r>
          </w:p>
        </w:tc>
        <w:tc>
          <w:tcPr>
            <w:tcW w:w="966" w:type="dxa"/>
            <w:vMerge w:val="restart"/>
            <w:vAlign w:val="center"/>
          </w:tcPr>
          <w:p w14:paraId="024E1E3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w:t>
            </w:r>
          </w:p>
        </w:tc>
        <w:tc>
          <w:tcPr>
            <w:tcW w:w="1017" w:type="dxa"/>
            <w:vMerge w:val="restart"/>
            <w:vAlign w:val="center"/>
          </w:tcPr>
          <w:p w14:paraId="388D4EA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303</w:t>
            </w:r>
          </w:p>
        </w:tc>
      </w:tr>
      <w:tr w14:paraId="27F62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5889A78A">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00" w:type="dxa"/>
            <w:vMerge w:val="continue"/>
            <w:vAlign w:val="center"/>
          </w:tcPr>
          <w:p w14:paraId="7C30CCF6">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875" w:type="dxa"/>
            <w:vMerge w:val="continue"/>
            <w:vAlign w:val="center"/>
          </w:tcPr>
          <w:p w14:paraId="11B6C624">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17" w:type="dxa"/>
            <w:vAlign w:val="center"/>
          </w:tcPr>
          <w:p w14:paraId="30D225EE">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95" w:type="dxa"/>
            <w:vMerge w:val="continue"/>
            <w:vAlign w:val="center"/>
          </w:tcPr>
          <w:p w14:paraId="52D2707D">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Align w:val="center"/>
          </w:tcPr>
          <w:p w14:paraId="67D0A0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0.0001</w:t>
            </w:r>
          </w:p>
        </w:tc>
        <w:tc>
          <w:tcPr>
            <w:tcW w:w="867" w:type="dxa"/>
            <w:vMerge w:val="continue"/>
            <w:vAlign w:val="center"/>
          </w:tcPr>
          <w:p w14:paraId="1FD7E9A8">
            <w:pPr>
              <w:spacing w:line="240" w:lineRule="auto"/>
              <w:jc w:val="center"/>
              <w:rPr>
                <w:rFonts w:hint="default" w:ascii="Times New Roman" w:hAnsi="Times New Roman" w:eastAsia="宋体" w:cs="Times New Roman"/>
                <w:color w:val="auto"/>
                <w:sz w:val="21"/>
                <w:szCs w:val="21"/>
                <w:highlight w:val="none"/>
                <w:u w:val="single" w:color="auto"/>
              </w:rPr>
            </w:pPr>
          </w:p>
        </w:tc>
        <w:tc>
          <w:tcPr>
            <w:tcW w:w="966" w:type="dxa"/>
            <w:vMerge w:val="continue"/>
            <w:vAlign w:val="center"/>
          </w:tcPr>
          <w:p w14:paraId="60866B2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17" w:type="dxa"/>
            <w:vMerge w:val="continue"/>
            <w:vAlign w:val="center"/>
          </w:tcPr>
          <w:p w14:paraId="452F3519">
            <w:pPr>
              <w:spacing w:line="240" w:lineRule="auto"/>
              <w:jc w:val="center"/>
              <w:rPr>
                <w:rFonts w:hint="default" w:ascii="Times New Roman" w:hAnsi="Times New Roman" w:eastAsia="宋体" w:cs="Times New Roman"/>
                <w:color w:val="auto"/>
                <w:sz w:val="21"/>
                <w:szCs w:val="21"/>
                <w:highlight w:val="none"/>
                <w:u w:val="single" w:color="auto"/>
              </w:rPr>
            </w:pPr>
          </w:p>
        </w:tc>
      </w:tr>
      <w:tr w14:paraId="27E13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39E7749B">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退镀线</w:t>
            </w:r>
            <w:r>
              <w:rPr>
                <w:rFonts w:hint="default" w:ascii="Times New Roman" w:hAnsi="Times New Roman" w:eastAsia="宋体" w:cs="Times New Roman"/>
                <w:color w:val="auto"/>
                <w:sz w:val="21"/>
                <w:szCs w:val="21"/>
                <w:highlight w:val="none"/>
                <w:u w:val="single" w:color="auto"/>
                <w:lang w:val="en-US" w:eastAsia="zh-CN"/>
              </w:rPr>
              <w:t>1</w:t>
            </w:r>
          </w:p>
        </w:tc>
        <w:tc>
          <w:tcPr>
            <w:tcW w:w="900" w:type="dxa"/>
            <w:vMerge w:val="restart"/>
            <w:vAlign w:val="center"/>
          </w:tcPr>
          <w:p w14:paraId="7CD50C7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退镀槽</w:t>
            </w:r>
          </w:p>
        </w:tc>
        <w:tc>
          <w:tcPr>
            <w:tcW w:w="875" w:type="dxa"/>
            <w:vMerge w:val="continue"/>
            <w:vAlign w:val="center"/>
          </w:tcPr>
          <w:p w14:paraId="626EC540">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17" w:type="dxa"/>
            <w:vAlign w:val="center"/>
          </w:tcPr>
          <w:p w14:paraId="4CF1FFF0">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95" w:type="dxa"/>
            <w:vMerge w:val="continue"/>
            <w:vAlign w:val="center"/>
          </w:tcPr>
          <w:p w14:paraId="554EB92F">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Align w:val="center"/>
          </w:tcPr>
          <w:p w14:paraId="6746D28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867" w:type="dxa"/>
            <w:vMerge w:val="continue"/>
            <w:vAlign w:val="center"/>
          </w:tcPr>
          <w:p w14:paraId="523613A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966" w:type="dxa"/>
            <w:vMerge w:val="continue"/>
            <w:vAlign w:val="center"/>
          </w:tcPr>
          <w:p w14:paraId="023760C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17" w:type="dxa"/>
            <w:vMerge w:val="continue"/>
            <w:vAlign w:val="center"/>
          </w:tcPr>
          <w:p w14:paraId="45A7400D">
            <w:pPr>
              <w:spacing w:line="240" w:lineRule="auto"/>
              <w:jc w:val="center"/>
              <w:rPr>
                <w:rFonts w:hint="default" w:ascii="Times New Roman" w:hAnsi="Times New Roman" w:eastAsia="宋体" w:cs="Times New Roman"/>
                <w:color w:val="auto"/>
                <w:sz w:val="21"/>
                <w:szCs w:val="21"/>
                <w:highlight w:val="none"/>
                <w:u w:val="single" w:color="auto"/>
              </w:rPr>
            </w:pPr>
          </w:p>
        </w:tc>
      </w:tr>
      <w:tr w14:paraId="4DE13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7A405629">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00" w:type="dxa"/>
            <w:vMerge w:val="continue"/>
            <w:vAlign w:val="center"/>
          </w:tcPr>
          <w:p w14:paraId="27E4A735">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875" w:type="dxa"/>
            <w:vMerge w:val="continue"/>
            <w:vAlign w:val="center"/>
          </w:tcPr>
          <w:p w14:paraId="5D4E4C7C">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17" w:type="dxa"/>
            <w:vAlign w:val="center"/>
          </w:tcPr>
          <w:p w14:paraId="76E57435">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895" w:type="dxa"/>
            <w:vMerge w:val="continue"/>
            <w:vAlign w:val="center"/>
          </w:tcPr>
          <w:p w14:paraId="3960BAB1">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Align w:val="center"/>
          </w:tcPr>
          <w:p w14:paraId="16AA834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0.002</w:t>
            </w:r>
          </w:p>
        </w:tc>
        <w:tc>
          <w:tcPr>
            <w:tcW w:w="867" w:type="dxa"/>
            <w:vMerge w:val="continue"/>
            <w:vAlign w:val="center"/>
          </w:tcPr>
          <w:p w14:paraId="77F05850">
            <w:pPr>
              <w:spacing w:line="240" w:lineRule="auto"/>
              <w:jc w:val="center"/>
              <w:rPr>
                <w:rFonts w:hint="default" w:ascii="Times New Roman" w:hAnsi="Times New Roman" w:eastAsia="宋体" w:cs="Times New Roman"/>
                <w:color w:val="auto"/>
                <w:sz w:val="21"/>
                <w:szCs w:val="21"/>
                <w:highlight w:val="none"/>
                <w:u w:val="single" w:color="auto"/>
                <w:lang w:val="en-US"/>
              </w:rPr>
            </w:pPr>
          </w:p>
        </w:tc>
        <w:tc>
          <w:tcPr>
            <w:tcW w:w="966" w:type="dxa"/>
            <w:vMerge w:val="continue"/>
            <w:vAlign w:val="center"/>
          </w:tcPr>
          <w:p w14:paraId="648618F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17" w:type="dxa"/>
            <w:vMerge w:val="continue"/>
            <w:vAlign w:val="center"/>
          </w:tcPr>
          <w:p w14:paraId="4424B856">
            <w:pPr>
              <w:spacing w:line="240" w:lineRule="auto"/>
              <w:jc w:val="center"/>
              <w:rPr>
                <w:rFonts w:hint="default" w:ascii="Times New Roman" w:hAnsi="Times New Roman" w:eastAsia="宋体" w:cs="Times New Roman"/>
                <w:color w:val="auto"/>
                <w:sz w:val="21"/>
                <w:szCs w:val="21"/>
                <w:highlight w:val="none"/>
                <w:u w:val="single" w:color="auto"/>
              </w:rPr>
            </w:pPr>
          </w:p>
        </w:tc>
      </w:tr>
      <w:tr w14:paraId="32DC7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219" w:type="dxa"/>
            <w:vMerge w:val="restart"/>
            <w:vAlign w:val="center"/>
          </w:tcPr>
          <w:p w14:paraId="1A1B79A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实验室</w:t>
            </w:r>
          </w:p>
        </w:tc>
        <w:tc>
          <w:tcPr>
            <w:tcW w:w="900" w:type="dxa"/>
            <w:vMerge w:val="restart"/>
            <w:vAlign w:val="center"/>
          </w:tcPr>
          <w:p w14:paraId="395422AD">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活化槽</w:t>
            </w:r>
          </w:p>
        </w:tc>
        <w:tc>
          <w:tcPr>
            <w:tcW w:w="875" w:type="dxa"/>
            <w:vMerge w:val="restart"/>
            <w:vAlign w:val="center"/>
          </w:tcPr>
          <w:p w14:paraId="2580145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DA006</w:t>
            </w:r>
          </w:p>
        </w:tc>
        <w:tc>
          <w:tcPr>
            <w:tcW w:w="1117" w:type="dxa"/>
            <w:vAlign w:val="center"/>
          </w:tcPr>
          <w:p w14:paraId="26788B50">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95" w:type="dxa"/>
            <w:vMerge w:val="restart"/>
            <w:vAlign w:val="center"/>
          </w:tcPr>
          <w:p w14:paraId="723D9AA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r>
              <w:rPr>
                <w:rFonts w:hint="default" w:ascii="Times New Roman" w:hAnsi="Times New Roman" w:eastAsia="宋体" w:cs="Times New Roman"/>
                <w:color w:val="auto"/>
                <w:sz w:val="21"/>
                <w:szCs w:val="21"/>
                <w:highlight w:val="none"/>
                <w:u w:val="single" w:color="auto"/>
                <w:lang w:val="en-US" w:eastAsia="zh-CN"/>
              </w:rPr>
              <w:t>8</w:t>
            </w:r>
            <w:r>
              <w:rPr>
                <w:rFonts w:hint="default" w:ascii="Times New Roman" w:hAnsi="Times New Roman" w:eastAsia="宋体" w:cs="Times New Roman"/>
                <w:color w:val="auto"/>
                <w:sz w:val="21"/>
                <w:szCs w:val="21"/>
                <w:highlight w:val="none"/>
                <w:u w:val="single" w:color="auto"/>
              </w:rPr>
              <w:t>000</w:t>
            </w:r>
          </w:p>
        </w:tc>
        <w:tc>
          <w:tcPr>
            <w:tcW w:w="1157" w:type="dxa"/>
            <w:vAlign w:val="center"/>
          </w:tcPr>
          <w:p w14:paraId="6EB4063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867" w:type="dxa"/>
            <w:vMerge w:val="restart"/>
            <w:vAlign w:val="center"/>
          </w:tcPr>
          <w:p w14:paraId="5DB1012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25</w:t>
            </w:r>
          </w:p>
        </w:tc>
        <w:tc>
          <w:tcPr>
            <w:tcW w:w="966" w:type="dxa"/>
            <w:vMerge w:val="restart"/>
            <w:vAlign w:val="center"/>
          </w:tcPr>
          <w:p w14:paraId="3350A9C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w:t>
            </w:r>
          </w:p>
        </w:tc>
        <w:tc>
          <w:tcPr>
            <w:tcW w:w="1017" w:type="dxa"/>
            <w:vMerge w:val="restart"/>
            <w:vAlign w:val="center"/>
          </w:tcPr>
          <w:p w14:paraId="22DCF76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val="en-US" w:eastAsia="zh-CN"/>
              </w:rPr>
              <w:t>303</w:t>
            </w:r>
          </w:p>
        </w:tc>
      </w:tr>
      <w:tr w14:paraId="0206D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40EFD8C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00" w:type="dxa"/>
            <w:vMerge w:val="continue"/>
            <w:vAlign w:val="center"/>
          </w:tcPr>
          <w:p w14:paraId="7D2B92B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875" w:type="dxa"/>
            <w:vMerge w:val="continue"/>
            <w:vAlign w:val="center"/>
          </w:tcPr>
          <w:p w14:paraId="38C58EB3">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17" w:type="dxa"/>
            <w:vAlign w:val="center"/>
          </w:tcPr>
          <w:p w14:paraId="5A015379">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895" w:type="dxa"/>
            <w:vMerge w:val="continue"/>
            <w:vAlign w:val="center"/>
          </w:tcPr>
          <w:p w14:paraId="519A762B">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Align w:val="center"/>
          </w:tcPr>
          <w:p w14:paraId="58F800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0.0003</w:t>
            </w:r>
          </w:p>
        </w:tc>
        <w:tc>
          <w:tcPr>
            <w:tcW w:w="867" w:type="dxa"/>
            <w:vMerge w:val="continue"/>
            <w:vAlign w:val="center"/>
          </w:tcPr>
          <w:p w14:paraId="172B65D2">
            <w:pPr>
              <w:spacing w:line="240" w:lineRule="auto"/>
              <w:jc w:val="center"/>
              <w:rPr>
                <w:rFonts w:hint="default" w:ascii="Times New Roman" w:hAnsi="Times New Roman" w:eastAsia="宋体" w:cs="Times New Roman"/>
                <w:color w:val="auto"/>
                <w:sz w:val="21"/>
                <w:szCs w:val="21"/>
                <w:highlight w:val="none"/>
                <w:u w:val="single" w:color="auto"/>
              </w:rPr>
            </w:pPr>
          </w:p>
        </w:tc>
        <w:tc>
          <w:tcPr>
            <w:tcW w:w="966" w:type="dxa"/>
            <w:vMerge w:val="continue"/>
            <w:vAlign w:val="center"/>
          </w:tcPr>
          <w:p w14:paraId="5030889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17" w:type="dxa"/>
            <w:vMerge w:val="continue"/>
            <w:vAlign w:val="center"/>
          </w:tcPr>
          <w:p w14:paraId="23A02CB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2DB3E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restart"/>
            <w:vAlign w:val="center"/>
          </w:tcPr>
          <w:p w14:paraId="4A11985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退镀线</w:t>
            </w:r>
            <w:r>
              <w:rPr>
                <w:rFonts w:hint="default" w:ascii="Times New Roman" w:hAnsi="Times New Roman" w:eastAsia="宋体" w:cs="Times New Roman"/>
                <w:color w:val="auto"/>
                <w:sz w:val="21"/>
                <w:szCs w:val="21"/>
                <w:highlight w:val="none"/>
                <w:u w:val="single" w:color="auto"/>
                <w:lang w:val="en-US" w:eastAsia="zh-CN"/>
              </w:rPr>
              <w:t>2</w:t>
            </w:r>
          </w:p>
        </w:tc>
        <w:tc>
          <w:tcPr>
            <w:tcW w:w="900" w:type="dxa"/>
            <w:vMerge w:val="restart"/>
            <w:vAlign w:val="center"/>
          </w:tcPr>
          <w:p w14:paraId="7738D4A0">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退镀槽</w:t>
            </w:r>
          </w:p>
        </w:tc>
        <w:tc>
          <w:tcPr>
            <w:tcW w:w="875" w:type="dxa"/>
            <w:vMerge w:val="continue"/>
            <w:vAlign w:val="center"/>
          </w:tcPr>
          <w:p w14:paraId="6D2AA439">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17" w:type="dxa"/>
            <w:vAlign w:val="center"/>
          </w:tcPr>
          <w:p w14:paraId="66BBFC4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895" w:type="dxa"/>
            <w:vMerge w:val="continue"/>
            <w:vAlign w:val="center"/>
          </w:tcPr>
          <w:p w14:paraId="41F8B2C5">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Align w:val="center"/>
          </w:tcPr>
          <w:p w14:paraId="3881F1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w:t>
            </w:r>
          </w:p>
        </w:tc>
        <w:tc>
          <w:tcPr>
            <w:tcW w:w="867" w:type="dxa"/>
            <w:vMerge w:val="continue"/>
            <w:vAlign w:val="center"/>
          </w:tcPr>
          <w:p w14:paraId="670338F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966" w:type="dxa"/>
            <w:vMerge w:val="continue"/>
            <w:vAlign w:val="center"/>
          </w:tcPr>
          <w:p w14:paraId="256F632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17" w:type="dxa"/>
            <w:vMerge w:val="continue"/>
            <w:vAlign w:val="center"/>
          </w:tcPr>
          <w:p w14:paraId="6E9E130E">
            <w:pPr>
              <w:spacing w:line="240" w:lineRule="auto"/>
              <w:jc w:val="center"/>
              <w:rPr>
                <w:rFonts w:hint="default" w:ascii="Times New Roman" w:hAnsi="Times New Roman" w:eastAsia="宋体" w:cs="Times New Roman"/>
                <w:color w:val="auto"/>
                <w:sz w:val="21"/>
                <w:szCs w:val="21"/>
                <w:highlight w:val="none"/>
                <w:u w:val="single" w:color="auto"/>
              </w:rPr>
            </w:pPr>
          </w:p>
        </w:tc>
      </w:tr>
      <w:tr w14:paraId="0E060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Merge w:val="continue"/>
            <w:vAlign w:val="center"/>
          </w:tcPr>
          <w:p w14:paraId="51BA76F5">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900" w:type="dxa"/>
            <w:vMerge w:val="continue"/>
            <w:vAlign w:val="center"/>
          </w:tcPr>
          <w:p w14:paraId="5080D89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875" w:type="dxa"/>
            <w:vMerge w:val="continue"/>
            <w:vAlign w:val="center"/>
          </w:tcPr>
          <w:p w14:paraId="3B284D3F">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117" w:type="dxa"/>
            <w:vAlign w:val="center"/>
          </w:tcPr>
          <w:p w14:paraId="1B9D29C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895" w:type="dxa"/>
            <w:vMerge w:val="continue"/>
            <w:vAlign w:val="center"/>
          </w:tcPr>
          <w:p w14:paraId="27700EBA">
            <w:pPr>
              <w:spacing w:line="240" w:lineRule="auto"/>
              <w:jc w:val="center"/>
              <w:rPr>
                <w:rFonts w:hint="default" w:ascii="Times New Roman" w:hAnsi="Times New Roman" w:eastAsia="宋体" w:cs="Times New Roman"/>
                <w:color w:val="auto"/>
                <w:sz w:val="21"/>
                <w:szCs w:val="21"/>
                <w:highlight w:val="none"/>
                <w:u w:val="single" w:color="auto"/>
              </w:rPr>
            </w:pPr>
          </w:p>
        </w:tc>
        <w:tc>
          <w:tcPr>
            <w:tcW w:w="1157" w:type="dxa"/>
            <w:vAlign w:val="center"/>
          </w:tcPr>
          <w:p w14:paraId="048FCF7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0.002</w:t>
            </w:r>
          </w:p>
        </w:tc>
        <w:tc>
          <w:tcPr>
            <w:tcW w:w="867" w:type="dxa"/>
            <w:vMerge w:val="continue"/>
            <w:vAlign w:val="center"/>
          </w:tcPr>
          <w:p w14:paraId="771E3AA0">
            <w:pPr>
              <w:spacing w:line="240" w:lineRule="auto"/>
              <w:jc w:val="center"/>
              <w:rPr>
                <w:rFonts w:hint="default" w:ascii="Times New Roman" w:hAnsi="Times New Roman" w:eastAsia="宋体" w:cs="Times New Roman"/>
                <w:color w:val="auto"/>
                <w:sz w:val="21"/>
                <w:szCs w:val="21"/>
                <w:highlight w:val="none"/>
                <w:u w:val="single" w:color="auto"/>
                <w:lang w:val="en-US"/>
              </w:rPr>
            </w:pPr>
          </w:p>
        </w:tc>
        <w:tc>
          <w:tcPr>
            <w:tcW w:w="966" w:type="dxa"/>
            <w:vMerge w:val="continue"/>
            <w:vAlign w:val="center"/>
          </w:tcPr>
          <w:p w14:paraId="51AAAAE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017" w:type="dxa"/>
            <w:vMerge w:val="continue"/>
            <w:vAlign w:val="center"/>
          </w:tcPr>
          <w:p w14:paraId="42AD9AC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5AE47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9" w:type="dxa"/>
            <w:vAlign w:val="center"/>
          </w:tcPr>
          <w:p w14:paraId="2BB8434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烧结超硬材料</w:t>
            </w:r>
          </w:p>
        </w:tc>
        <w:tc>
          <w:tcPr>
            <w:tcW w:w="900" w:type="dxa"/>
            <w:vAlign w:val="center"/>
          </w:tcPr>
          <w:p w14:paraId="4AF697E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树脂粉压制、烧结</w:t>
            </w:r>
          </w:p>
        </w:tc>
        <w:tc>
          <w:tcPr>
            <w:tcW w:w="875" w:type="dxa"/>
            <w:vAlign w:val="center"/>
          </w:tcPr>
          <w:p w14:paraId="5E8C70E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DA007</w:t>
            </w:r>
          </w:p>
        </w:tc>
        <w:tc>
          <w:tcPr>
            <w:tcW w:w="1117" w:type="dxa"/>
            <w:vAlign w:val="center"/>
          </w:tcPr>
          <w:p w14:paraId="1D2AEBD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非甲烷总烃</w:t>
            </w:r>
          </w:p>
        </w:tc>
        <w:tc>
          <w:tcPr>
            <w:tcW w:w="895" w:type="dxa"/>
            <w:vAlign w:val="center"/>
          </w:tcPr>
          <w:p w14:paraId="7BD034DA">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5</w:t>
            </w:r>
            <w:r>
              <w:rPr>
                <w:rFonts w:hint="default" w:ascii="Times New Roman" w:hAnsi="Times New Roman" w:eastAsia="宋体" w:cs="Times New Roman"/>
                <w:color w:val="auto"/>
                <w:sz w:val="21"/>
                <w:szCs w:val="21"/>
                <w:highlight w:val="none"/>
                <w:u w:val="single" w:color="auto"/>
              </w:rPr>
              <w:t>000</w:t>
            </w:r>
          </w:p>
        </w:tc>
        <w:tc>
          <w:tcPr>
            <w:tcW w:w="1157" w:type="dxa"/>
            <w:vAlign w:val="center"/>
          </w:tcPr>
          <w:p w14:paraId="70D6645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0.017</w:t>
            </w:r>
          </w:p>
        </w:tc>
        <w:tc>
          <w:tcPr>
            <w:tcW w:w="867" w:type="dxa"/>
            <w:vAlign w:val="center"/>
          </w:tcPr>
          <w:p w14:paraId="41BDAB3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single" w:color="auto"/>
                <w:lang w:val="en-US" w:eastAsia="zh-CN"/>
              </w:rPr>
              <w:t>15</w:t>
            </w:r>
          </w:p>
        </w:tc>
        <w:tc>
          <w:tcPr>
            <w:tcW w:w="966" w:type="dxa"/>
            <w:vAlign w:val="center"/>
          </w:tcPr>
          <w:p w14:paraId="09FF010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w:t>
            </w:r>
          </w:p>
        </w:tc>
        <w:tc>
          <w:tcPr>
            <w:tcW w:w="1017" w:type="dxa"/>
            <w:vAlign w:val="center"/>
          </w:tcPr>
          <w:p w14:paraId="6CFA3C7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333</w:t>
            </w:r>
          </w:p>
        </w:tc>
      </w:tr>
    </w:tbl>
    <w:p w14:paraId="5E50EBDC">
      <w:pPr>
        <w:ind w:firstLine="422" w:firstLineChars="200"/>
        <w:jc w:val="center"/>
        <w:rPr>
          <w:rFonts w:hint="default" w:ascii="Times New Roman" w:hAnsi="Times New Roman" w:eastAsia="宋体" w:cs="Times New Roman"/>
          <w:b/>
          <w:strike w:val="0"/>
          <w:dstrike w:val="0"/>
          <w:color w:val="auto"/>
          <w:sz w:val="21"/>
          <w:szCs w:val="18"/>
          <w:highlight w:val="none"/>
          <w:u w:val="single" w:color="auto"/>
        </w:rPr>
      </w:pPr>
    </w:p>
    <w:p w14:paraId="7FE96B8B">
      <w:pPr>
        <w:ind w:firstLine="422" w:firstLineChars="200"/>
        <w:jc w:val="center"/>
        <w:rPr>
          <w:rFonts w:hint="default" w:ascii="Times New Roman" w:hAnsi="Times New Roman" w:eastAsia="宋体" w:cs="Times New Roman"/>
          <w:b/>
          <w:strike w:val="0"/>
          <w:dstrike w:val="0"/>
          <w:color w:val="auto"/>
          <w:sz w:val="21"/>
          <w:szCs w:val="18"/>
          <w:highlight w:val="none"/>
          <w:u w:val="single" w:color="auto"/>
        </w:rPr>
      </w:pPr>
    </w:p>
    <w:p w14:paraId="4521071A">
      <w:pPr>
        <w:ind w:firstLine="422" w:firstLineChars="200"/>
        <w:jc w:val="center"/>
        <w:rPr>
          <w:rFonts w:hint="default" w:ascii="Times New Roman" w:hAnsi="Times New Roman" w:eastAsia="宋体" w:cs="Times New Roman"/>
          <w:b/>
          <w:strike w:val="0"/>
          <w:dstrike w:val="0"/>
          <w:color w:val="auto"/>
          <w:sz w:val="21"/>
          <w:szCs w:val="18"/>
          <w:highlight w:val="none"/>
          <w:u w:val="single" w:color="auto"/>
        </w:rPr>
      </w:pPr>
      <w:r>
        <w:rPr>
          <w:rFonts w:hint="default" w:ascii="Times New Roman" w:hAnsi="Times New Roman" w:eastAsia="宋体" w:cs="Times New Roman"/>
          <w:b/>
          <w:strike w:val="0"/>
          <w:dstrike w:val="0"/>
          <w:color w:val="auto"/>
          <w:sz w:val="21"/>
          <w:szCs w:val="18"/>
          <w:highlight w:val="none"/>
          <w:u w:val="single" w:color="auto"/>
        </w:rPr>
        <w:t>表</w:t>
      </w:r>
      <w:r>
        <w:rPr>
          <w:rFonts w:hint="default" w:ascii="Times New Roman" w:hAnsi="Times New Roman" w:eastAsia="宋体" w:cs="Times New Roman"/>
          <w:b/>
          <w:strike w:val="0"/>
          <w:dstrike w:val="0"/>
          <w:color w:val="auto"/>
          <w:sz w:val="21"/>
          <w:szCs w:val="18"/>
          <w:highlight w:val="none"/>
          <w:u w:val="single" w:color="auto"/>
          <w:lang w:val="en-US" w:eastAsia="zh-CN"/>
        </w:rPr>
        <w:t>7</w:t>
      </w:r>
      <w:r>
        <w:rPr>
          <w:rFonts w:hint="default" w:ascii="Times New Roman" w:hAnsi="Times New Roman" w:eastAsia="宋体" w:cs="Times New Roman"/>
          <w:b/>
          <w:strike w:val="0"/>
          <w:dstrike w:val="0"/>
          <w:color w:val="auto"/>
          <w:sz w:val="21"/>
          <w:szCs w:val="18"/>
          <w:highlight w:val="none"/>
          <w:u w:val="single" w:color="auto"/>
        </w:rPr>
        <w:t>.2-2本项目无组织污染源排放源强及排放参数一览表</w:t>
      </w:r>
    </w:p>
    <w:tbl>
      <w:tblPr>
        <w:tblStyle w:val="22"/>
        <w:tblW w:w="531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4"/>
        <w:gridCol w:w="1310"/>
        <w:gridCol w:w="863"/>
        <w:gridCol w:w="863"/>
        <w:gridCol w:w="890"/>
        <w:gridCol w:w="915"/>
        <w:gridCol w:w="1098"/>
        <w:gridCol w:w="2014"/>
      </w:tblGrid>
      <w:tr w14:paraId="1A850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609" w:type="pct"/>
            <w:vMerge w:val="restart"/>
            <w:vAlign w:val="center"/>
          </w:tcPr>
          <w:p w14:paraId="7031D35E">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车间名称</w:t>
            </w:r>
          </w:p>
        </w:tc>
        <w:tc>
          <w:tcPr>
            <w:tcW w:w="723" w:type="pct"/>
            <w:vMerge w:val="restart"/>
            <w:vAlign w:val="center"/>
          </w:tcPr>
          <w:p w14:paraId="13818A88">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污染因子</w:t>
            </w:r>
          </w:p>
        </w:tc>
        <w:tc>
          <w:tcPr>
            <w:tcW w:w="1443" w:type="pct"/>
            <w:gridSpan w:val="3"/>
            <w:vAlign w:val="center"/>
          </w:tcPr>
          <w:p w14:paraId="4391B1DC">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排放参数</w:t>
            </w:r>
          </w:p>
        </w:tc>
        <w:tc>
          <w:tcPr>
            <w:tcW w:w="1111" w:type="pct"/>
            <w:gridSpan w:val="2"/>
            <w:vAlign w:val="center"/>
          </w:tcPr>
          <w:p w14:paraId="706BBD7E">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污染物排放情况</w:t>
            </w:r>
          </w:p>
        </w:tc>
        <w:tc>
          <w:tcPr>
            <w:tcW w:w="1111" w:type="pct"/>
            <w:vMerge w:val="restart"/>
            <w:vAlign w:val="center"/>
          </w:tcPr>
          <w:p w14:paraId="67707D72">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b w:val="0"/>
                <w:bCs w:val="0"/>
                <w:strike w:val="0"/>
                <w:dstrike w:val="0"/>
                <w:color w:val="auto"/>
                <w:sz w:val="21"/>
                <w:szCs w:val="21"/>
                <w:highlight w:val="none"/>
                <w:u w:val="single" w:color="auto"/>
              </w:rPr>
              <w:t>排放标准</w:t>
            </w:r>
          </w:p>
          <w:p w14:paraId="5CC58AE1">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b w:val="0"/>
                <w:bCs w:val="0"/>
                <w:strike w:val="0"/>
                <w:dstrike w:val="0"/>
                <w:color w:val="auto"/>
                <w:sz w:val="21"/>
                <w:szCs w:val="21"/>
                <w:highlight w:val="none"/>
                <w:u w:val="single" w:color="auto"/>
              </w:rPr>
              <w:t>（mg/m</w:t>
            </w:r>
            <w:r>
              <w:rPr>
                <w:rFonts w:hint="default" w:ascii="Times New Roman" w:hAnsi="Times New Roman" w:eastAsia="宋体" w:cs="Times New Roman"/>
                <w:b w:val="0"/>
                <w:bCs w:val="0"/>
                <w:strike w:val="0"/>
                <w:dstrike w:val="0"/>
                <w:color w:val="auto"/>
                <w:sz w:val="21"/>
                <w:szCs w:val="21"/>
                <w:highlight w:val="none"/>
                <w:u w:val="single" w:color="auto"/>
                <w:vertAlign w:val="superscript"/>
              </w:rPr>
              <w:t>3</w:t>
            </w:r>
            <w:r>
              <w:rPr>
                <w:rFonts w:hint="default" w:ascii="Times New Roman" w:hAnsi="Times New Roman" w:eastAsia="宋体" w:cs="Times New Roman"/>
                <w:b w:val="0"/>
                <w:bCs w:val="0"/>
                <w:strike w:val="0"/>
                <w:dstrike w:val="0"/>
                <w:color w:val="auto"/>
                <w:sz w:val="21"/>
                <w:szCs w:val="21"/>
                <w:highlight w:val="none"/>
                <w:u w:val="single" w:color="auto"/>
              </w:rPr>
              <w:t>）</w:t>
            </w:r>
          </w:p>
        </w:tc>
      </w:tr>
      <w:tr w14:paraId="127FD6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8" w:hRule="atLeast"/>
          <w:jc w:val="center"/>
        </w:trPr>
        <w:tc>
          <w:tcPr>
            <w:tcW w:w="609" w:type="pct"/>
            <w:vMerge w:val="continue"/>
            <w:vAlign w:val="center"/>
          </w:tcPr>
          <w:p w14:paraId="0092B627">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723" w:type="pct"/>
            <w:vMerge w:val="continue"/>
            <w:vAlign w:val="center"/>
          </w:tcPr>
          <w:p w14:paraId="2DB585E2">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76" w:type="pct"/>
            <w:vAlign w:val="center"/>
          </w:tcPr>
          <w:p w14:paraId="2F834970">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长（m）</w:t>
            </w:r>
          </w:p>
        </w:tc>
        <w:tc>
          <w:tcPr>
            <w:tcW w:w="476" w:type="pct"/>
            <w:vAlign w:val="center"/>
          </w:tcPr>
          <w:p w14:paraId="25055525">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宽（m）</w:t>
            </w:r>
          </w:p>
        </w:tc>
        <w:tc>
          <w:tcPr>
            <w:tcW w:w="489" w:type="pct"/>
            <w:vAlign w:val="center"/>
          </w:tcPr>
          <w:p w14:paraId="032D60CE">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高（m）</w:t>
            </w:r>
          </w:p>
        </w:tc>
        <w:tc>
          <w:tcPr>
            <w:tcW w:w="505" w:type="pct"/>
            <w:vAlign w:val="center"/>
          </w:tcPr>
          <w:p w14:paraId="36A4132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排放量</w:t>
            </w:r>
          </w:p>
          <w:p w14:paraId="4318BB1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（t/a）</w:t>
            </w:r>
          </w:p>
        </w:tc>
        <w:tc>
          <w:tcPr>
            <w:tcW w:w="606" w:type="pct"/>
            <w:vAlign w:val="center"/>
          </w:tcPr>
          <w:p w14:paraId="55D30EC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排放速率（kg/h）</w:t>
            </w:r>
          </w:p>
        </w:tc>
        <w:tc>
          <w:tcPr>
            <w:tcW w:w="1111" w:type="pct"/>
            <w:vMerge w:val="continue"/>
            <w:vAlign w:val="center"/>
          </w:tcPr>
          <w:p w14:paraId="58F2E46E">
            <w:pPr>
              <w:spacing w:line="240" w:lineRule="auto"/>
              <w:jc w:val="center"/>
              <w:rPr>
                <w:rFonts w:hint="default" w:ascii="Times New Roman" w:hAnsi="Times New Roman" w:eastAsia="宋体" w:cs="Times New Roman"/>
                <w:color w:val="auto"/>
                <w:sz w:val="21"/>
                <w:szCs w:val="21"/>
                <w:highlight w:val="none"/>
                <w:u w:val="single" w:color="auto"/>
              </w:rPr>
            </w:pPr>
          </w:p>
        </w:tc>
      </w:tr>
      <w:tr w14:paraId="40284F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609" w:type="pct"/>
            <w:vMerge w:val="restart"/>
            <w:vAlign w:val="center"/>
          </w:tcPr>
          <w:p w14:paraId="62A24C20">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1</w:t>
            </w:r>
            <w:r>
              <w:rPr>
                <w:rFonts w:hint="default" w:ascii="Times New Roman" w:hAnsi="Times New Roman" w:cs="Times New Roman"/>
                <w:color w:val="auto"/>
                <w:sz w:val="21"/>
                <w:szCs w:val="21"/>
                <w:highlight w:val="none"/>
                <w:u w:val="single" w:color="auto"/>
              </w:rPr>
              <w:t>#厂房</w:t>
            </w:r>
          </w:p>
        </w:tc>
        <w:tc>
          <w:tcPr>
            <w:tcW w:w="723" w:type="pct"/>
            <w:vAlign w:val="center"/>
          </w:tcPr>
          <w:p w14:paraId="2636960C">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氯化氢</w:t>
            </w:r>
          </w:p>
        </w:tc>
        <w:tc>
          <w:tcPr>
            <w:tcW w:w="476" w:type="pct"/>
            <w:vMerge w:val="restart"/>
            <w:vAlign w:val="center"/>
          </w:tcPr>
          <w:p w14:paraId="652937B7">
            <w:pPr>
              <w:pStyle w:val="34"/>
              <w:spacing w:line="240" w:lineRule="auto"/>
              <w:ind w:firstLine="0" w:firstLine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59</w:t>
            </w:r>
          </w:p>
        </w:tc>
        <w:tc>
          <w:tcPr>
            <w:tcW w:w="476" w:type="pct"/>
            <w:vMerge w:val="restart"/>
            <w:vAlign w:val="center"/>
          </w:tcPr>
          <w:p w14:paraId="1CAF556C">
            <w:pPr>
              <w:pStyle w:val="34"/>
              <w:spacing w:line="240" w:lineRule="auto"/>
              <w:ind w:firstLine="0" w:firstLine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67</w:t>
            </w:r>
          </w:p>
        </w:tc>
        <w:tc>
          <w:tcPr>
            <w:tcW w:w="489" w:type="pct"/>
            <w:vMerge w:val="restart"/>
            <w:vAlign w:val="center"/>
          </w:tcPr>
          <w:p w14:paraId="7AE9B3BC">
            <w:pPr>
              <w:pStyle w:val="34"/>
              <w:spacing w:line="240" w:lineRule="auto"/>
              <w:ind w:firstLine="0" w:firstLine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15</w:t>
            </w:r>
          </w:p>
        </w:tc>
        <w:tc>
          <w:tcPr>
            <w:tcW w:w="505" w:type="pct"/>
            <w:vAlign w:val="center"/>
          </w:tcPr>
          <w:p w14:paraId="6A7D65CB">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0.006</w:t>
            </w:r>
          </w:p>
        </w:tc>
        <w:tc>
          <w:tcPr>
            <w:tcW w:w="606" w:type="pct"/>
            <w:vAlign w:val="center"/>
          </w:tcPr>
          <w:p w14:paraId="2D190EE0">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1111" w:type="pct"/>
            <w:vAlign w:val="center"/>
          </w:tcPr>
          <w:p w14:paraId="5F0A22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w:t>
            </w:r>
          </w:p>
        </w:tc>
      </w:tr>
      <w:tr w14:paraId="1601A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609" w:type="pct"/>
            <w:vMerge w:val="continue"/>
            <w:vAlign w:val="center"/>
          </w:tcPr>
          <w:p w14:paraId="47A850E9">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723" w:type="pct"/>
            <w:vAlign w:val="center"/>
          </w:tcPr>
          <w:p w14:paraId="570BAD57">
            <w:pPr>
              <w:pStyle w:val="34"/>
              <w:spacing w:line="240" w:lineRule="auto"/>
              <w:ind w:firstLine="0" w:firstLineChars="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硫酸雾</w:t>
            </w:r>
          </w:p>
        </w:tc>
        <w:tc>
          <w:tcPr>
            <w:tcW w:w="476" w:type="pct"/>
            <w:vMerge w:val="continue"/>
            <w:vAlign w:val="center"/>
          </w:tcPr>
          <w:p w14:paraId="2BA3F237">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76" w:type="pct"/>
            <w:vMerge w:val="continue"/>
            <w:vAlign w:val="center"/>
          </w:tcPr>
          <w:p w14:paraId="34384C5D">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89" w:type="pct"/>
            <w:vMerge w:val="continue"/>
            <w:vAlign w:val="center"/>
          </w:tcPr>
          <w:p w14:paraId="397825BC">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505" w:type="pct"/>
            <w:vAlign w:val="center"/>
          </w:tcPr>
          <w:p w14:paraId="07893A74">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0.044</w:t>
            </w:r>
          </w:p>
        </w:tc>
        <w:tc>
          <w:tcPr>
            <w:tcW w:w="606" w:type="pct"/>
            <w:vAlign w:val="center"/>
          </w:tcPr>
          <w:p w14:paraId="7AE28DE9">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0.006</w:t>
            </w:r>
          </w:p>
        </w:tc>
        <w:tc>
          <w:tcPr>
            <w:tcW w:w="1111" w:type="pct"/>
            <w:vAlign w:val="center"/>
          </w:tcPr>
          <w:p w14:paraId="0078C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w:t>
            </w:r>
          </w:p>
        </w:tc>
      </w:tr>
      <w:tr w14:paraId="015815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609" w:type="pct"/>
            <w:vMerge w:val="continue"/>
            <w:vAlign w:val="center"/>
          </w:tcPr>
          <w:p w14:paraId="37CE61FF">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723" w:type="pct"/>
            <w:vAlign w:val="center"/>
          </w:tcPr>
          <w:p w14:paraId="07E43B4D">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氮氧化物</w:t>
            </w:r>
          </w:p>
        </w:tc>
        <w:tc>
          <w:tcPr>
            <w:tcW w:w="476" w:type="pct"/>
            <w:vMerge w:val="continue"/>
            <w:vAlign w:val="center"/>
          </w:tcPr>
          <w:p w14:paraId="1691DF79">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76" w:type="pct"/>
            <w:vMerge w:val="continue"/>
            <w:vAlign w:val="center"/>
          </w:tcPr>
          <w:p w14:paraId="7AD5782C">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89" w:type="pct"/>
            <w:vMerge w:val="continue"/>
            <w:vAlign w:val="center"/>
          </w:tcPr>
          <w:p w14:paraId="4FC99E4B">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505" w:type="pct"/>
            <w:vAlign w:val="center"/>
          </w:tcPr>
          <w:p w14:paraId="62BEE1E2">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c>
          <w:tcPr>
            <w:tcW w:w="606" w:type="pct"/>
            <w:vAlign w:val="center"/>
          </w:tcPr>
          <w:p w14:paraId="40723EA4">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1111" w:type="pct"/>
            <w:vAlign w:val="center"/>
          </w:tcPr>
          <w:p w14:paraId="495282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0.12</w:t>
            </w:r>
          </w:p>
        </w:tc>
      </w:tr>
      <w:tr w14:paraId="2733D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609" w:type="pct"/>
            <w:vMerge w:val="continue"/>
            <w:vAlign w:val="center"/>
          </w:tcPr>
          <w:p w14:paraId="5E336654">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723" w:type="pct"/>
            <w:vAlign w:val="center"/>
          </w:tcPr>
          <w:p w14:paraId="6832E2C0">
            <w:pPr>
              <w:pStyle w:val="34"/>
              <w:spacing w:line="240" w:lineRule="auto"/>
              <w:ind w:firstLine="0" w:firstLine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TSP</w:t>
            </w:r>
          </w:p>
        </w:tc>
        <w:tc>
          <w:tcPr>
            <w:tcW w:w="476" w:type="pct"/>
            <w:vMerge w:val="continue"/>
            <w:vAlign w:val="center"/>
          </w:tcPr>
          <w:p w14:paraId="154246DF">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76" w:type="pct"/>
            <w:vMerge w:val="continue"/>
            <w:vAlign w:val="center"/>
          </w:tcPr>
          <w:p w14:paraId="569D8F1C">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89" w:type="pct"/>
            <w:vMerge w:val="continue"/>
            <w:vAlign w:val="center"/>
          </w:tcPr>
          <w:p w14:paraId="00DEB01B">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505" w:type="pct"/>
            <w:vAlign w:val="center"/>
          </w:tcPr>
          <w:p w14:paraId="22482B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0.825</w:t>
            </w:r>
          </w:p>
        </w:tc>
        <w:tc>
          <w:tcPr>
            <w:tcW w:w="606" w:type="pct"/>
            <w:vAlign w:val="center"/>
          </w:tcPr>
          <w:p w14:paraId="13D1DB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0.115</w:t>
            </w:r>
          </w:p>
        </w:tc>
        <w:tc>
          <w:tcPr>
            <w:tcW w:w="1111" w:type="pct"/>
            <w:vAlign w:val="center"/>
          </w:tcPr>
          <w:p w14:paraId="61EA57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1.0</w:t>
            </w:r>
          </w:p>
        </w:tc>
      </w:tr>
      <w:tr w14:paraId="08154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609" w:type="pct"/>
            <w:vMerge w:val="restart"/>
            <w:vAlign w:val="center"/>
          </w:tcPr>
          <w:p w14:paraId="5D53E381">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2</w:t>
            </w:r>
            <w:r>
              <w:rPr>
                <w:rFonts w:hint="default" w:ascii="Times New Roman" w:hAnsi="Times New Roman" w:cs="Times New Roman"/>
                <w:color w:val="auto"/>
                <w:sz w:val="21"/>
                <w:szCs w:val="21"/>
                <w:highlight w:val="none"/>
                <w:u w:val="single" w:color="auto"/>
              </w:rPr>
              <w:t>#厂房</w:t>
            </w:r>
          </w:p>
        </w:tc>
        <w:tc>
          <w:tcPr>
            <w:tcW w:w="723" w:type="pct"/>
            <w:vAlign w:val="center"/>
          </w:tcPr>
          <w:p w14:paraId="0E9E4B63">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氯化氢</w:t>
            </w:r>
          </w:p>
        </w:tc>
        <w:tc>
          <w:tcPr>
            <w:tcW w:w="476" w:type="pct"/>
            <w:vMerge w:val="restart"/>
            <w:vAlign w:val="center"/>
          </w:tcPr>
          <w:p w14:paraId="1CC78C02">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59</w:t>
            </w:r>
          </w:p>
        </w:tc>
        <w:tc>
          <w:tcPr>
            <w:tcW w:w="476" w:type="pct"/>
            <w:vMerge w:val="restart"/>
            <w:vAlign w:val="center"/>
          </w:tcPr>
          <w:p w14:paraId="3B3C3A74">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67</w:t>
            </w:r>
          </w:p>
        </w:tc>
        <w:tc>
          <w:tcPr>
            <w:tcW w:w="489" w:type="pct"/>
            <w:vMerge w:val="restart"/>
            <w:vAlign w:val="center"/>
          </w:tcPr>
          <w:p w14:paraId="7F254266">
            <w:pPr>
              <w:pStyle w:val="34"/>
              <w:spacing w:line="240" w:lineRule="auto"/>
              <w:ind w:firstLine="0" w:firstLine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15</w:t>
            </w:r>
          </w:p>
        </w:tc>
        <w:tc>
          <w:tcPr>
            <w:tcW w:w="505" w:type="pct"/>
            <w:vAlign w:val="center"/>
          </w:tcPr>
          <w:p w14:paraId="67239B34">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c>
          <w:tcPr>
            <w:tcW w:w="606" w:type="pct"/>
            <w:vAlign w:val="center"/>
          </w:tcPr>
          <w:p w14:paraId="11E3D471">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1111" w:type="pct"/>
            <w:vAlign w:val="center"/>
          </w:tcPr>
          <w:p w14:paraId="0219EC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w:t>
            </w:r>
          </w:p>
        </w:tc>
      </w:tr>
      <w:tr w14:paraId="2A38A3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609" w:type="pct"/>
            <w:vMerge w:val="continue"/>
            <w:vAlign w:val="center"/>
          </w:tcPr>
          <w:p w14:paraId="017680F2">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723" w:type="pct"/>
            <w:vAlign w:val="center"/>
          </w:tcPr>
          <w:p w14:paraId="2E272DBA">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eastAsia="zh-CN"/>
              </w:rPr>
              <w:t>硫酸雾</w:t>
            </w:r>
          </w:p>
        </w:tc>
        <w:tc>
          <w:tcPr>
            <w:tcW w:w="476" w:type="pct"/>
            <w:vMerge w:val="continue"/>
            <w:vAlign w:val="center"/>
          </w:tcPr>
          <w:p w14:paraId="0603DF9C">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76" w:type="pct"/>
            <w:vMerge w:val="continue"/>
            <w:vAlign w:val="center"/>
          </w:tcPr>
          <w:p w14:paraId="286131A2">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89" w:type="pct"/>
            <w:vMerge w:val="continue"/>
            <w:vAlign w:val="center"/>
          </w:tcPr>
          <w:p w14:paraId="77C5159B">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505" w:type="pct"/>
            <w:vAlign w:val="center"/>
          </w:tcPr>
          <w:p w14:paraId="01388CE2">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0.026</w:t>
            </w:r>
          </w:p>
        </w:tc>
        <w:tc>
          <w:tcPr>
            <w:tcW w:w="606" w:type="pct"/>
            <w:vAlign w:val="center"/>
          </w:tcPr>
          <w:p w14:paraId="0FDAEE87">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0.004</w:t>
            </w:r>
          </w:p>
        </w:tc>
        <w:tc>
          <w:tcPr>
            <w:tcW w:w="1111" w:type="pct"/>
            <w:vAlign w:val="center"/>
          </w:tcPr>
          <w:p w14:paraId="0E41DA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w:t>
            </w:r>
          </w:p>
        </w:tc>
      </w:tr>
      <w:tr w14:paraId="32C8F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609" w:type="pct"/>
            <w:vMerge w:val="continue"/>
            <w:vAlign w:val="center"/>
          </w:tcPr>
          <w:p w14:paraId="5E48A1F0">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723" w:type="pct"/>
            <w:vAlign w:val="center"/>
          </w:tcPr>
          <w:p w14:paraId="6C5B2E73">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氮氧化物</w:t>
            </w:r>
          </w:p>
        </w:tc>
        <w:tc>
          <w:tcPr>
            <w:tcW w:w="476" w:type="pct"/>
            <w:vMerge w:val="continue"/>
            <w:vAlign w:val="center"/>
          </w:tcPr>
          <w:p w14:paraId="53BE795A">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76" w:type="pct"/>
            <w:vMerge w:val="continue"/>
            <w:vAlign w:val="center"/>
          </w:tcPr>
          <w:p w14:paraId="36FC6BDA">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89" w:type="pct"/>
            <w:vMerge w:val="continue"/>
            <w:vAlign w:val="center"/>
          </w:tcPr>
          <w:p w14:paraId="35B64003">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505" w:type="pct"/>
            <w:vAlign w:val="center"/>
          </w:tcPr>
          <w:p w14:paraId="08A8C07F">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0.016</w:t>
            </w:r>
          </w:p>
        </w:tc>
        <w:tc>
          <w:tcPr>
            <w:tcW w:w="606" w:type="pct"/>
            <w:vAlign w:val="center"/>
          </w:tcPr>
          <w:p w14:paraId="683143C4">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0.002</w:t>
            </w:r>
          </w:p>
        </w:tc>
        <w:tc>
          <w:tcPr>
            <w:tcW w:w="1111" w:type="pct"/>
            <w:vAlign w:val="center"/>
          </w:tcPr>
          <w:p w14:paraId="5AD520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0.12</w:t>
            </w:r>
          </w:p>
        </w:tc>
      </w:tr>
      <w:tr w14:paraId="647A7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609" w:type="pct"/>
            <w:vMerge w:val="continue"/>
            <w:vAlign w:val="center"/>
          </w:tcPr>
          <w:p w14:paraId="7A5A9973">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723" w:type="pct"/>
            <w:vAlign w:val="center"/>
          </w:tcPr>
          <w:p w14:paraId="152FC6EE">
            <w:pPr>
              <w:pStyle w:val="34"/>
              <w:spacing w:line="240" w:lineRule="auto"/>
              <w:ind w:firstLine="0" w:firstLineChars="0"/>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非甲烷总烃</w:t>
            </w:r>
          </w:p>
        </w:tc>
        <w:tc>
          <w:tcPr>
            <w:tcW w:w="476" w:type="pct"/>
            <w:vMerge w:val="continue"/>
            <w:vAlign w:val="center"/>
          </w:tcPr>
          <w:p w14:paraId="66812B50">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76" w:type="pct"/>
            <w:vMerge w:val="continue"/>
            <w:vAlign w:val="center"/>
          </w:tcPr>
          <w:p w14:paraId="3E345AE3">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89" w:type="pct"/>
            <w:vMerge w:val="continue"/>
            <w:vAlign w:val="center"/>
          </w:tcPr>
          <w:p w14:paraId="1B829720">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505" w:type="pct"/>
            <w:vAlign w:val="center"/>
          </w:tcPr>
          <w:p w14:paraId="4D99F085">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0.011</w:t>
            </w:r>
          </w:p>
        </w:tc>
        <w:tc>
          <w:tcPr>
            <w:tcW w:w="606" w:type="pct"/>
            <w:vAlign w:val="center"/>
          </w:tcPr>
          <w:p w14:paraId="19D7A431">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0.005</w:t>
            </w:r>
          </w:p>
        </w:tc>
        <w:tc>
          <w:tcPr>
            <w:tcW w:w="1111" w:type="pct"/>
            <w:vAlign w:val="center"/>
          </w:tcPr>
          <w:p w14:paraId="7FD4FF61">
            <w:pPr>
              <w:pStyle w:val="34"/>
              <w:spacing w:line="240" w:lineRule="auto"/>
              <w:ind w:firstLine="0" w:firstLineChars="0"/>
              <w:jc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4.0</w:t>
            </w:r>
          </w:p>
        </w:tc>
      </w:tr>
      <w:tr w14:paraId="77D6F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609" w:type="pct"/>
            <w:vMerge w:val="continue"/>
            <w:vAlign w:val="center"/>
          </w:tcPr>
          <w:p w14:paraId="51D14317">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723" w:type="pct"/>
            <w:vAlign w:val="center"/>
          </w:tcPr>
          <w:p w14:paraId="64EA9136">
            <w:pPr>
              <w:pStyle w:val="34"/>
              <w:spacing w:line="240" w:lineRule="auto"/>
              <w:ind w:firstLine="0" w:firstLineChars="0"/>
              <w:jc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TSP</w:t>
            </w:r>
          </w:p>
        </w:tc>
        <w:tc>
          <w:tcPr>
            <w:tcW w:w="476" w:type="pct"/>
            <w:vMerge w:val="continue"/>
            <w:vAlign w:val="center"/>
          </w:tcPr>
          <w:p w14:paraId="0C368376">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76" w:type="pct"/>
            <w:vMerge w:val="continue"/>
            <w:vAlign w:val="center"/>
          </w:tcPr>
          <w:p w14:paraId="2D24B4F3">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489" w:type="pct"/>
            <w:vMerge w:val="continue"/>
            <w:vAlign w:val="center"/>
          </w:tcPr>
          <w:p w14:paraId="32AD033D">
            <w:pPr>
              <w:pStyle w:val="34"/>
              <w:spacing w:line="240" w:lineRule="auto"/>
              <w:ind w:firstLine="0" w:firstLineChars="0"/>
              <w:jc w:val="center"/>
              <w:rPr>
                <w:rFonts w:hint="default" w:ascii="Times New Roman" w:hAnsi="Times New Roman" w:cs="Times New Roman"/>
                <w:color w:val="auto"/>
                <w:sz w:val="21"/>
                <w:szCs w:val="21"/>
                <w:highlight w:val="none"/>
                <w:u w:val="single" w:color="auto"/>
              </w:rPr>
            </w:pPr>
          </w:p>
        </w:tc>
        <w:tc>
          <w:tcPr>
            <w:tcW w:w="505" w:type="pct"/>
            <w:vAlign w:val="center"/>
          </w:tcPr>
          <w:p w14:paraId="3BED0B74">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0.825</w:t>
            </w:r>
          </w:p>
        </w:tc>
        <w:tc>
          <w:tcPr>
            <w:tcW w:w="606" w:type="pct"/>
            <w:vAlign w:val="center"/>
          </w:tcPr>
          <w:p w14:paraId="1D2C39C4">
            <w:pPr>
              <w:keepNext w:val="0"/>
              <w:keepLines w:val="0"/>
              <w:widowControl/>
              <w:suppressLineNumbers w:val="0"/>
              <w:jc w:val="center"/>
              <w:textAlignment w:val="center"/>
              <w:rPr>
                <w:rFonts w:hint="default" w:ascii="Times New Roman" w:hAnsi="Times New Roman"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0.115</w:t>
            </w:r>
          </w:p>
        </w:tc>
        <w:tc>
          <w:tcPr>
            <w:tcW w:w="1111" w:type="pct"/>
            <w:vAlign w:val="center"/>
          </w:tcPr>
          <w:p w14:paraId="189DFA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1.0</w:t>
            </w:r>
          </w:p>
        </w:tc>
      </w:tr>
    </w:tbl>
    <w:p w14:paraId="4C7DA5FA">
      <w:pPr>
        <w:keepNext/>
        <w:keepLines/>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strike w:val="0"/>
          <w:dstrike w:val="0"/>
          <w:color w:val="auto"/>
          <w:sz w:val="24"/>
          <w:szCs w:val="24"/>
          <w:highlight w:val="none"/>
          <w:u w:val="none" w:color="auto"/>
        </w:rPr>
      </w:pPr>
      <w:r>
        <w:rPr>
          <w:rFonts w:hint="default" w:ascii="Times New Roman" w:hAnsi="Times New Roman" w:eastAsia="宋体" w:cs="Times New Roman"/>
          <w:b/>
          <w:bCs/>
          <w:strike w:val="0"/>
          <w:dstrike w:val="0"/>
          <w:color w:val="auto"/>
          <w:sz w:val="24"/>
          <w:szCs w:val="24"/>
          <w:highlight w:val="none"/>
          <w:u w:val="none" w:color="auto"/>
          <w:lang w:val="en-US" w:eastAsia="zh-CN"/>
        </w:rPr>
        <w:t>7</w:t>
      </w:r>
      <w:r>
        <w:rPr>
          <w:rFonts w:hint="default" w:ascii="Times New Roman" w:hAnsi="Times New Roman" w:eastAsia="宋体" w:cs="Times New Roman"/>
          <w:b/>
          <w:bCs/>
          <w:strike w:val="0"/>
          <w:dstrike w:val="0"/>
          <w:color w:val="auto"/>
          <w:sz w:val="24"/>
          <w:szCs w:val="24"/>
          <w:highlight w:val="none"/>
          <w:u w:val="none" w:color="auto"/>
        </w:rPr>
        <w:t>.2.1.2大气评价预测与分析</w:t>
      </w:r>
    </w:p>
    <w:p w14:paraId="7F84ABE2">
      <w:pPr>
        <w:ind w:firstLine="560"/>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（1）预测因子</w:t>
      </w:r>
    </w:p>
    <w:p w14:paraId="0CB29542">
      <w:pPr>
        <w:ind w:firstLine="560"/>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根据《环境影响评价技术导则大气环境》（HJ2.2-2018），本次评价选取的预测因子为：</w:t>
      </w:r>
      <w:r>
        <w:rPr>
          <w:rFonts w:hint="default" w:ascii="Times New Roman" w:hAnsi="Times New Roman" w:eastAsia="宋体" w:cs="Times New Roman"/>
          <w:strike w:val="0"/>
          <w:dstrike w:val="0"/>
          <w:color w:val="auto"/>
          <w:sz w:val="24"/>
          <w:szCs w:val="21"/>
          <w:highlight w:val="none"/>
          <w:u w:val="none" w:color="auto"/>
          <w:lang w:eastAsia="zh-CN"/>
        </w:rPr>
        <w:t>HCl</w:t>
      </w:r>
      <w:r>
        <w:rPr>
          <w:rFonts w:hint="default" w:ascii="Times New Roman" w:hAnsi="Times New Roman" w:eastAsia="宋体" w:cs="Times New Roman"/>
          <w:strike w:val="0"/>
          <w:dstrike w:val="0"/>
          <w:color w:val="auto"/>
          <w:sz w:val="24"/>
          <w:szCs w:val="21"/>
          <w:highlight w:val="none"/>
          <w:u w:val="none" w:color="auto"/>
        </w:rPr>
        <w:t>、硫酸雾、</w:t>
      </w:r>
      <w:r>
        <w:rPr>
          <w:rFonts w:hint="default" w:ascii="Times New Roman" w:hAnsi="Times New Roman" w:eastAsia="宋体" w:cs="Times New Roman"/>
          <w:strike w:val="0"/>
          <w:dstrike w:val="0"/>
          <w:color w:val="auto"/>
          <w:sz w:val="24"/>
          <w:szCs w:val="21"/>
          <w:highlight w:val="none"/>
          <w:u w:val="none" w:color="auto"/>
          <w:lang w:eastAsia="zh-CN"/>
        </w:rPr>
        <w:t>氮氧化物</w:t>
      </w:r>
      <w:r>
        <w:rPr>
          <w:rFonts w:hint="default" w:ascii="Times New Roman" w:hAnsi="Times New Roman" w:eastAsia="宋体" w:cs="Times New Roman"/>
          <w:strike w:val="0"/>
          <w:dstrike w:val="0"/>
          <w:color w:val="auto"/>
          <w:sz w:val="24"/>
          <w:szCs w:val="21"/>
          <w:highlight w:val="none"/>
          <w:u w:val="none" w:color="auto"/>
        </w:rPr>
        <w:t>、</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strike w:val="0"/>
          <w:dstrike w:val="0"/>
          <w:color w:val="auto"/>
          <w:sz w:val="24"/>
          <w:szCs w:val="21"/>
          <w:highlight w:val="none"/>
          <w:u w:val="none" w:color="auto"/>
          <w:lang w:val="en-US" w:eastAsia="zh-CN"/>
        </w:rPr>
        <w:t>TVOC</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1"/>
          <w:highlight w:val="none"/>
          <w:u w:val="none" w:color="auto"/>
        </w:rPr>
        <w:t>。</w:t>
      </w:r>
    </w:p>
    <w:p w14:paraId="3F24E5CE">
      <w:pPr>
        <w:ind w:firstLine="560"/>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（2）预测内容及模式</w:t>
      </w:r>
    </w:p>
    <w:p w14:paraId="4B6809FF">
      <w:pPr>
        <w:ind w:firstLine="561"/>
        <w:rPr>
          <w:rFonts w:hint="default" w:ascii="Times New Roman" w:hAnsi="Times New Roman" w:eastAsia="宋体" w:cs="Times New Roman"/>
          <w:strike w:val="0"/>
          <w:dstrike w:val="0"/>
          <w:color w:val="auto"/>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根据《环境影响评价技术导则大气环境》（HJ2.2-2018）的要求，选用导则推荐的AERSCREE模型进行估算预测，AERSCREE估算模型参数详见下表。</w:t>
      </w:r>
    </w:p>
    <w:p w14:paraId="2EA583A9">
      <w:pPr>
        <w:jc w:val="center"/>
        <w:rPr>
          <w:rFonts w:hint="default" w:ascii="Times New Roman" w:hAnsi="Times New Roman" w:eastAsia="宋体" w:cs="Times New Roman"/>
          <w:b/>
          <w:strike w:val="0"/>
          <w:dstrike w:val="0"/>
          <w:color w:val="auto"/>
          <w:sz w:val="21"/>
          <w:szCs w:val="18"/>
          <w:highlight w:val="none"/>
          <w:u w:val="none" w:color="auto"/>
        </w:rPr>
      </w:pPr>
      <w:r>
        <w:rPr>
          <w:rFonts w:hint="default" w:ascii="Times New Roman" w:hAnsi="Times New Roman" w:eastAsia="宋体" w:cs="Times New Roman"/>
          <w:b/>
          <w:strike w:val="0"/>
          <w:dstrike w:val="0"/>
          <w:color w:val="auto"/>
          <w:sz w:val="21"/>
          <w:szCs w:val="18"/>
          <w:highlight w:val="none"/>
          <w:u w:val="none" w:color="auto"/>
        </w:rPr>
        <w:t>表</w:t>
      </w:r>
      <w:r>
        <w:rPr>
          <w:rFonts w:hint="default" w:ascii="Times New Roman" w:hAnsi="Times New Roman" w:eastAsia="宋体" w:cs="Times New Roman"/>
          <w:b/>
          <w:strike w:val="0"/>
          <w:dstrike w:val="0"/>
          <w:color w:val="auto"/>
          <w:sz w:val="21"/>
          <w:szCs w:val="18"/>
          <w:highlight w:val="none"/>
          <w:u w:val="none" w:color="auto"/>
          <w:lang w:val="en-US" w:eastAsia="zh-CN"/>
        </w:rPr>
        <w:t>7</w:t>
      </w:r>
      <w:r>
        <w:rPr>
          <w:rFonts w:hint="default" w:ascii="Times New Roman" w:hAnsi="Times New Roman" w:eastAsia="宋体" w:cs="Times New Roman"/>
          <w:b/>
          <w:strike w:val="0"/>
          <w:dstrike w:val="0"/>
          <w:color w:val="auto"/>
          <w:sz w:val="21"/>
          <w:szCs w:val="18"/>
          <w:highlight w:val="none"/>
          <w:u w:val="none" w:color="auto"/>
        </w:rPr>
        <w:t>.2-</w:t>
      </w:r>
      <w:r>
        <w:rPr>
          <w:rFonts w:hint="default" w:ascii="Times New Roman" w:hAnsi="Times New Roman" w:eastAsia="宋体" w:cs="Times New Roman"/>
          <w:b/>
          <w:strike w:val="0"/>
          <w:dstrike w:val="0"/>
          <w:color w:val="auto"/>
          <w:sz w:val="21"/>
          <w:szCs w:val="18"/>
          <w:highlight w:val="none"/>
          <w:u w:val="none" w:color="auto"/>
          <w:lang w:val="en-US" w:eastAsia="zh-CN"/>
        </w:rPr>
        <w:t>3</w:t>
      </w:r>
      <w:r>
        <w:rPr>
          <w:rFonts w:hint="default" w:ascii="Times New Roman" w:hAnsi="Times New Roman" w:eastAsia="宋体" w:cs="Times New Roman"/>
          <w:b/>
          <w:strike w:val="0"/>
          <w:dstrike w:val="0"/>
          <w:color w:val="auto"/>
          <w:sz w:val="21"/>
          <w:szCs w:val="18"/>
          <w:highlight w:val="none"/>
          <w:u w:val="none" w:color="auto"/>
        </w:rPr>
        <w:t xml:space="preserve">  AERSCREE估算模型参数表</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0"/>
        <w:gridCol w:w="2841"/>
        <w:gridCol w:w="2841"/>
      </w:tblGrid>
      <w:tr w14:paraId="1C26F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81" w:type="dxa"/>
            <w:gridSpan w:val="2"/>
            <w:tcBorders>
              <w:bottom w:val="single" w:color="auto" w:sz="6" w:space="0"/>
              <w:right w:val="single" w:color="auto" w:sz="6" w:space="0"/>
            </w:tcBorders>
            <w:vAlign w:val="center"/>
          </w:tcPr>
          <w:p w14:paraId="1B9C4F7E">
            <w:pPr>
              <w:spacing w:line="240" w:lineRule="auto"/>
              <w:ind w:firstLine="560"/>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参数</w:t>
            </w:r>
          </w:p>
        </w:tc>
        <w:tc>
          <w:tcPr>
            <w:tcW w:w="2841" w:type="dxa"/>
            <w:tcBorders>
              <w:left w:val="single" w:color="auto" w:sz="6" w:space="0"/>
              <w:bottom w:val="single" w:color="auto" w:sz="6" w:space="0"/>
            </w:tcBorders>
            <w:vAlign w:val="center"/>
          </w:tcPr>
          <w:p w14:paraId="6B98B55A">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取值</w:t>
            </w:r>
          </w:p>
        </w:tc>
      </w:tr>
      <w:tr w14:paraId="2D84E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40" w:type="dxa"/>
            <w:vMerge w:val="restart"/>
            <w:tcBorders>
              <w:top w:val="single" w:color="auto" w:sz="6" w:space="0"/>
              <w:bottom w:val="single" w:color="auto" w:sz="6" w:space="0"/>
              <w:right w:val="single" w:color="auto" w:sz="6" w:space="0"/>
            </w:tcBorders>
            <w:vAlign w:val="center"/>
          </w:tcPr>
          <w:p w14:paraId="5F20B0D9">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城市/农村选项</w:t>
            </w:r>
          </w:p>
        </w:tc>
        <w:tc>
          <w:tcPr>
            <w:tcW w:w="2841" w:type="dxa"/>
            <w:tcBorders>
              <w:top w:val="single" w:color="auto" w:sz="6" w:space="0"/>
              <w:left w:val="single" w:color="auto" w:sz="6" w:space="0"/>
              <w:bottom w:val="single" w:color="auto" w:sz="6" w:space="0"/>
              <w:right w:val="single" w:color="auto" w:sz="6" w:space="0"/>
            </w:tcBorders>
            <w:vAlign w:val="center"/>
          </w:tcPr>
          <w:p w14:paraId="3491E40E">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城市/农村</w:t>
            </w:r>
          </w:p>
        </w:tc>
        <w:tc>
          <w:tcPr>
            <w:tcW w:w="2841" w:type="dxa"/>
            <w:tcBorders>
              <w:top w:val="single" w:color="auto" w:sz="6" w:space="0"/>
              <w:left w:val="single" w:color="auto" w:sz="6" w:space="0"/>
              <w:bottom w:val="single" w:color="auto" w:sz="6" w:space="0"/>
            </w:tcBorders>
            <w:vAlign w:val="center"/>
          </w:tcPr>
          <w:p w14:paraId="12F3142D">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农村</w:t>
            </w:r>
          </w:p>
        </w:tc>
      </w:tr>
      <w:tr w14:paraId="0F65C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40" w:type="dxa"/>
            <w:vMerge w:val="continue"/>
            <w:tcBorders>
              <w:top w:val="single" w:color="auto" w:sz="6" w:space="0"/>
              <w:bottom w:val="single" w:color="auto" w:sz="6" w:space="0"/>
              <w:right w:val="single" w:color="auto" w:sz="6" w:space="0"/>
            </w:tcBorders>
            <w:vAlign w:val="center"/>
          </w:tcPr>
          <w:p w14:paraId="0A22E413">
            <w:pPr>
              <w:widowControl/>
              <w:spacing w:line="240" w:lineRule="auto"/>
              <w:rPr>
                <w:rFonts w:hint="default" w:ascii="Times New Roman" w:hAnsi="Times New Roman" w:eastAsia="宋体" w:cs="Times New Roman"/>
                <w:strike w:val="0"/>
                <w:dstrike w:val="0"/>
                <w:color w:val="auto"/>
                <w:sz w:val="21"/>
                <w:szCs w:val="24"/>
                <w:highlight w:val="none"/>
                <w:u w:val="none" w:color="auto"/>
              </w:rPr>
            </w:pPr>
          </w:p>
        </w:tc>
        <w:tc>
          <w:tcPr>
            <w:tcW w:w="2841" w:type="dxa"/>
            <w:tcBorders>
              <w:top w:val="single" w:color="auto" w:sz="6" w:space="0"/>
              <w:left w:val="single" w:color="auto" w:sz="6" w:space="0"/>
              <w:bottom w:val="single" w:color="auto" w:sz="6" w:space="0"/>
              <w:right w:val="single" w:color="auto" w:sz="6" w:space="0"/>
            </w:tcBorders>
            <w:vAlign w:val="center"/>
          </w:tcPr>
          <w:p w14:paraId="714128F5">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人口数（城市选项时）</w:t>
            </w:r>
          </w:p>
        </w:tc>
        <w:tc>
          <w:tcPr>
            <w:tcW w:w="2841" w:type="dxa"/>
            <w:tcBorders>
              <w:top w:val="single" w:color="auto" w:sz="6" w:space="0"/>
              <w:left w:val="single" w:color="auto" w:sz="6" w:space="0"/>
              <w:bottom w:val="single" w:color="auto" w:sz="6" w:space="0"/>
            </w:tcBorders>
            <w:vAlign w:val="center"/>
          </w:tcPr>
          <w:p w14:paraId="20CC6180">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w:t>
            </w:r>
          </w:p>
        </w:tc>
      </w:tr>
      <w:tr w14:paraId="48093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81" w:type="dxa"/>
            <w:gridSpan w:val="2"/>
            <w:tcBorders>
              <w:top w:val="single" w:color="auto" w:sz="6" w:space="0"/>
              <w:bottom w:val="single" w:color="auto" w:sz="6" w:space="0"/>
              <w:right w:val="single" w:color="auto" w:sz="6" w:space="0"/>
            </w:tcBorders>
            <w:vAlign w:val="center"/>
          </w:tcPr>
          <w:p w14:paraId="798B2AD7">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最高环境温度/℃</w:t>
            </w:r>
          </w:p>
        </w:tc>
        <w:tc>
          <w:tcPr>
            <w:tcW w:w="2841" w:type="dxa"/>
            <w:tcBorders>
              <w:top w:val="single" w:color="auto" w:sz="6" w:space="0"/>
              <w:left w:val="single" w:color="auto" w:sz="6" w:space="0"/>
              <w:bottom w:val="single" w:color="auto" w:sz="6" w:space="0"/>
            </w:tcBorders>
            <w:vAlign w:val="center"/>
          </w:tcPr>
          <w:p w14:paraId="7B2AAB0D">
            <w:pPr>
              <w:spacing w:line="240" w:lineRule="auto"/>
              <w:jc w:val="center"/>
              <w:rPr>
                <w:rFonts w:hint="default" w:ascii="Times New Roman" w:hAnsi="Times New Roman" w:eastAsia="宋体" w:cs="Times New Roman"/>
                <w:strike w:val="0"/>
                <w:dstrike w:val="0"/>
                <w:color w:val="auto"/>
                <w:sz w:val="21"/>
                <w:szCs w:val="24"/>
                <w:highlight w:val="none"/>
                <w:u w:val="none" w:color="auto"/>
                <w:lang w:val="en-US" w:eastAsia="zh-CN"/>
              </w:rPr>
            </w:pPr>
            <w:r>
              <w:rPr>
                <w:rFonts w:hint="default" w:ascii="Times New Roman" w:hAnsi="Times New Roman" w:eastAsia="宋体" w:cs="Times New Roman"/>
                <w:strike w:val="0"/>
                <w:dstrike w:val="0"/>
                <w:color w:val="auto"/>
                <w:sz w:val="21"/>
                <w:szCs w:val="24"/>
                <w:highlight w:val="none"/>
                <w:u w:val="none" w:color="auto"/>
                <w:lang w:val="en-US" w:eastAsia="zh-CN"/>
              </w:rPr>
              <w:t>40.8</w:t>
            </w:r>
          </w:p>
        </w:tc>
      </w:tr>
      <w:tr w14:paraId="439DC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81" w:type="dxa"/>
            <w:gridSpan w:val="2"/>
            <w:tcBorders>
              <w:top w:val="single" w:color="auto" w:sz="6" w:space="0"/>
              <w:bottom w:val="single" w:color="auto" w:sz="6" w:space="0"/>
              <w:right w:val="single" w:color="auto" w:sz="6" w:space="0"/>
            </w:tcBorders>
            <w:vAlign w:val="center"/>
          </w:tcPr>
          <w:p w14:paraId="4F6E47DE">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最低环境温度/℃</w:t>
            </w:r>
          </w:p>
        </w:tc>
        <w:tc>
          <w:tcPr>
            <w:tcW w:w="2841" w:type="dxa"/>
            <w:tcBorders>
              <w:top w:val="single" w:color="auto" w:sz="6" w:space="0"/>
              <w:left w:val="single" w:color="auto" w:sz="6" w:space="0"/>
              <w:bottom w:val="single" w:color="auto" w:sz="6" w:space="0"/>
            </w:tcBorders>
            <w:vAlign w:val="center"/>
          </w:tcPr>
          <w:p w14:paraId="58FA55CF">
            <w:pPr>
              <w:spacing w:line="240" w:lineRule="auto"/>
              <w:jc w:val="center"/>
              <w:rPr>
                <w:rFonts w:hint="default" w:ascii="Times New Roman" w:hAnsi="Times New Roman" w:eastAsia="宋体" w:cs="Times New Roman"/>
                <w:strike w:val="0"/>
                <w:dstrike w:val="0"/>
                <w:color w:val="auto"/>
                <w:sz w:val="21"/>
                <w:szCs w:val="24"/>
                <w:highlight w:val="none"/>
                <w:u w:val="none" w:color="auto"/>
                <w:lang w:val="en-US" w:eastAsia="zh-CN"/>
              </w:rPr>
            </w:pPr>
            <w:r>
              <w:rPr>
                <w:rFonts w:hint="default" w:ascii="Times New Roman" w:hAnsi="Times New Roman" w:eastAsia="宋体" w:cs="Times New Roman"/>
                <w:strike w:val="0"/>
                <w:dstrike w:val="0"/>
                <w:color w:val="auto"/>
                <w:sz w:val="21"/>
                <w:szCs w:val="24"/>
                <w:highlight w:val="none"/>
                <w:u w:val="none" w:color="auto"/>
              </w:rPr>
              <w:t>-</w:t>
            </w:r>
            <w:r>
              <w:rPr>
                <w:rFonts w:hint="default" w:ascii="Times New Roman" w:hAnsi="Times New Roman" w:eastAsia="宋体" w:cs="Times New Roman"/>
                <w:strike w:val="0"/>
                <w:dstrike w:val="0"/>
                <w:color w:val="auto"/>
                <w:sz w:val="21"/>
                <w:szCs w:val="24"/>
                <w:highlight w:val="none"/>
                <w:u w:val="none" w:color="auto"/>
                <w:lang w:val="en-US" w:eastAsia="zh-CN"/>
              </w:rPr>
              <w:t>8.7</w:t>
            </w:r>
          </w:p>
        </w:tc>
      </w:tr>
      <w:tr w14:paraId="2DEB8A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81" w:type="dxa"/>
            <w:gridSpan w:val="2"/>
            <w:tcBorders>
              <w:top w:val="single" w:color="auto" w:sz="6" w:space="0"/>
              <w:bottom w:val="single" w:color="auto" w:sz="6" w:space="0"/>
              <w:right w:val="single" w:color="auto" w:sz="6" w:space="0"/>
            </w:tcBorders>
            <w:vAlign w:val="center"/>
          </w:tcPr>
          <w:p w14:paraId="6D37ED0D">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土地利用类型</w:t>
            </w:r>
          </w:p>
        </w:tc>
        <w:tc>
          <w:tcPr>
            <w:tcW w:w="2841" w:type="dxa"/>
            <w:tcBorders>
              <w:top w:val="single" w:color="auto" w:sz="6" w:space="0"/>
              <w:left w:val="single" w:color="auto" w:sz="6" w:space="0"/>
              <w:bottom w:val="single" w:color="auto" w:sz="6" w:space="0"/>
            </w:tcBorders>
            <w:vAlign w:val="center"/>
          </w:tcPr>
          <w:p w14:paraId="0318C58E">
            <w:pPr>
              <w:spacing w:line="240" w:lineRule="auto"/>
              <w:jc w:val="center"/>
              <w:rPr>
                <w:rFonts w:hint="default" w:ascii="Times New Roman" w:hAnsi="Times New Roman" w:eastAsia="宋体" w:cs="Times New Roman"/>
                <w:strike w:val="0"/>
                <w:dstrike w:val="0"/>
                <w:color w:val="auto"/>
                <w:sz w:val="21"/>
                <w:szCs w:val="24"/>
                <w:highlight w:val="none"/>
                <w:u w:val="none" w:color="auto"/>
                <w:lang w:eastAsia="zh-CN"/>
              </w:rPr>
            </w:pPr>
            <w:r>
              <w:rPr>
                <w:rFonts w:hint="default" w:ascii="Times New Roman" w:hAnsi="Times New Roman" w:eastAsia="宋体" w:cs="Times New Roman"/>
                <w:strike w:val="0"/>
                <w:dstrike w:val="0"/>
                <w:color w:val="auto"/>
                <w:sz w:val="21"/>
                <w:szCs w:val="24"/>
                <w:highlight w:val="none"/>
                <w:u w:val="none" w:color="auto"/>
                <w:lang w:eastAsia="zh-CN"/>
              </w:rPr>
              <w:t>工业用地</w:t>
            </w:r>
          </w:p>
        </w:tc>
      </w:tr>
      <w:tr w14:paraId="3E6A1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81" w:type="dxa"/>
            <w:gridSpan w:val="2"/>
            <w:tcBorders>
              <w:top w:val="single" w:color="auto" w:sz="6" w:space="0"/>
              <w:bottom w:val="single" w:color="auto" w:sz="6" w:space="0"/>
              <w:right w:val="single" w:color="auto" w:sz="6" w:space="0"/>
            </w:tcBorders>
            <w:vAlign w:val="center"/>
          </w:tcPr>
          <w:p w14:paraId="625A8B81">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区域湿度条件</w:t>
            </w:r>
          </w:p>
        </w:tc>
        <w:tc>
          <w:tcPr>
            <w:tcW w:w="2841" w:type="dxa"/>
            <w:tcBorders>
              <w:top w:val="single" w:color="auto" w:sz="6" w:space="0"/>
              <w:left w:val="single" w:color="auto" w:sz="6" w:space="0"/>
              <w:bottom w:val="single" w:color="auto" w:sz="6" w:space="0"/>
            </w:tcBorders>
            <w:vAlign w:val="center"/>
          </w:tcPr>
          <w:p w14:paraId="3CB21DE0">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潮湿</w:t>
            </w:r>
          </w:p>
        </w:tc>
      </w:tr>
      <w:tr w14:paraId="50974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40" w:type="dxa"/>
            <w:vMerge w:val="restart"/>
            <w:tcBorders>
              <w:top w:val="single" w:color="auto" w:sz="6" w:space="0"/>
              <w:bottom w:val="single" w:color="auto" w:sz="6" w:space="0"/>
              <w:right w:val="single" w:color="auto" w:sz="6" w:space="0"/>
            </w:tcBorders>
            <w:vAlign w:val="center"/>
          </w:tcPr>
          <w:p w14:paraId="35941A40">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是否考虑地形</w:t>
            </w:r>
          </w:p>
        </w:tc>
        <w:tc>
          <w:tcPr>
            <w:tcW w:w="2841" w:type="dxa"/>
            <w:tcBorders>
              <w:top w:val="single" w:color="auto" w:sz="6" w:space="0"/>
              <w:left w:val="single" w:color="auto" w:sz="6" w:space="0"/>
              <w:bottom w:val="single" w:color="auto" w:sz="6" w:space="0"/>
              <w:right w:val="single" w:color="auto" w:sz="6" w:space="0"/>
            </w:tcBorders>
            <w:vAlign w:val="center"/>
          </w:tcPr>
          <w:p w14:paraId="271B8A01">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考虑地形</w:t>
            </w:r>
          </w:p>
        </w:tc>
        <w:tc>
          <w:tcPr>
            <w:tcW w:w="2841" w:type="dxa"/>
            <w:tcBorders>
              <w:top w:val="single" w:color="auto" w:sz="6" w:space="0"/>
              <w:left w:val="single" w:color="auto" w:sz="6" w:space="0"/>
              <w:bottom w:val="single" w:color="auto" w:sz="6" w:space="0"/>
            </w:tcBorders>
            <w:vAlign w:val="center"/>
          </w:tcPr>
          <w:p w14:paraId="5677A3F1">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考虑</w:t>
            </w:r>
          </w:p>
        </w:tc>
      </w:tr>
      <w:tr w14:paraId="7DF0F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40" w:type="dxa"/>
            <w:vMerge w:val="continue"/>
            <w:tcBorders>
              <w:top w:val="single" w:color="auto" w:sz="6" w:space="0"/>
              <w:bottom w:val="single" w:color="auto" w:sz="6" w:space="0"/>
              <w:right w:val="single" w:color="auto" w:sz="6" w:space="0"/>
            </w:tcBorders>
            <w:vAlign w:val="center"/>
          </w:tcPr>
          <w:p w14:paraId="6033EF46">
            <w:pPr>
              <w:widowControl/>
              <w:spacing w:line="240" w:lineRule="auto"/>
              <w:rPr>
                <w:rFonts w:hint="default" w:ascii="Times New Roman" w:hAnsi="Times New Roman" w:eastAsia="宋体" w:cs="Times New Roman"/>
                <w:strike w:val="0"/>
                <w:dstrike w:val="0"/>
                <w:color w:val="auto"/>
                <w:sz w:val="21"/>
                <w:szCs w:val="24"/>
                <w:highlight w:val="none"/>
                <w:u w:val="none" w:color="auto"/>
              </w:rPr>
            </w:pPr>
          </w:p>
        </w:tc>
        <w:tc>
          <w:tcPr>
            <w:tcW w:w="2841" w:type="dxa"/>
            <w:tcBorders>
              <w:top w:val="single" w:color="auto" w:sz="6" w:space="0"/>
              <w:left w:val="single" w:color="auto" w:sz="6" w:space="0"/>
              <w:bottom w:val="single" w:color="auto" w:sz="6" w:space="0"/>
              <w:right w:val="single" w:color="auto" w:sz="6" w:space="0"/>
            </w:tcBorders>
            <w:vAlign w:val="center"/>
          </w:tcPr>
          <w:p w14:paraId="292506B5">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地形数据分辨率/m</w:t>
            </w:r>
          </w:p>
        </w:tc>
        <w:tc>
          <w:tcPr>
            <w:tcW w:w="2841" w:type="dxa"/>
            <w:tcBorders>
              <w:top w:val="single" w:color="auto" w:sz="6" w:space="0"/>
              <w:left w:val="single" w:color="auto" w:sz="6" w:space="0"/>
              <w:bottom w:val="single" w:color="auto" w:sz="6" w:space="0"/>
            </w:tcBorders>
            <w:vAlign w:val="center"/>
          </w:tcPr>
          <w:p w14:paraId="19BB441E">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90</w:t>
            </w:r>
          </w:p>
        </w:tc>
      </w:tr>
      <w:tr w14:paraId="13246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40" w:type="dxa"/>
            <w:vMerge w:val="restart"/>
            <w:tcBorders>
              <w:top w:val="single" w:color="auto" w:sz="6" w:space="0"/>
              <w:bottom w:val="single" w:color="auto" w:sz="4" w:space="0"/>
              <w:right w:val="single" w:color="auto" w:sz="6" w:space="0"/>
            </w:tcBorders>
            <w:vAlign w:val="center"/>
          </w:tcPr>
          <w:p w14:paraId="5F2726A7">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是否考虑岸线熏烟</w:t>
            </w:r>
          </w:p>
        </w:tc>
        <w:tc>
          <w:tcPr>
            <w:tcW w:w="2841" w:type="dxa"/>
            <w:tcBorders>
              <w:top w:val="single" w:color="auto" w:sz="6" w:space="0"/>
              <w:left w:val="single" w:color="auto" w:sz="6" w:space="0"/>
              <w:bottom w:val="single" w:color="auto" w:sz="6" w:space="0"/>
              <w:right w:val="single" w:color="auto" w:sz="6" w:space="0"/>
            </w:tcBorders>
            <w:vAlign w:val="center"/>
          </w:tcPr>
          <w:p w14:paraId="2CB7FDCD">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考虑岸线熏烟</w:t>
            </w:r>
          </w:p>
        </w:tc>
        <w:tc>
          <w:tcPr>
            <w:tcW w:w="2841" w:type="dxa"/>
            <w:tcBorders>
              <w:top w:val="single" w:color="auto" w:sz="6" w:space="0"/>
              <w:left w:val="single" w:color="auto" w:sz="6" w:space="0"/>
              <w:bottom w:val="single" w:color="auto" w:sz="6" w:space="0"/>
            </w:tcBorders>
            <w:vAlign w:val="center"/>
          </w:tcPr>
          <w:p w14:paraId="09BEAC06">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不考虑</w:t>
            </w:r>
          </w:p>
        </w:tc>
      </w:tr>
      <w:tr w14:paraId="7D2F3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40" w:type="dxa"/>
            <w:vMerge w:val="continue"/>
            <w:tcBorders>
              <w:top w:val="single" w:color="auto" w:sz="6" w:space="0"/>
              <w:bottom w:val="single" w:color="auto" w:sz="4" w:space="0"/>
              <w:right w:val="single" w:color="auto" w:sz="6" w:space="0"/>
            </w:tcBorders>
            <w:vAlign w:val="center"/>
          </w:tcPr>
          <w:p w14:paraId="622029F6">
            <w:pPr>
              <w:widowControl/>
              <w:spacing w:line="240" w:lineRule="auto"/>
              <w:rPr>
                <w:rFonts w:hint="default" w:ascii="Times New Roman" w:hAnsi="Times New Roman" w:eastAsia="宋体" w:cs="Times New Roman"/>
                <w:strike w:val="0"/>
                <w:dstrike w:val="0"/>
                <w:color w:val="auto"/>
                <w:sz w:val="21"/>
                <w:szCs w:val="24"/>
                <w:highlight w:val="none"/>
                <w:u w:val="none" w:color="auto"/>
              </w:rPr>
            </w:pPr>
          </w:p>
        </w:tc>
        <w:tc>
          <w:tcPr>
            <w:tcW w:w="2841" w:type="dxa"/>
            <w:tcBorders>
              <w:top w:val="single" w:color="auto" w:sz="6" w:space="0"/>
              <w:left w:val="single" w:color="auto" w:sz="6" w:space="0"/>
              <w:bottom w:val="single" w:color="auto" w:sz="6" w:space="0"/>
              <w:right w:val="single" w:color="auto" w:sz="6" w:space="0"/>
            </w:tcBorders>
            <w:vAlign w:val="center"/>
          </w:tcPr>
          <w:p w14:paraId="4B739AB3">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岸线距离/km</w:t>
            </w:r>
          </w:p>
        </w:tc>
        <w:tc>
          <w:tcPr>
            <w:tcW w:w="2841" w:type="dxa"/>
            <w:tcBorders>
              <w:top w:val="single" w:color="auto" w:sz="6" w:space="0"/>
              <w:left w:val="single" w:color="auto" w:sz="6" w:space="0"/>
              <w:bottom w:val="single" w:color="auto" w:sz="6" w:space="0"/>
            </w:tcBorders>
            <w:vAlign w:val="center"/>
          </w:tcPr>
          <w:p w14:paraId="2635309C">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w:t>
            </w:r>
          </w:p>
        </w:tc>
      </w:tr>
      <w:tr w14:paraId="7A1CD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40" w:type="dxa"/>
            <w:vMerge w:val="continue"/>
            <w:tcBorders>
              <w:top w:val="single" w:color="auto" w:sz="6" w:space="0"/>
              <w:right w:val="single" w:color="auto" w:sz="6" w:space="0"/>
            </w:tcBorders>
            <w:vAlign w:val="center"/>
          </w:tcPr>
          <w:p w14:paraId="64A5116F">
            <w:pPr>
              <w:widowControl/>
              <w:spacing w:line="240" w:lineRule="auto"/>
              <w:rPr>
                <w:rFonts w:hint="default" w:ascii="Times New Roman" w:hAnsi="Times New Roman" w:eastAsia="宋体" w:cs="Times New Roman"/>
                <w:strike w:val="0"/>
                <w:dstrike w:val="0"/>
                <w:color w:val="auto"/>
                <w:sz w:val="21"/>
                <w:szCs w:val="24"/>
                <w:highlight w:val="none"/>
                <w:u w:val="none" w:color="auto"/>
              </w:rPr>
            </w:pPr>
          </w:p>
        </w:tc>
        <w:tc>
          <w:tcPr>
            <w:tcW w:w="2841" w:type="dxa"/>
            <w:tcBorders>
              <w:top w:val="single" w:color="auto" w:sz="6" w:space="0"/>
              <w:left w:val="single" w:color="auto" w:sz="6" w:space="0"/>
              <w:right w:val="single" w:color="auto" w:sz="6" w:space="0"/>
            </w:tcBorders>
            <w:vAlign w:val="center"/>
          </w:tcPr>
          <w:p w14:paraId="79728F4D">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岸线方向/°</w:t>
            </w:r>
          </w:p>
        </w:tc>
        <w:tc>
          <w:tcPr>
            <w:tcW w:w="2841" w:type="dxa"/>
            <w:tcBorders>
              <w:top w:val="single" w:color="auto" w:sz="6" w:space="0"/>
              <w:left w:val="single" w:color="auto" w:sz="6" w:space="0"/>
            </w:tcBorders>
            <w:vAlign w:val="center"/>
          </w:tcPr>
          <w:p w14:paraId="21AB927C">
            <w:pPr>
              <w:spacing w:line="240" w:lineRule="auto"/>
              <w:jc w:val="center"/>
              <w:rPr>
                <w:rFonts w:hint="default" w:ascii="Times New Roman" w:hAnsi="Times New Roman" w:eastAsia="宋体" w:cs="Times New Roman"/>
                <w:strike w:val="0"/>
                <w:dstrike w:val="0"/>
                <w:color w:val="auto"/>
                <w:sz w:val="21"/>
                <w:szCs w:val="24"/>
                <w:highlight w:val="none"/>
                <w:u w:val="none" w:color="auto"/>
              </w:rPr>
            </w:pPr>
            <w:r>
              <w:rPr>
                <w:rFonts w:hint="default" w:ascii="Times New Roman" w:hAnsi="Times New Roman" w:eastAsia="宋体" w:cs="Times New Roman"/>
                <w:strike w:val="0"/>
                <w:dstrike w:val="0"/>
                <w:color w:val="auto"/>
                <w:sz w:val="21"/>
                <w:szCs w:val="24"/>
                <w:highlight w:val="none"/>
                <w:u w:val="none" w:color="auto"/>
              </w:rPr>
              <w:t>-</w:t>
            </w:r>
          </w:p>
        </w:tc>
      </w:tr>
    </w:tbl>
    <w:p w14:paraId="04BB1838">
      <w:pPr>
        <w:ind w:firstLine="560"/>
        <w:rPr>
          <w:rFonts w:hint="default" w:ascii="Times New Roman" w:hAnsi="Times New Roman" w:eastAsia="宋体" w:cs="Times New Roman"/>
          <w:strike w:val="0"/>
          <w:dstrike w:val="0"/>
          <w:color w:val="auto"/>
          <w:sz w:val="24"/>
          <w:szCs w:val="21"/>
          <w:highlight w:val="none"/>
          <w:u w:val="single" w:color="auto"/>
        </w:rPr>
      </w:pPr>
      <w:r>
        <w:rPr>
          <w:rFonts w:hint="default" w:ascii="Times New Roman" w:hAnsi="Times New Roman" w:eastAsia="宋体" w:cs="Times New Roman"/>
          <w:strike w:val="0"/>
          <w:dstrike w:val="0"/>
          <w:color w:val="auto"/>
          <w:sz w:val="24"/>
          <w:szCs w:val="21"/>
          <w:highlight w:val="none"/>
          <w:u w:val="single" w:color="auto"/>
        </w:rPr>
        <w:t>（3）预测结果</w:t>
      </w:r>
    </w:p>
    <w:p w14:paraId="4A804E9E">
      <w:pPr>
        <w:ind w:firstLine="560"/>
        <w:rPr>
          <w:rFonts w:hint="default" w:ascii="Times New Roman" w:hAnsi="Times New Roman" w:eastAsia="宋体" w:cs="Times New Roman"/>
          <w:strike w:val="0"/>
          <w:dstrike w:val="0"/>
          <w:color w:val="auto"/>
          <w:sz w:val="24"/>
          <w:szCs w:val="21"/>
          <w:highlight w:val="none"/>
          <w:u w:val="single" w:color="auto"/>
        </w:rPr>
      </w:pPr>
      <w:r>
        <w:rPr>
          <w:rFonts w:hint="default" w:ascii="Times New Roman" w:hAnsi="Times New Roman" w:eastAsia="宋体" w:cs="Times New Roman"/>
          <w:strike w:val="0"/>
          <w:dstrike w:val="0"/>
          <w:color w:val="auto"/>
          <w:sz w:val="24"/>
          <w:szCs w:val="21"/>
          <w:highlight w:val="none"/>
          <w:u w:val="single" w:color="auto"/>
        </w:rPr>
        <w:t>AERSCREE模型估算各污染源最大落地浓度及占标率统计结果详见下</w:t>
      </w:r>
      <w:r>
        <w:rPr>
          <w:rFonts w:hint="default" w:ascii="Times New Roman" w:hAnsi="Times New Roman" w:eastAsia="宋体" w:cs="Times New Roman"/>
          <w:strike w:val="0"/>
          <w:dstrike w:val="0"/>
          <w:color w:val="auto"/>
          <w:sz w:val="24"/>
          <w:szCs w:val="21"/>
          <w:highlight w:val="none"/>
          <w:u w:val="single" w:color="auto"/>
          <w:lang w:eastAsia="zh-CN"/>
        </w:rPr>
        <w:t>图</w:t>
      </w:r>
      <w:r>
        <w:rPr>
          <w:rFonts w:hint="default" w:ascii="Times New Roman" w:hAnsi="Times New Roman" w:eastAsia="宋体" w:cs="Times New Roman"/>
          <w:strike w:val="0"/>
          <w:dstrike w:val="0"/>
          <w:color w:val="auto"/>
          <w:sz w:val="24"/>
          <w:szCs w:val="21"/>
          <w:highlight w:val="none"/>
          <w:u w:val="single" w:color="auto"/>
        </w:rPr>
        <w:t>，AERSCREE模型预测结果</w:t>
      </w:r>
      <w:r>
        <w:rPr>
          <w:rFonts w:hint="default" w:ascii="Times New Roman" w:hAnsi="Times New Roman" w:eastAsia="宋体" w:cs="Times New Roman"/>
          <w:strike w:val="0"/>
          <w:dstrike w:val="0"/>
          <w:color w:val="auto"/>
          <w:sz w:val="24"/>
          <w:szCs w:val="21"/>
          <w:highlight w:val="none"/>
          <w:u w:val="single" w:color="auto"/>
          <w:lang w:eastAsia="zh-CN"/>
        </w:rPr>
        <w:t>整理至下表</w:t>
      </w:r>
      <w:r>
        <w:rPr>
          <w:rFonts w:hint="default" w:ascii="Times New Roman" w:hAnsi="Times New Roman" w:eastAsia="宋体" w:cs="Times New Roman"/>
          <w:strike w:val="0"/>
          <w:dstrike w:val="0"/>
          <w:color w:val="auto"/>
          <w:sz w:val="24"/>
          <w:szCs w:val="21"/>
          <w:highlight w:val="none"/>
          <w:u w:val="single" w:color="auto"/>
        </w:rPr>
        <w:t>。</w:t>
      </w:r>
    </w:p>
    <w:p w14:paraId="348D3692">
      <w:pPr>
        <w:spacing w:line="240" w:lineRule="auto"/>
        <w:ind w:firstLine="0" w:firstLineChars="0"/>
        <w:jc w:val="center"/>
        <w:rPr>
          <w:rFonts w:hint="default" w:ascii="Times New Roman" w:hAnsi="Times New Roman" w:eastAsia="宋体" w:cs="Times New Roman"/>
          <w:b/>
          <w:strike w:val="0"/>
          <w:dstrike w:val="0"/>
          <w:color w:val="auto"/>
          <w:kern w:val="0"/>
          <w:sz w:val="21"/>
          <w:szCs w:val="20"/>
          <w:highlight w:val="none"/>
          <w:u w:val="single" w:color="auto"/>
          <w:lang w:eastAsia="zh-CN"/>
        </w:rPr>
      </w:pPr>
      <w:r>
        <w:rPr>
          <w:rFonts w:hint="default" w:ascii="Times New Roman" w:hAnsi="Times New Roman" w:eastAsia="宋体" w:cs="Times New Roman"/>
          <w:b/>
          <w:strike w:val="0"/>
          <w:dstrike w:val="0"/>
          <w:color w:val="auto"/>
          <w:kern w:val="0"/>
          <w:sz w:val="21"/>
          <w:szCs w:val="20"/>
          <w:highlight w:val="none"/>
          <w:u w:val="single" w:color="auto"/>
          <w:lang w:eastAsia="zh-CN"/>
        </w:rPr>
        <w:drawing>
          <wp:inline distT="0" distB="0" distL="114300" distR="114300">
            <wp:extent cx="5273040" cy="2952115"/>
            <wp:effectExtent l="0" t="0" r="3810" b="635"/>
            <wp:docPr id="14" name="图片 14" descr="166536603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5366035075"/>
                    <pic:cNvPicPr>
                      <a:picLocks noChangeAspect="1"/>
                    </pic:cNvPicPr>
                  </pic:nvPicPr>
                  <pic:blipFill>
                    <a:blip r:embed="rId40"/>
                    <a:stretch>
                      <a:fillRect/>
                    </a:stretch>
                  </pic:blipFill>
                  <pic:spPr>
                    <a:xfrm>
                      <a:off x="0" y="0"/>
                      <a:ext cx="5273040" cy="2952115"/>
                    </a:xfrm>
                    <a:prstGeom prst="rect">
                      <a:avLst/>
                    </a:prstGeom>
                  </pic:spPr>
                </pic:pic>
              </a:graphicData>
            </a:graphic>
          </wp:inline>
        </w:drawing>
      </w:r>
    </w:p>
    <w:p w14:paraId="209D56A1">
      <w:pPr>
        <w:spacing w:line="320" w:lineRule="exact"/>
        <w:ind w:firstLine="422" w:firstLineChars="200"/>
        <w:jc w:val="center"/>
        <w:rPr>
          <w:rFonts w:hint="default" w:ascii="Times New Roman" w:hAnsi="Times New Roman" w:eastAsia="宋体" w:cs="Times New Roman"/>
          <w:b/>
          <w:strike w:val="0"/>
          <w:dstrike w:val="0"/>
          <w:color w:val="auto"/>
          <w:kern w:val="0"/>
          <w:sz w:val="21"/>
          <w:szCs w:val="20"/>
          <w:highlight w:val="none"/>
          <w:u w:val="single" w:color="auto"/>
          <w:lang w:val="en-US" w:eastAsia="zh-CN"/>
        </w:rPr>
      </w:pPr>
      <w:r>
        <w:rPr>
          <w:rFonts w:hint="default" w:ascii="Times New Roman" w:hAnsi="Times New Roman" w:eastAsia="宋体" w:cs="Times New Roman"/>
          <w:b/>
          <w:strike w:val="0"/>
          <w:dstrike w:val="0"/>
          <w:color w:val="auto"/>
          <w:kern w:val="0"/>
          <w:sz w:val="21"/>
          <w:szCs w:val="20"/>
          <w:highlight w:val="none"/>
          <w:u w:val="single" w:color="auto"/>
          <w:lang w:eastAsia="zh-CN"/>
        </w:rPr>
        <w:t>图</w:t>
      </w:r>
      <w:r>
        <w:rPr>
          <w:rFonts w:hint="default" w:ascii="Times New Roman" w:hAnsi="Times New Roman" w:eastAsia="宋体" w:cs="Times New Roman"/>
          <w:b/>
          <w:strike w:val="0"/>
          <w:dstrike w:val="0"/>
          <w:color w:val="auto"/>
          <w:kern w:val="0"/>
          <w:sz w:val="21"/>
          <w:szCs w:val="20"/>
          <w:highlight w:val="none"/>
          <w:u w:val="single" w:color="auto"/>
          <w:lang w:val="en-US" w:eastAsia="zh-CN"/>
        </w:rPr>
        <w:t>7.2-1 本项目污染物预测结果图</w:t>
      </w:r>
    </w:p>
    <w:p w14:paraId="38A901BE">
      <w:pPr>
        <w:spacing w:line="320" w:lineRule="exact"/>
        <w:ind w:firstLine="422" w:firstLineChars="200"/>
        <w:jc w:val="center"/>
        <w:rPr>
          <w:rFonts w:hint="default" w:ascii="Times New Roman" w:hAnsi="Times New Roman" w:eastAsia="宋体" w:cs="Times New Roman"/>
          <w:b/>
          <w:strike w:val="0"/>
          <w:dstrike w:val="0"/>
          <w:color w:val="auto"/>
          <w:kern w:val="0"/>
          <w:sz w:val="21"/>
          <w:szCs w:val="20"/>
          <w:highlight w:val="none"/>
          <w:u w:val="single" w:color="auto"/>
        </w:rPr>
      </w:pPr>
      <w:r>
        <w:rPr>
          <w:rFonts w:hint="default" w:ascii="Times New Roman" w:hAnsi="Times New Roman" w:eastAsia="宋体" w:cs="Times New Roman"/>
          <w:b/>
          <w:strike w:val="0"/>
          <w:dstrike w:val="0"/>
          <w:color w:val="auto"/>
          <w:kern w:val="0"/>
          <w:sz w:val="21"/>
          <w:szCs w:val="20"/>
          <w:highlight w:val="none"/>
          <w:u w:val="single" w:color="auto"/>
        </w:rPr>
        <w:t>表</w:t>
      </w:r>
      <w:r>
        <w:rPr>
          <w:rFonts w:hint="default" w:ascii="Times New Roman" w:hAnsi="Times New Roman" w:eastAsia="宋体" w:cs="Times New Roman"/>
          <w:b/>
          <w:strike w:val="0"/>
          <w:dstrike w:val="0"/>
          <w:color w:val="auto"/>
          <w:kern w:val="0"/>
          <w:sz w:val="21"/>
          <w:szCs w:val="20"/>
          <w:highlight w:val="none"/>
          <w:u w:val="single" w:color="auto"/>
          <w:lang w:val="en-US" w:eastAsia="zh-CN"/>
        </w:rPr>
        <w:t>7.</w:t>
      </w:r>
      <w:r>
        <w:rPr>
          <w:rFonts w:hint="default" w:ascii="Times New Roman" w:hAnsi="Times New Roman" w:eastAsia="宋体" w:cs="Times New Roman"/>
          <w:b/>
          <w:strike w:val="0"/>
          <w:dstrike w:val="0"/>
          <w:color w:val="auto"/>
          <w:kern w:val="0"/>
          <w:sz w:val="21"/>
          <w:szCs w:val="20"/>
          <w:highlight w:val="none"/>
          <w:u w:val="single" w:color="auto"/>
        </w:rPr>
        <w:t>2-</w:t>
      </w:r>
      <w:r>
        <w:rPr>
          <w:rFonts w:hint="default" w:ascii="Times New Roman" w:hAnsi="Times New Roman" w:eastAsia="宋体" w:cs="Times New Roman"/>
          <w:b/>
          <w:strike w:val="0"/>
          <w:dstrike w:val="0"/>
          <w:color w:val="auto"/>
          <w:kern w:val="0"/>
          <w:sz w:val="21"/>
          <w:szCs w:val="20"/>
          <w:highlight w:val="none"/>
          <w:u w:val="single" w:color="auto"/>
          <w:lang w:val="en-US" w:eastAsia="zh-CN"/>
        </w:rPr>
        <w:t xml:space="preserve">4  </w:t>
      </w:r>
      <w:r>
        <w:rPr>
          <w:rFonts w:hint="default" w:ascii="Times New Roman" w:hAnsi="Times New Roman" w:eastAsia="宋体" w:cs="Times New Roman"/>
          <w:b/>
          <w:strike w:val="0"/>
          <w:dstrike w:val="0"/>
          <w:color w:val="auto"/>
          <w:kern w:val="0"/>
          <w:sz w:val="21"/>
          <w:szCs w:val="20"/>
          <w:highlight w:val="none"/>
          <w:u w:val="single" w:color="auto"/>
        </w:rPr>
        <w:t>本项目主要污染物预测结果统计表</w:t>
      </w:r>
    </w:p>
    <w:tbl>
      <w:tblPr>
        <w:tblStyle w:val="22"/>
        <w:tblW w:w="87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699"/>
        <w:gridCol w:w="1773"/>
        <w:gridCol w:w="1773"/>
        <w:gridCol w:w="1773"/>
      </w:tblGrid>
      <w:tr w14:paraId="2178B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Align w:val="center"/>
          </w:tcPr>
          <w:p w14:paraId="45D1F9F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排气筒编号</w:t>
            </w:r>
          </w:p>
        </w:tc>
        <w:tc>
          <w:tcPr>
            <w:tcW w:w="1699" w:type="dxa"/>
            <w:vAlign w:val="center"/>
          </w:tcPr>
          <w:p w14:paraId="173D757A">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污染物</w:t>
            </w:r>
          </w:p>
        </w:tc>
        <w:tc>
          <w:tcPr>
            <w:tcW w:w="1773" w:type="dxa"/>
            <w:vAlign w:val="center"/>
          </w:tcPr>
          <w:p w14:paraId="279A26A8">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kern w:val="0"/>
                <w:sz w:val="21"/>
                <w:szCs w:val="21"/>
                <w:highlight w:val="none"/>
                <w:u w:val="single" w:color="auto"/>
              </w:rPr>
              <w:t>下风向最大预测浓度（</w:t>
            </w:r>
            <w:r>
              <w:rPr>
                <w:rFonts w:hint="default" w:ascii="Times New Roman" w:hAnsi="Times New Roman" w:eastAsia="宋体" w:cs="Times New Roman"/>
                <w:b w:val="0"/>
                <w:bCs w:val="0"/>
                <w:strike w:val="0"/>
                <w:dstrike w:val="0"/>
                <w:color w:val="auto"/>
                <w:kern w:val="0"/>
                <w:sz w:val="21"/>
                <w:szCs w:val="21"/>
                <w:highlight w:val="none"/>
                <w:u w:val="single" w:color="auto"/>
                <w:lang w:eastAsia="zh-CN"/>
              </w:rPr>
              <w:t>μ</w:t>
            </w:r>
            <w:r>
              <w:rPr>
                <w:rFonts w:hint="default" w:ascii="Times New Roman" w:hAnsi="Times New Roman" w:eastAsia="宋体" w:cs="Times New Roman"/>
                <w:b w:val="0"/>
                <w:bCs w:val="0"/>
                <w:strike w:val="0"/>
                <w:dstrike w:val="0"/>
                <w:color w:val="auto"/>
                <w:kern w:val="0"/>
                <w:sz w:val="21"/>
                <w:szCs w:val="21"/>
                <w:highlight w:val="none"/>
                <w:u w:val="single" w:color="auto"/>
              </w:rPr>
              <w:t>g/m</w:t>
            </w:r>
            <w:r>
              <w:rPr>
                <w:rFonts w:hint="default" w:ascii="Times New Roman" w:hAnsi="Times New Roman" w:eastAsia="宋体" w:cs="Times New Roman"/>
                <w:b w:val="0"/>
                <w:bCs w:val="0"/>
                <w:strike w:val="0"/>
                <w:dstrike w:val="0"/>
                <w:color w:val="auto"/>
                <w:kern w:val="0"/>
                <w:sz w:val="21"/>
                <w:szCs w:val="21"/>
                <w:highlight w:val="none"/>
                <w:u w:val="single" w:color="auto"/>
                <w:vertAlign w:val="superscript"/>
              </w:rPr>
              <w:t>3</w:t>
            </w:r>
            <w:r>
              <w:rPr>
                <w:rFonts w:hint="default" w:ascii="Times New Roman" w:hAnsi="Times New Roman" w:eastAsia="宋体" w:cs="Times New Roman"/>
                <w:b w:val="0"/>
                <w:bCs w:val="0"/>
                <w:strike w:val="0"/>
                <w:dstrike w:val="0"/>
                <w:color w:val="auto"/>
                <w:kern w:val="0"/>
                <w:sz w:val="21"/>
                <w:szCs w:val="21"/>
                <w:highlight w:val="none"/>
                <w:u w:val="single" w:color="auto"/>
              </w:rPr>
              <w:t>）</w:t>
            </w:r>
          </w:p>
        </w:tc>
        <w:tc>
          <w:tcPr>
            <w:tcW w:w="1773" w:type="dxa"/>
            <w:vAlign w:val="center"/>
          </w:tcPr>
          <w:p w14:paraId="61530B7B">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kern w:val="0"/>
                <w:sz w:val="21"/>
                <w:szCs w:val="21"/>
                <w:highlight w:val="none"/>
                <w:u w:val="single" w:color="auto"/>
              </w:rPr>
              <w:t>最大落地浓度占标率（%）</w:t>
            </w:r>
          </w:p>
        </w:tc>
        <w:tc>
          <w:tcPr>
            <w:tcW w:w="1773" w:type="dxa"/>
            <w:vAlign w:val="center"/>
          </w:tcPr>
          <w:p w14:paraId="1FBECAD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kern w:val="0"/>
                <w:sz w:val="21"/>
                <w:szCs w:val="21"/>
                <w:highlight w:val="none"/>
                <w:u w:val="single" w:color="auto"/>
              </w:rPr>
              <w:t>最大预测浓度距源下风向距离（m）</w:t>
            </w:r>
          </w:p>
        </w:tc>
      </w:tr>
      <w:tr w14:paraId="755D2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Align w:val="center"/>
          </w:tcPr>
          <w:p w14:paraId="5C0683D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DA001</w:t>
            </w:r>
          </w:p>
        </w:tc>
        <w:tc>
          <w:tcPr>
            <w:tcW w:w="1699" w:type="dxa"/>
            <w:vAlign w:val="center"/>
          </w:tcPr>
          <w:p w14:paraId="582259A9">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1773" w:type="dxa"/>
            <w:vAlign w:val="center"/>
          </w:tcPr>
          <w:p w14:paraId="6B53B88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0.29885</w:t>
            </w:r>
          </w:p>
        </w:tc>
        <w:tc>
          <w:tcPr>
            <w:tcW w:w="1773" w:type="dxa"/>
            <w:vAlign w:val="center"/>
          </w:tcPr>
          <w:p w14:paraId="06C512A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0.12</w:t>
            </w:r>
          </w:p>
        </w:tc>
        <w:tc>
          <w:tcPr>
            <w:tcW w:w="1773" w:type="dxa"/>
            <w:vAlign w:val="center"/>
          </w:tcPr>
          <w:p w14:paraId="354843C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665</w:t>
            </w:r>
          </w:p>
        </w:tc>
      </w:tr>
      <w:tr w14:paraId="5E41A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78D71CD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DA002</w:t>
            </w:r>
          </w:p>
        </w:tc>
        <w:tc>
          <w:tcPr>
            <w:tcW w:w="1699" w:type="dxa"/>
            <w:vAlign w:val="center"/>
          </w:tcPr>
          <w:p w14:paraId="3CD7FC0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30445B4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0.00294</w:t>
            </w:r>
          </w:p>
        </w:tc>
        <w:tc>
          <w:tcPr>
            <w:tcW w:w="1773" w:type="dxa"/>
            <w:vAlign w:val="center"/>
          </w:tcPr>
          <w:p w14:paraId="6F07089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0.01</w:t>
            </w:r>
          </w:p>
        </w:tc>
        <w:tc>
          <w:tcPr>
            <w:tcW w:w="1773" w:type="dxa"/>
            <w:vMerge w:val="restart"/>
            <w:vAlign w:val="center"/>
          </w:tcPr>
          <w:p w14:paraId="75F4F0F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673</w:t>
            </w:r>
          </w:p>
        </w:tc>
      </w:tr>
      <w:tr w14:paraId="73910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2130408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700EF63C">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7528E40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0.29402</w:t>
            </w:r>
          </w:p>
        </w:tc>
        <w:tc>
          <w:tcPr>
            <w:tcW w:w="1773" w:type="dxa"/>
            <w:vAlign w:val="center"/>
          </w:tcPr>
          <w:p w14:paraId="01EDB14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w:t>
            </w:r>
          </w:p>
        </w:tc>
        <w:tc>
          <w:tcPr>
            <w:tcW w:w="1773" w:type="dxa"/>
            <w:vMerge w:val="continue"/>
            <w:vAlign w:val="center"/>
          </w:tcPr>
          <w:p w14:paraId="77796EF9">
            <w:pPr>
              <w:spacing w:line="240" w:lineRule="auto"/>
              <w:jc w:val="center"/>
              <w:rPr>
                <w:rFonts w:hint="default" w:ascii="Times New Roman" w:hAnsi="Times New Roman" w:eastAsia="宋体" w:cs="Times New Roman"/>
                <w:color w:val="auto"/>
                <w:sz w:val="21"/>
                <w:szCs w:val="21"/>
                <w:highlight w:val="none"/>
                <w:u w:val="single" w:color="auto"/>
              </w:rPr>
            </w:pPr>
          </w:p>
        </w:tc>
      </w:tr>
      <w:tr w14:paraId="15307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0C44FA2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DA003</w:t>
            </w:r>
          </w:p>
        </w:tc>
        <w:tc>
          <w:tcPr>
            <w:tcW w:w="1699" w:type="dxa"/>
            <w:vAlign w:val="center"/>
          </w:tcPr>
          <w:p w14:paraId="586077F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25C5E18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0.001298</w:t>
            </w:r>
          </w:p>
        </w:tc>
        <w:tc>
          <w:tcPr>
            <w:tcW w:w="1773" w:type="dxa"/>
            <w:vAlign w:val="center"/>
          </w:tcPr>
          <w:p w14:paraId="7A2FD95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0.003</w:t>
            </w:r>
          </w:p>
        </w:tc>
        <w:tc>
          <w:tcPr>
            <w:tcW w:w="1773" w:type="dxa"/>
            <w:vMerge w:val="restart"/>
            <w:vAlign w:val="center"/>
          </w:tcPr>
          <w:p w14:paraId="5381DB2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721</w:t>
            </w:r>
          </w:p>
        </w:tc>
      </w:tr>
      <w:tr w14:paraId="0EA52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07E35678">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350C56A0">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1F9AFCA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0.25954</w:t>
            </w:r>
          </w:p>
        </w:tc>
        <w:tc>
          <w:tcPr>
            <w:tcW w:w="1773" w:type="dxa"/>
            <w:vAlign w:val="center"/>
          </w:tcPr>
          <w:p w14:paraId="3DC7C18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0.09</w:t>
            </w:r>
          </w:p>
        </w:tc>
        <w:tc>
          <w:tcPr>
            <w:tcW w:w="1773" w:type="dxa"/>
            <w:vMerge w:val="continue"/>
            <w:vAlign w:val="center"/>
          </w:tcPr>
          <w:p w14:paraId="791C52C7">
            <w:pPr>
              <w:spacing w:line="240" w:lineRule="auto"/>
              <w:jc w:val="center"/>
              <w:rPr>
                <w:rFonts w:hint="default" w:ascii="Times New Roman" w:hAnsi="Times New Roman" w:eastAsia="宋体" w:cs="Times New Roman"/>
                <w:color w:val="auto"/>
                <w:sz w:val="21"/>
                <w:szCs w:val="21"/>
                <w:highlight w:val="none"/>
                <w:u w:val="single" w:color="auto"/>
              </w:rPr>
            </w:pPr>
          </w:p>
        </w:tc>
      </w:tr>
      <w:tr w14:paraId="3F4E6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63BA809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DA004</w:t>
            </w:r>
          </w:p>
        </w:tc>
        <w:tc>
          <w:tcPr>
            <w:tcW w:w="1699" w:type="dxa"/>
            <w:vAlign w:val="center"/>
          </w:tcPr>
          <w:p w14:paraId="1E69E93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6047BA4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0.000801</w:t>
            </w:r>
          </w:p>
        </w:tc>
        <w:tc>
          <w:tcPr>
            <w:tcW w:w="1773" w:type="dxa"/>
            <w:vAlign w:val="center"/>
          </w:tcPr>
          <w:p w14:paraId="68E43BE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0.002</w:t>
            </w:r>
          </w:p>
        </w:tc>
        <w:tc>
          <w:tcPr>
            <w:tcW w:w="1773" w:type="dxa"/>
            <w:vMerge w:val="restart"/>
            <w:vAlign w:val="center"/>
          </w:tcPr>
          <w:p w14:paraId="040639F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677</w:t>
            </w:r>
          </w:p>
        </w:tc>
      </w:tr>
      <w:tr w14:paraId="445F3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62BE1D7E">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407B647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42045DF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0.106749</w:t>
            </w:r>
          </w:p>
        </w:tc>
        <w:tc>
          <w:tcPr>
            <w:tcW w:w="1773" w:type="dxa"/>
            <w:vAlign w:val="center"/>
          </w:tcPr>
          <w:p w14:paraId="070B516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0.04</w:t>
            </w:r>
          </w:p>
        </w:tc>
        <w:tc>
          <w:tcPr>
            <w:tcW w:w="1773" w:type="dxa"/>
            <w:vMerge w:val="continue"/>
            <w:vAlign w:val="center"/>
          </w:tcPr>
          <w:p w14:paraId="43B03B3E">
            <w:pPr>
              <w:spacing w:line="240" w:lineRule="auto"/>
              <w:jc w:val="center"/>
              <w:rPr>
                <w:rFonts w:hint="default" w:ascii="Times New Roman" w:hAnsi="Times New Roman" w:eastAsia="宋体" w:cs="Times New Roman"/>
                <w:color w:val="auto"/>
                <w:sz w:val="21"/>
                <w:szCs w:val="21"/>
                <w:highlight w:val="none"/>
                <w:u w:val="single" w:color="auto"/>
              </w:rPr>
            </w:pPr>
          </w:p>
        </w:tc>
      </w:tr>
      <w:tr w14:paraId="619AC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568FDEF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DA005</w:t>
            </w:r>
          </w:p>
        </w:tc>
        <w:tc>
          <w:tcPr>
            <w:tcW w:w="1699" w:type="dxa"/>
            <w:vAlign w:val="center"/>
          </w:tcPr>
          <w:p w14:paraId="6646858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4C542F8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0.087716</w:t>
            </w:r>
          </w:p>
        </w:tc>
        <w:tc>
          <w:tcPr>
            <w:tcW w:w="1773" w:type="dxa"/>
            <w:vAlign w:val="center"/>
          </w:tcPr>
          <w:p w14:paraId="55AAAAA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0.18</w:t>
            </w:r>
          </w:p>
        </w:tc>
        <w:tc>
          <w:tcPr>
            <w:tcW w:w="1773" w:type="dxa"/>
            <w:vMerge w:val="restart"/>
            <w:vAlign w:val="center"/>
          </w:tcPr>
          <w:p w14:paraId="5D7CD2D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631</w:t>
            </w:r>
          </w:p>
        </w:tc>
      </w:tr>
      <w:tr w14:paraId="0EDF1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5AB52710">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222939A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6B96056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0.029239</w:t>
            </w:r>
          </w:p>
        </w:tc>
        <w:tc>
          <w:tcPr>
            <w:tcW w:w="1773" w:type="dxa"/>
            <w:vAlign w:val="center"/>
          </w:tcPr>
          <w:p w14:paraId="2A5E3E4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0.01</w:t>
            </w:r>
          </w:p>
        </w:tc>
        <w:tc>
          <w:tcPr>
            <w:tcW w:w="1773" w:type="dxa"/>
            <w:vMerge w:val="continue"/>
            <w:vAlign w:val="center"/>
          </w:tcPr>
          <w:p w14:paraId="32C725CE">
            <w:pPr>
              <w:spacing w:line="240" w:lineRule="auto"/>
              <w:jc w:val="center"/>
              <w:rPr>
                <w:rFonts w:hint="default" w:ascii="Times New Roman" w:hAnsi="Times New Roman" w:eastAsia="宋体" w:cs="Times New Roman"/>
                <w:color w:val="auto"/>
                <w:sz w:val="21"/>
                <w:szCs w:val="21"/>
                <w:highlight w:val="none"/>
                <w:u w:val="single" w:color="auto"/>
              </w:rPr>
            </w:pPr>
          </w:p>
        </w:tc>
      </w:tr>
      <w:tr w14:paraId="7A1BE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26CB3D51">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0F8E8CB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1773" w:type="dxa"/>
            <w:vAlign w:val="center"/>
          </w:tcPr>
          <w:p w14:paraId="37C7688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0.58477</w:t>
            </w:r>
          </w:p>
        </w:tc>
        <w:tc>
          <w:tcPr>
            <w:tcW w:w="1773" w:type="dxa"/>
            <w:vAlign w:val="center"/>
          </w:tcPr>
          <w:p w14:paraId="288A957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0.23</w:t>
            </w:r>
          </w:p>
        </w:tc>
        <w:tc>
          <w:tcPr>
            <w:tcW w:w="1773" w:type="dxa"/>
            <w:vMerge w:val="continue"/>
            <w:vAlign w:val="center"/>
          </w:tcPr>
          <w:p w14:paraId="25C08843">
            <w:pPr>
              <w:spacing w:line="240" w:lineRule="auto"/>
              <w:jc w:val="center"/>
              <w:rPr>
                <w:rFonts w:hint="default" w:ascii="Times New Roman" w:hAnsi="Times New Roman" w:eastAsia="宋体" w:cs="Times New Roman"/>
                <w:color w:val="auto"/>
                <w:sz w:val="21"/>
                <w:szCs w:val="21"/>
                <w:highlight w:val="none"/>
                <w:u w:val="single" w:color="auto"/>
              </w:rPr>
            </w:pPr>
          </w:p>
        </w:tc>
      </w:tr>
      <w:tr w14:paraId="1EA57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99" w:type="dxa"/>
            <w:vMerge w:val="restart"/>
            <w:vAlign w:val="center"/>
          </w:tcPr>
          <w:p w14:paraId="20A1823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DA006</w:t>
            </w:r>
          </w:p>
        </w:tc>
        <w:tc>
          <w:tcPr>
            <w:tcW w:w="1699" w:type="dxa"/>
            <w:vAlign w:val="center"/>
          </w:tcPr>
          <w:p w14:paraId="321F1B0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73" w:type="dxa"/>
            <w:vAlign w:val="center"/>
          </w:tcPr>
          <w:p w14:paraId="6B37503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0.084828</w:t>
            </w:r>
          </w:p>
        </w:tc>
        <w:tc>
          <w:tcPr>
            <w:tcW w:w="1773" w:type="dxa"/>
            <w:vAlign w:val="center"/>
          </w:tcPr>
          <w:p w14:paraId="7FD65DD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0.17</w:t>
            </w:r>
          </w:p>
        </w:tc>
        <w:tc>
          <w:tcPr>
            <w:tcW w:w="1773" w:type="dxa"/>
            <w:vMerge w:val="restart"/>
            <w:vAlign w:val="center"/>
          </w:tcPr>
          <w:p w14:paraId="23796D0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648</w:t>
            </w:r>
          </w:p>
        </w:tc>
      </w:tr>
      <w:tr w14:paraId="520F2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62ED1F86">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1CE7CF6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73" w:type="dxa"/>
            <w:vAlign w:val="center"/>
          </w:tcPr>
          <w:p w14:paraId="5F375EC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0.084828</w:t>
            </w:r>
          </w:p>
        </w:tc>
        <w:tc>
          <w:tcPr>
            <w:tcW w:w="1773" w:type="dxa"/>
            <w:vAlign w:val="center"/>
          </w:tcPr>
          <w:p w14:paraId="66E17D9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0.03</w:t>
            </w:r>
          </w:p>
        </w:tc>
        <w:tc>
          <w:tcPr>
            <w:tcW w:w="1773" w:type="dxa"/>
            <w:vMerge w:val="continue"/>
            <w:vAlign w:val="center"/>
          </w:tcPr>
          <w:p w14:paraId="6B293026">
            <w:pPr>
              <w:spacing w:line="240" w:lineRule="auto"/>
              <w:jc w:val="center"/>
              <w:rPr>
                <w:rFonts w:hint="default" w:ascii="Times New Roman" w:hAnsi="Times New Roman" w:eastAsia="宋体" w:cs="Times New Roman"/>
                <w:color w:val="auto"/>
                <w:sz w:val="21"/>
                <w:szCs w:val="21"/>
                <w:highlight w:val="none"/>
                <w:u w:val="single" w:color="auto"/>
              </w:rPr>
            </w:pPr>
          </w:p>
        </w:tc>
      </w:tr>
      <w:tr w14:paraId="57898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99" w:type="dxa"/>
            <w:vMerge w:val="continue"/>
            <w:vAlign w:val="center"/>
          </w:tcPr>
          <w:p w14:paraId="1BA00E01">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99" w:type="dxa"/>
            <w:vAlign w:val="center"/>
          </w:tcPr>
          <w:p w14:paraId="13B58B0B">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1773" w:type="dxa"/>
            <w:vAlign w:val="center"/>
          </w:tcPr>
          <w:p w14:paraId="1FAAD1F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0.56552</w:t>
            </w:r>
          </w:p>
        </w:tc>
        <w:tc>
          <w:tcPr>
            <w:tcW w:w="1773" w:type="dxa"/>
            <w:vAlign w:val="center"/>
          </w:tcPr>
          <w:p w14:paraId="7760201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0.23</w:t>
            </w:r>
          </w:p>
        </w:tc>
        <w:tc>
          <w:tcPr>
            <w:tcW w:w="1773" w:type="dxa"/>
            <w:vMerge w:val="continue"/>
            <w:vAlign w:val="center"/>
          </w:tcPr>
          <w:p w14:paraId="04BB0172">
            <w:pPr>
              <w:spacing w:line="240" w:lineRule="auto"/>
              <w:jc w:val="center"/>
              <w:rPr>
                <w:rFonts w:hint="default" w:ascii="Times New Roman" w:hAnsi="Times New Roman" w:eastAsia="宋体" w:cs="Times New Roman"/>
                <w:color w:val="auto"/>
                <w:sz w:val="21"/>
                <w:szCs w:val="21"/>
                <w:highlight w:val="none"/>
                <w:u w:val="single" w:color="auto"/>
              </w:rPr>
            </w:pPr>
          </w:p>
        </w:tc>
      </w:tr>
      <w:tr w14:paraId="13837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Align w:val="center"/>
          </w:tcPr>
          <w:p w14:paraId="428E7E2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DA007</w:t>
            </w:r>
          </w:p>
        </w:tc>
        <w:tc>
          <w:tcPr>
            <w:tcW w:w="1699" w:type="dxa"/>
            <w:vAlign w:val="center"/>
          </w:tcPr>
          <w:p w14:paraId="4AB70FD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非甲烷总烃</w:t>
            </w:r>
          </w:p>
        </w:tc>
        <w:tc>
          <w:tcPr>
            <w:tcW w:w="1773" w:type="dxa"/>
            <w:vAlign w:val="center"/>
          </w:tcPr>
          <w:p w14:paraId="177461D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5.2926</w:t>
            </w:r>
          </w:p>
        </w:tc>
        <w:tc>
          <w:tcPr>
            <w:tcW w:w="1773" w:type="dxa"/>
            <w:vAlign w:val="center"/>
          </w:tcPr>
          <w:p w14:paraId="6853928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0.44</w:t>
            </w:r>
          </w:p>
        </w:tc>
        <w:tc>
          <w:tcPr>
            <w:tcW w:w="1773" w:type="dxa"/>
            <w:vAlign w:val="center"/>
          </w:tcPr>
          <w:p w14:paraId="5D3169E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629</w:t>
            </w:r>
          </w:p>
        </w:tc>
      </w:tr>
      <w:tr w14:paraId="7BC37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2D02FAF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1#厂房</w:t>
            </w:r>
          </w:p>
        </w:tc>
        <w:tc>
          <w:tcPr>
            <w:tcW w:w="1699" w:type="dxa"/>
            <w:vAlign w:val="center"/>
          </w:tcPr>
          <w:p w14:paraId="78408BB5">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rPr>
              <w:t>氯化氢</w:t>
            </w:r>
          </w:p>
        </w:tc>
        <w:tc>
          <w:tcPr>
            <w:tcW w:w="1773" w:type="dxa"/>
            <w:vAlign w:val="center"/>
          </w:tcPr>
          <w:p w14:paraId="5C05319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0.313887</w:t>
            </w:r>
          </w:p>
        </w:tc>
        <w:tc>
          <w:tcPr>
            <w:tcW w:w="1773" w:type="dxa"/>
            <w:vAlign w:val="center"/>
          </w:tcPr>
          <w:p w14:paraId="02D1E5E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0.63</w:t>
            </w:r>
          </w:p>
        </w:tc>
        <w:tc>
          <w:tcPr>
            <w:tcW w:w="1773" w:type="dxa"/>
            <w:vMerge w:val="restart"/>
            <w:vAlign w:val="center"/>
          </w:tcPr>
          <w:p w14:paraId="5A57729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47</w:t>
            </w:r>
          </w:p>
        </w:tc>
      </w:tr>
      <w:tr w14:paraId="557A5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553A3FF5">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7FC6C063">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eastAsia="zh-CN"/>
              </w:rPr>
              <w:t>硫酸雾</w:t>
            </w:r>
          </w:p>
        </w:tc>
        <w:tc>
          <w:tcPr>
            <w:tcW w:w="1773" w:type="dxa"/>
            <w:vAlign w:val="center"/>
          </w:tcPr>
          <w:p w14:paraId="650DC1F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1.883322</w:t>
            </w:r>
          </w:p>
        </w:tc>
        <w:tc>
          <w:tcPr>
            <w:tcW w:w="1773" w:type="dxa"/>
            <w:vAlign w:val="center"/>
          </w:tcPr>
          <w:p w14:paraId="3D1F2EA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0.63</w:t>
            </w:r>
          </w:p>
        </w:tc>
        <w:tc>
          <w:tcPr>
            <w:tcW w:w="1773" w:type="dxa"/>
            <w:vMerge w:val="continue"/>
            <w:vAlign w:val="center"/>
          </w:tcPr>
          <w:p w14:paraId="31E7E66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75166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32419C2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30763019">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rPr>
              <w:t>氮氧化物</w:t>
            </w:r>
          </w:p>
        </w:tc>
        <w:tc>
          <w:tcPr>
            <w:tcW w:w="1773" w:type="dxa"/>
            <w:vAlign w:val="center"/>
          </w:tcPr>
          <w:p w14:paraId="6FC5604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0.313887</w:t>
            </w:r>
          </w:p>
        </w:tc>
        <w:tc>
          <w:tcPr>
            <w:tcW w:w="1773" w:type="dxa"/>
            <w:vAlign w:val="center"/>
          </w:tcPr>
          <w:p w14:paraId="58D4E96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0.13</w:t>
            </w:r>
          </w:p>
        </w:tc>
        <w:tc>
          <w:tcPr>
            <w:tcW w:w="1773" w:type="dxa"/>
            <w:vMerge w:val="continue"/>
            <w:vAlign w:val="center"/>
          </w:tcPr>
          <w:p w14:paraId="1539DAB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69DBC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6ACBBD7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4F1B427E">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TSP</w:t>
            </w:r>
          </w:p>
        </w:tc>
        <w:tc>
          <w:tcPr>
            <w:tcW w:w="1773" w:type="dxa"/>
            <w:vAlign w:val="center"/>
          </w:tcPr>
          <w:p w14:paraId="388305B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36.097</w:t>
            </w:r>
          </w:p>
        </w:tc>
        <w:tc>
          <w:tcPr>
            <w:tcW w:w="1773" w:type="dxa"/>
            <w:vAlign w:val="center"/>
          </w:tcPr>
          <w:p w14:paraId="270B505A">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4.01</w:t>
            </w:r>
          </w:p>
        </w:tc>
        <w:tc>
          <w:tcPr>
            <w:tcW w:w="1773" w:type="dxa"/>
            <w:vMerge w:val="continue"/>
            <w:vAlign w:val="center"/>
          </w:tcPr>
          <w:p w14:paraId="3D0F98F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49EC7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vAlign w:val="center"/>
          </w:tcPr>
          <w:p w14:paraId="05D3B91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2#厂房</w:t>
            </w:r>
          </w:p>
        </w:tc>
        <w:tc>
          <w:tcPr>
            <w:tcW w:w="1699" w:type="dxa"/>
            <w:vAlign w:val="center"/>
          </w:tcPr>
          <w:p w14:paraId="6BCE1AA6">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rPr>
              <w:t>氯化氢</w:t>
            </w:r>
          </w:p>
        </w:tc>
        <w:tc>
          <w:tcPr>
            <w:tcW w:w="1773" w:type="dxa"/>
            <w:vAlign w:val="center"/>
          </w:tcPr>
          <w:p w14:paraId="69BCA7D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0.318877</w:t>
            </w:r>
          </w:p>
        </w:tc>
        <w:tc>
          <w:tcPr>
            <w:tcW w:w="1773" w:type="dxa"/>
            <w:vAlign w:val="center"/>
          </w:tcPr>
          <w:p w14:paraId="4196591B">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0.63</w:t>
            </w:r>
          </w:p>
        </w:tc>
        <w:tc>
          <w:tcPr>
            <w:tcW w:w="1773" w:type="dxa"/>
            <w:vMerge w:val="restart"/>
            <w:vAlign w:val="center"/>
          </w:tcPr>
          <w:p w14:paraId="29DB054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47</w:t>
            </w:r>
          </w:p>
        </w:tc>
      </w:tr>
      <w:tr w14:paraId="2D64E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74B2DB0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19A04175">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eastAsia="zh-CN"/>
              </w:rPr>
              <w:t>硫酸雾</w:t>
            </w:r>
          </w:p>
        </w:tc>
        <w:tc>
          <w:tcPr>
            <w:tcW w:w="1773" w:type="dxa"/>
            <w:vAlign w:val="center"/>
          </w:tcPr>
          <w:p w14:paraId="2268178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1.255548</w:t>
            </w:r>
          </w:p>
        </w:tc>
        <w:tc>
          <w:tcPr>
            <w:tcW w:w="1773" w:type="dxa"/>
            <w:vAlign w:val="center"/>
          </w:tcPr>
          <w:p w14:paraId="3C31F77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0.42</w:t>
            </w:r>
          </w:p>
        </w:tc>
        <w:tc>
          <w:tcPr>
            <w:tcW w:w="1773" w:type="dxa"/>
            <w:vMerge w:val="continue"/>
            <w:vAlign w:val="center"/>
          </w:tcPr>
          <w:p w14:paraId="6C77037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22340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699" w:type="dxa"/>
            <w:vMerge w:val="continue"/>
            <w:vAlign w:val="center"/>
          </w:tcPr>
          <w:p w14:paraId="10C7D46E">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447FBD8C">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rPr>
              <w:t>氮氧化物</w:t>
            </w:r>
          </w:p>
        </w:tc>
        <w:tc>
          <w:tcPr>
            <w:tcW w:w="1773" w:type="dxa"/>
            <w:vAlign w:val="center"/>
          </w:tcPr>
          <w:p w14:paraId="1E0BEF5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0.627774</w:t>
            </w:r>
          </w:p>
        </w:tc>
        <w:tc>
          <w:tcPr>
            <w:tcW w:w="1773" w:type="dxa"/>
            <w:vAlign w:val="center"/>
          </w:tcPr>
          <w:p w14:paraId="5200305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0.25</w:t>
            </w:r>
          </w:p>
        </w:tc>
        <w:tc>
          <w:tcPr>
            <w:tcW w:w="1773" w:type="dxa"/>
            <w:vMerge w:val="continue"/>
            <w:vAlign w:val="center"/>
          </w:tcPr>
          <w:p w14:paraId="750D419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3329D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2B7ACBC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54CB53FA">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非甲烷总烃</w:t>
            </w:r>
          </w:p>
        </w:tc>
        <w:tc>
          <w:tcPr>
            <w:tcW w:w="1773" w:type="dxa"/>
            <w:vAlign w:val="center"/>
          </w:tcPr>
          <w:p w14:paraId="4446BFA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1.569435</w:t>
            </w:r>
          </w:p>
        </w:tc>
        <w:tc>
          <w:tcPr>
            <w:tcW w:w="1773" w:type="dxa"/>
            <w:vAlign w:val="center"/>
          </w:tcPr>
          <w:p w14:paraId="0C563C6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0.13</w:t>
            </w:r>
          </w:p>
        </w:tc>
        <w:tc>
          <w:tcPr>
            <w:tcW w:w="1773" w:type="dxa"/>
            <w:vMerge w:val="continue"/>
            <w:vAlign w:val="center"/>
          </w:tcPr>
          <w:p w14:paraId="24D5392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r w14:paraId="761D1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vAlign w:val="center"/>
          </w:tcPr>
          <w:p w14:paraId="323BFCC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1699" w:type="dxa"/>
            <w:vAlign w:val="center"/>
          </w:tcPr>
          <w:p w14:paraId="7E7A81FE">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cs="Times New Roman"/>
                <w:color w:val="auto"/>
                <w:sz w:val="21"/>
                <w:szCs w:val="21"/>
                <w:highlight w:val="none"/>
                <w:u w:val="single" w:color="auto"/>
                <w:lang w:val="en-US" w:eastAsia="zh-CN"/>
              </w:rPr>
              <w:t>TSP</w:t>
            </w:r>
          </w:p>
        </w:tc>
        <w:tc>
          <w:tcPr>
            <w:tcW w:w="1773" w:type="dxa"/>
            <w:vAlign w:val="center"/>
          </w:tcPr>
          <w:p w14:paraId="549959B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39.097</w:t>
            </w:r>
          </w:p>
        </w:tc>
        <w:tc>
          <w:tcPr>
            <w:tcW w:w="1773" w:type="dxa"/>
            <w:vAlign w:val="center"/>
          </w:tcPr>
          <w:p w14:paraId="70D014D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4.01</w:t>
            </w:r>
          </w:p>
        </w:tc>
        <w:tc>
          <w:tcPr>
            <w:tcW w:w="1773" w:type="dxa"/>
            <w:vMerge w:val="continue"/>
            <w:vAlign w:val="center"/>
          </w:tcPr>
          <w:p w14:paraId="20727F87">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r>
    </w:tbl>
    <w:p w14:paraId="0E446A7B">
      <w:pPr>
        <w:ind w:firstLine="56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（4）预测结果分析</w:t>
      </w:r>
    </w:p>
    <w:p w14:paraId="607FCD52">
      <w:pPr>
        <w:keepNext w:val="0"/>
        <w:keepLines w:val="0"/>
        <w:pageBreakBefore w:val="0"/>
        <w:kinsoku/>
        <w:wordWrap/>
        <w:overflowPunct/>
        <w:topLinePunct w:val="0"/>
        <w:autoSpaceDE/>
        <w:autoSpaceDN/>
        <w:bidi w:val="0"/>
        <w:adjustRightInd/>
        <w:ind w:firstLine="480" w:firstLineChars="200"/>
        <w:textAlignment w:val="auto"/>
        <w:outlineLvl w:val="9"/>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w:t>
      </w:r>
      <w:r>
        <w:rPr>
          <w:rFonts w:hint="default" w:ascii="Times New Roman" w:hAnsi="Times New Roman" w:eastAsia="宋体" w:cs="Times New Roman"/>
          <w:bCs/>
          <w:color w:val="auto"/>
          <w:sz w:val="24"/>
          <w:szCs w:val="24"/>
          <w:highlight w:val="none"/>
          <w:u w:val="none" w:color="auto"/>
        </w:rPr>
        <w:t>《环境影响评价技术导则大气环境》（HJ/T2.2-2018）</w:t>
      </w:r>
      <w:r>
        <w:rPr>
          <w:rFonts w:hint="default" w:ascii="Times New Roman" w:hAnsi="Times New Roman" w:eastAsia="宋体" w:cs="Times New Roman"/>
          <w:color w:val="auto"/>
          <w:sz w:val="24"/>
          <w:szCs w:val="24"/>
          <w:highlight w:val="none"/>
          <w:u w:val="none" w:color="auto"/>
        </w:rPr>
        <w:t>关于评价工作分级方法的规定，结合本项目工程分析结果，采用估算模式计算其最大地面浓度占标率P</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及地面浓度达标准限值10%时所对应的最远距离D</w:t>
      </w:r>
      <w:r>
        <w:rPr>
          <w:rFonts w:hint="default" w:ascii="Times New Roman" w:hAnsi="Times New Roman" w:eastAsia="宋体" w:cs="Times New Roman"/>
          <w:color w:val="auto"/>
          <w:sz w:val="24"/>
          <w:szCs w:val="24"/>
          <w:highlight w:val="none"/>
          <w:u w:val="none" w:color="auto"/>
          <w:vertAlign w:val="subscript"/>
        </w:rPr>
        <w:t>10%</w:t>
      </w:r>
      <w:r>
        <w:rPr>
          <w:rFonts w:hint="default" w:ascii="Times New Roman" w:hAnsi="Times New Roman" w:eastAsia="宋体" w:cs="Times New Roman"/>
          <w:color w:val="auto"/>
          <w:sz w:val="24"/>
          <w:szCs w:val="24"/>
          <w:highlight w:val="none"/>
          <w:u w:val="none" w:color="auto"/>
        </w:rPr>
        <w:t>。其中P</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计算公式如下：</w:t>
      </w:r>
    </w:p>
    <w:p w14:paraId="6777E90E">
      <w:pPr>
        <w:keepNext w:val="0"/>
        <w:keepLines w:val="0"/>
        <w:pageBreakBefore w:val="0"/>
        <w:kinsoku/>
        <w:wordWrap/>
        <w:overflowPunct/>
        <w:topLinePunct w:val="0"/>
        <w:autoSpaceDE/>
        <w:autoSpaceDN/>
        <w:bidi w:val="0"/>
        <w:adjustRightInd/>
        <w:ind w:firstLine="480" w:firstLineChars="200"/>
        <w:jc w:val="center"/>
        <w:textAlignment w:val="auto"/>
        <w:outlineLvl w:val="9"/>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P</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oi</w:t>
      </w:r>
      <w:r>
        <w:rPr>
          <w:rFonts w:hint="default" w:ascii="Times New Roman" w:hAnsi="Times New Roman" w:eastAsia="宋体" w:cs="Times New Roman"/>
          <w:color w:val="auto"/>
          <w:sz w:val="24"/>
          <w:szCs w:val="24"/>
          <w:highlight w:val="none"/>
          <w:u w:val="none" w:color="auto"/>
        </w:rPr>
        <w:t>×100%</w:t>
      </w:r>
    </w:p>
    <w:p w14:paraId="4379741F">
      <w:pPr>
        <w:keepNext w:val="0"/>
        <w:keepLines w:val="0"/>
        <w:pageBreakBefore w:val="0"/>
        <w:kinsoku/>
        <w:wordWrap/>
        <w:overflowPunct/>
        <w:topLinePunct w:val="0"/>
        <w:autoSpaceDE/>
        <w:autoSpaceDN/>
        <w:bidi w:val="0"/>
        <w:adjustRightInd/>
        <w:textAlignment w:val="auto"/>
        <w:outlineLvl w:val="9"/>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式中：P</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——第i个污染物的最大地面浓度占标率，%；</w:t>
      </w:r>
    </w:p>
    <w:p w14:paraId="6767F7A0">
      <w:pPr>
        <w:keepNext w:val="0"/>
        <w:keepLines w:val="0"/>
        <w:pageBreakBefore w:val="0"/>
        <w:kinsoku/>
        <w:wordWrap/>
        <w:overflowPunct/>
        <w:topLinePunct w:val="0"/>
        <w:autoSpaceDE/>
        <w:autoSpaceDN/>
        <w:bidi w:val="0"/>
        <w:adjustRightInd/>
        <w:ind w:firstLine="708" w:firstLineChars="295"/>
        <w:textAlignment w:val="auto"/>
        <w:outlineLvl w:val="9"/>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——采用估算模式计算出的第i个污染物的最大地面浓度，mg/m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w:t>
      </w:r>
    </w:p>
    <w:p w14:paraId="5F8494EE">
      <w:pPr>
        <w:keepNext w:val="0"/>
        <w:keepLines w:val="0"/>
        <w:pageBreakBefore w:val="0"/>
        <w:kinsoku/>
        <w:wordWrap/>
        <w:overflowPunct/>
        <w:topLinePunct w:val="0"/>
        <w:autoSpaceDE/>
        <w:autoSpaceDN/>
        <w:bidi w:val="0"/>
        <w:adjustRightInd/>
        <w:ind w:firstLine="708" w:firstLineChars="295"/>
        <w:textAlignment w:val="auto"/>
        <w:outlineLvl w:val="9"/>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oi</w:t>
      </w:r>
      <w:r>
        <w:rPr>
          <w:rFonts w:hint="default" w:ascii="Times New Roman" w:hAnsi="Times New Roman" w:eastAsia="宋体" w:cs="Times New Roman"/>
          <w:color w:val="auto"/>
          <w:sz w:val="24"/>
          <w:szCs w:val="24"/>
          <w:highlight w:val="none"/>
          <w:u w:val="none" w:color="auto"/>
        </w:rPr>
        <w:t>——第i个污染物的环境空气质量标准，mg/m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w:t>
      </w:r>
    </w:p>
    <w:p w14:paraId="56AE1ADE">
      <w:pPr>
        <w:keepNext w:val="0"/>
        <w:keepLines w:val="0"/>
        <w:pageBreakBefore w:val="0"/>
        <w:kinsoku/>
        <w:wordWrap/>
        <w:overflowPunct/>
        <w:topLinePunct w:val="0"/>
        <w:autoSpaceDE/>
        <w:autoSpaceDN/>
        <w:bidi w:val="0"/>
        <w:adjustRightInd/>
        <w:ind w:firstLine="480" w:firstLineChars="200"/>
        <w:textAlignment w:val="auto"/>
        <w:outlineLvl w:val="9"/>
        <w:rPr>
          <w:rFonts w:hint="default" w:ascii="Times New Roman" w:hAnsi="Times New Roman" w:eastAsia="宋体" w:cs="Times New Roman"/>
          <w:bCs/>
          <w:color w:val="auto"/>
          <w:sz w:val="24"/>
          <w:szCs w:val="24"/>
          <w:highlight w:val="none"/>
          <w:u w:val="none" w:color="auto"/>
        </w:rPr>
      </w:pPr>
      <w:r>
        <w:rPr>
          <w:rFonts w:hint="default" w:ascii="Times New Roman" w:hAnsi="Times New Roman" w:eastAsia="宋体" w:cs="Times New Roman"/>
          <w:bCs/>
          <w:color w:val="auto"/>
          <w:sz w:val="24"/>
          <w:szCs w:val="24"/>
          <w:highlight w:val="none"/>
          <w:u w:val="none" w:color="auto"/>
        </w:rPr>
        <w:t>评价等级按下表的分级判据进行划分：</w:t>
      </w:r>
    </w:p>
    <w:p w14:paraId="2535CD30">
      <w:pPr>
        <w:keepNext w:val="0"/>
        <w:keepLines w:val="0"/>
        <w:pageBreakBefore w:val="0"/>
        <w:kinsoku/>
        <w:wordWrap/>
        <w:overflowPunct/>
        <w:topLinePunct w:val="0"/>
        <w:autoSpaceDE/>
        <w:autoSpaceDN/>
        <w:bidi w:val="0"/>
        <w:adjustRightInd/>
        <w:jc w:val="center"/>
        <w:textAlignment w:val="auto"/>
        <w:outlineLvl w:val="9"/>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w:t>
      </w:r>
      <w:r>
        <w:rPr>
          <w:rFonts w:hint="default" w:ascii="Times New Roman" w:hAnsi="Times New Roman" w:eastAsia="宋体" w:cs="Times New Roman"/>
          <w:b/>
          <w:color w:val="auto"/>
          <w:sz w:val="21"/>
          <w:szCs w:val="21"/>
          <w:highlight w:val="none"/>
          <w:u w:val="none" w:color="auto"/>
          <w:lang w:val="en-US" w:eastAsia="zh-CN"/>
        </w:rPr>
        <w:t xml:space="preserve">7.2-5 </w:t>
      </w:r>
      <w:r>
        <w:rPr>
          <w:rFonts w:hint="default" w:ascii="Times New Roman" w:hAnsi="Times New Roman" w:eastAsia="宋体" w:cs="Times New Roman"/>
          <w:b/>
          <w:color w:val="auto"/>
          <w:sz w:val="21"/>
          <w:szCs w:val="21"/>
          <w:highlight w:val="none"/>
          <w:u w:val="none" w:color="auto"/>
        </w:rPr>
        <w:t>评价等级判别表</w:t>
      </w:r>
    </w:p>
    <w:tbl>
      <w:tblPr>
        <w:tblStyle w:val="22"/>
        <w:tblW w:w="8528"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3735"/>
        <w:gridCol w:w="4793"/>
      </w:tblGrid>
      <w:tr w14:paraId="23D465A5">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35" w:type="dxa"/>
            <w:vAlign w:val="center"/>
          </w:tcPr>
          <w:p w14:paraId="1B7E547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评价工作等级</w:t>
            </w:r>
          </w:p>
        </w:tc>
        <w:tc>
          <w:tcPr>
            <w:tcW w:w="4793" w:type="dxa"/>
            <w:vAlign w:val="center"/>
          </w:tcPr>
          <w:p w14:paraId="3383BB0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评价工作分级判据</w:t>
            </w:r>
          </w:p>
        </w:tc>
      </w:tr>
      <w:tr w14:paraId="111D573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35" w:type="dxa"/>
            <w:vAlign w:val="center"/>
          </w:tcPr>
          <w:p w14:paraId="3169978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4793" w:type="dxa"/>
            <w:vAlign w:val="center"/>
          </w:tcPr>
          <w:p w14:paraId="688EB20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Pmax≥10%</w:t>
            </w:r>
          </w:p>
        </w:tc>
      </w:tr>
      <w:tr w14:paraId="27E26EB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35" w:type="dxa"/>
            <w:vAlign w:val="center"/>
          </w:tcPr>
          <w:p w14:paraId="5381851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4793" w:type="dxa"/>
            <w:vAlign w:val="center"/>
          </w:tcPr>
          <w:p w14:paraId="0529B97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1%≤Pmax&lt;10%</w:t>
            </w:r>
          </w:p>
        </w:tc>
      </w:tr>
      <w:tr w14:paraId="7186081B">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735" w:type="dxa"/>
            <w:vAlign w:val="center"/>
          </w:tcPr>
          <w:p w14:paraId="44B9C15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4793" w:type="dxa"/>
            <w:vAlign w:val="center"/>
          </w:tcPr>
          <w:p w14:paraId="2A914836">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Pmax&lt;1%</w:t>
            </w:r>
          </w:p>
        </w:tc>
      </w:tr>
    </w:tbl>
    <w:p w14:paraId="5E6B40DF">
      <w:pPr>
        <w:ind w:firstLine="560"/>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4"/>
          <w:highlight w:val="none"/>
          <w:u w:val="none" w:color="auto"/>
        </w:rPr>
        <w:t>根据</w:t>
      </w:r>
      <w:r>
        <w:rPr>
          <w:rFonts w:hint="default" w:ascii="Times New Roman" w:hAnsi="Times New Roman" w:eastAsia="宋体" w:cs="Times New Roman"/>
          <w:color w:val="auto"/>
          <w:sz w:val="24"/>
          <w:szCs w:val="24"/>
          <w:highlight w:val="none"/>
          <w:u w:val="none" w:color="auto"/>
          <w:lang w:eastAsia="zh-CN"/>
        </w:rPr>
        <w:t>表</w:t>
      </w:r>
      <w:r>
        <w:rPr>
          <w:rFonts w:hint="default" w:ascii="Times New Roman" w:hAnsi="Times New Roman" w:eastAsia="宋体" w:cs="Times New Roman"/>
          <w:color w:val="auto"/>
          <w:sz w:val="24"/>
          <w:szCs w:val="24"/>
          <w:highlight w:val="none"/>
          <w:u w:val="none" w:color="auto"/>
          <w:lang w:val="en-US" w:eastAsia="zh-CN"/>
        </w:rPr>
        <w:t>7.2-4可知</w:t>
      </w:r>
      <w:r>
        <w:rPr>
          <w:rFonts w:hint="default" w:ascii="Times New Roman" w:hAnsi="Times New Roman" w:eastAsia="宋体" w:cs="Times New Roman"/>
          <w:color w:val="auto"/>
          <w:sz w:val="24"/>
          <w:szCs w:val="24"/>
          <w:highlight w:val="none"/>
          <w:u w:val="none" w:color="auto"/>
        </w:rPr>
        <w:t>，各排气筒污染物最大地面落地浓度占标率均小于10%，</w:t>
      </w:r>
      <w:r>
        <w:rPr>
          <w:rFonts w:hint="default" w:ascii="Times New Roman" w:hAnsi="Times New Roman" w:eastAsia="宋体" w:cs="Times New Roman"/>
          <w:color w:val="auto"/>
          <w:sz w:val="24"/>
          <w:szCs w:val="24"/>
          <w:highlight w:val="none"/>
          <w:u w:val="none" w:color="auto"/>
          <w:lang w:eastAsia="zh-CN"/>
        </w:rPr>
        <w:t>结合</w:t>
      </w:r>
      <w:r>
        <w:rPr>
          <w:rFonts w:hint="default" w:ascii="Times New Roman" w:hAnsi="Times New Roman" w:eastAsia="宋体" w:cs="Times New Roman"/>
          <w:color w:val="auto"/>
          <w:sz w:val="24"/>
          <w:szCs w:val="24"/>
          <w:highlight w:val="none"/>
          <w:u w:val="none" w:color="auto"/>
          <w:lang w:val="en-US" w:eastAsia="zh-CN"/>
        </w:rPr>
        <w:t>7.2-5可知</w:t>
      </w:r>
      <w:r>
        <w:rPr>
          <w:rFonts w:hint="default" w:ascii="Times New Roman" w:hAnsi="Times New Roman" w:eastAsia="宋体" w:cs="Times New Roman"/>
          <w:color w:val="auto"/>
          <w:sz w:val="24"/>
          <w:szCs w:val="24"/>
          <w:highlight w:val="none"/>
          <w:u w:val="none" w:color="auto"/>
        </w:rPr>
        <w:t>，本项目大气评价等级为二级。</w:t>
      </w:r>
      <w:r>
        <w:rPr>
          <w:rFonts w:hint="default" w:ascii="Times New Roman" w:hAnsi="Times New Roman" w:eastAsia="宋体" w:cs="Times New Roman"/>
          <w:bCs/>
          <w:color w:val="auto"/>
          <w:sz w:val="24"/>
          <w:szCs w:val="24"/>
          <w:highlight w:val="none"/>
          <w:u w:val="none" w:color="auto"/>
        </w:rPr>
        <w:t>本项目能源消耗以电为主，本项目不属于高耗能、使用高污染燃料的项目，因此，大气评价等级无需提级。</w:t>
      </w:r>
    </w:p>
    <w:p w14:paraId="23FD4CA6">
      <w:pPr>
        <w:ind w:firstLine="560"/>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总体而言，项目运营期废气经处理后能够达标排放，对周边环境空气质量贡献较小，对周边大气环境敏感目标影响不大。</w:t>
      </w:r>
    </w:p>
    <w:p w14:paraId="3B484BE0">
      <w:pPr>
        <w:keepNext/>
        <w:keepLines/>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strike w:val="0"/>
          <w:dstrike w:val="0"/>
          <w:color w:val="auto"/>
          <w:sz w:val="24"/>
          <w:szCs w:val="24"/>
          <w:highlight w:val="none"/>
          <w:u w:val="single" w:color="auto"/>
        </w:rPr>
      </w:pPr>
      <w:r>
        <w:rPr>
          <w:rFonts w:hint="default" w:ascii="Times New Roman" w:hAnsi="Times New Roman" w:eastAsia="宋体" w:cs="Times New Roman"/>
          <w:b/>
          <w:bCs/>
          <w:strike w:val="0"/>
          <w:dstrike w:val="0"/>
          <w:color w:val="auto"/>
          <w:sz w:val="24"/>
          <w:szCs w:val="24"/>
          <w:highlight w:val="none"/>
          <w:u w:val="single" w:color="auto"/>
          <w:lang w:val="en-US" w:eastAsia="zh-CN"/>
        </w:rPr>
        <w:t>7</w:t>
      </w:r>
      <w:r>
        <w:rPr>
          <w:rFonts w:hint="default" w:ascii="Times New Roman" w:hAnsi="Times New Roman" w:eastAsia="宋体" w:cs="Times New Roman"/>
          <w:b/>
          <w:bCs/>
          <w:strike w:val="0"/>
          <w:dstrike w:val="0"/>
          <w:color w:val="auto"/>
          <w:sz w:val="24"/>
          <w:szCs w:val="24"/>
          <w:highlight w:val="none"/>
          <w:u w:val="single" w:color="auto"/>
        </w:rPr>
        <w:t>.2.1.3大气环境防护距离</w:t>
      </w:r>
    </w:p>
    <w:p w14:paraId="556C707B">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strike w:val="0"/>
          <w:dstrike w:val="0"/>
          <w:color w:val="auto"/>
          <w:sz w:val="24"/>
          <w:szCs w:val="21"/>
          <w:highlight w:val="none"/>
          <w:u w:val="single" w:color="auto"/>
        </w:rPr>
      </w:pPr>
      <w:r>
        <w:rPr>
          <w:rFonts w:hint="default" w:ascii="Times New Roman" w:hAnsi="Times New Roman" w:eastAsia="宋体" w:cs="Times New Roman"/>
          <w:strike w:val="0"/>
          <w:dstrike w:val="0"/>
          <w:color w:val="auto"/>
          <w:sz w:val="24"/>
          <w:szCs w:val="21"/>
          <w:highlight w:val="none"/>
          <w:u w:val="single" w:color="auto"/>
        </w:rPr>
        <w:t>根据HJ2.2－2018，大气环境防护距离需采用进一步预测模型进行计算。根据AERSCREE模型预测结果，各废气污染源最大落地浓度均小于《环境空气质量标准》（GB3095-2012）二级标准要求，因此本项目厂界外无超标点，无需设置大气环境防护距离。</w:t>
      </w:r>
    </w:p>
    <w:p w14:paraId="277F4F76">
      <w:pPr>
        <w:keepNext/>
        <w:keepLines/>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strike w:val="0"/>
          <w:dstrike w:val="0"/>
          <w:color w:val="auto"/>
          <w:sz w:val="24"/>
          <w:szCs w:val="24"/>
          <w:highlight w:val="none"/>
          <w:u w:val="single" w:color="auto"/>
        </w:rPr>
      </w:pPr>
      <w:r>
        <w:rPr>
          <w:rFonts w:hint="default" w:ascii="Times New Roman" w:hAnsi="Times New Roman" w:eastAsia="宋体" w:cs="Times New Roman"/>
          <w:b/>
          <w:bCs/>
          <w:strike w:val="0"/>
          <w:dstrike w:val="0"/>
          <w:color w:val="auto"/>
          <w:sz w:val="24"/>
          <w:szCs w:val="24"/>
          <w:highlight w:val="none"/>
          <w:u w:val="none" w:color="auto"/>
          <w:lang w:val="en-US" w:eastAsia="zh-CN"/>
        </w:rPr>
        <w:t>7</w:t>
      </w:r>
      <w:r>
        <w:rPr>
          <w:rFonts w:hint="default" w:ascii="Times New Roman" w:hAnsi="Times New Roman" w:eastAsia="宋体" w:cs="Times New Roman"/>
          <w:b/>
          <w:bCs/>
          <w:strike w:val="0"/>
          <w:dstrike w:val="0"/>
          <w:color w:val="auto"/>
          <w:sz w:val="24"/>
          <w:szCs w:val="24"/>
          <w:highlight w:val="none"/>
          <w:u w:val="none" w:color="auto"/>
        </w:rPr>
        <w:t>.2.1.</w:t>
      </w:r>
      <w:r>
        <w:rPr>
          <w:rFonts w:hint="default" w:ascii="Times New Roman" w:hAnsi="Times New Roman" w:eastAsia="宋体" w:cs="Times New Roman"/>
          <w:b/>
          <w:bCs/>
          <w:strike w:val="0"/>
          <w:dstrike w:val="0"/>
          <w:color w:val="auto"/>
          <w:sz w:val="24"/>
          <w:szCs w:val="24"/>
          <w:highlight w:val="none"/>
          <w:u w:val="single" w:color="auto"/>
        </w:rPr>
        <w:t>4污染物排放量核算</w:t>
      </w:r>
    </w:p>
    <w:p w14:paraId="4287D640">
      <w:pPr>
        <w:ind w:firstLine="561"/>
        <w:rPr>
          <w:rFonts w:hint="default" w:ascii="Times New Roman" w:hAnsi="Times New Roman" w:eastAsia="宋体" w:cs="Times New Roman"/>
          <w:strike w:val="0"/>
          <w:dstrike w:val="0"/>
          <w:color w:val="auto"/>
          <w:sz w:val="24"/>
          <w:szCs w:val="21"/>
          <w:highlight w:val="none"/>
          <w:u w:val="single" w:color="auto"/>
        </w:rPr>
      </w:pPr>
      <w:r>
        <w:rPr>
          <w:rFonts w:hint="default" w:ascii="Times New Roman" w:hAnsi="Times New Roman" w:eastAsia="宋体" w:cs="Times New Roman"/>
          <w:strike w:val="0"/>
          <w:dstrike w:val="0"/>
          <w:color w:val="auto"/>
          <w:sz w:val="24"/>
          <w:szCs w:val="21"/>
          <w:highlight w:val="none"/>
          <w:u w:val="single" w:color="auto"/>
        </w:rPr>
        <w:t>（1）有组织排放量核算</w:t>
      </w:r>
    </w:p>
    <w:p w14:paraId="150BACF3">
      <w:pPr>
        <w:ind w:firstLine="561"/>
        <w:rPr>
          <w:rFonts w:hint="default" w:ascii="Times New Roman" w:hAnsi="Times New Roman" w:eastAsia="宋体" w:cs="Times New Roman"/>
          <w:strike w:val="0"/>
          <w:dstrike w:val="0"/>
          <w:color w:val="auto"/>
          <w:sz w:val="24"/>
          <w:szCs w:val="21"/>
          <w:highlight w:val="none"/>
          <w:u w:val="single" w:color="auto"/>
        </w:rPr>
      </w:pPr>
      <w:r>
        <w:rPr>
          <w:rFonts w:hint="default" w:ascii="Times New Roman" w:hAnsi="Times New Roman" w:eastAsia="宋体" w:cs="Times New Roman"/>
          <w:strike w:val="0"/>
          <w:dstrike w:val="0"/>
          <w:color w:val="auto"/>
          <w:sz w:val="24"/>
          <w:szCs w:val="21"/>
          <w:highlight w:val="none"/>
          <w:u w:val="single" w:color="auto"/>
        </w:rPr>
        <w:t>本项目大气污染物有组织排放量核算情况详见下表。</w:t>
      </w:r>
    </w:p>
    <w:p w14:paraId="5256478A">
      <w:pPr>
        <w:jc w:val="center"/>
        <w:rPr>
          <w:rFonts w:hint="default" w:ascii="Times New Roman" w:hAnsi="Times New Roman" w:eastAsia="宋体" w:cs="Times New Roman"/>
          <w:b/>
          <w:strike w:val="0"/>
          <w:dstrike w:val="0"/>
          <w:color w:val="auto"/>
          <w:sz w:val="21"/>
          <w:szCs w:val="18"/>
          <w:highlight w:val="none"/>
          <w:u w:val="single" w:color="auto"/>
        </w:rPr>
      </w:pPr>
      <w:r>
        <w:rPr>
          <w:rFonts w:hint="default" w:ascii="Times New Roman" w:hAnsi="Times New Roman" w:eastAsia="宋体" w:cs="Times New Roman"/>
          <w:b/>
          <w:strike w:val="0"/>
          <w:dstrike w:val="0"/>
          <w:color w:val="auto"/>
          <w:sz w:val="21"/>
          <w:szCs w:val="18"/>
          <w:highlight w:val="none"/>
          <w:u w:val="single" w:color="auto"/>
        </w:rPr>
        <w:t>表</w:t>
      </w:r>
      <w:r>
        <w:rPr>
          <w:rFonts w:hint="default" w:ascii="Times New Roman" w:hAnsi="Times New Roman" w:eastAsia="宋体" w:cs="Times New Roman"/>
          <w:b/>
          <w:strike w:val="0"/>
          <w:dstrike w:val="0"/>
          <w:color w:val="auto"/>
          <w:sz w:val="21"/>
          <w:szCs w:val="18"/>
          <w:highlight w:val="none"/>
          <w:u w:val="single" w:color="auto"/>
          <w:lang w:val="en-US" w:eastAsia="zh-CN"/>
        </w:rPr>
        <w:t>7</w:t>
      </w:r>
      <w:r>
        <w:rPr>
          <w:rFonts w:hint="default" w:ascii="Times New Roman" w:hAnsi="Times New Roman" w:eastAsia="宋体" w:cs="Times New Roman"/>
          <w:b/>
          <w:strike w:val="0"/>
          <w:dstrike w:val="0"/>
          <w:color w:val="auto"/>
          <w:sz w:val="21"/>
          <w:szCs w:val="18"/>
          <w:highlight w:val="none"/>
          <w:u w:val="single" w:color="auto"/>
        </w:rPr>
        <w:t>.2-</w:t>
      </w:r>
      <w:r>
        <w:rPr>
          <w:rFonts w:hint="default" w:ascii="Times New Roman" w:hAnsi="Times New Roman" w:eastAsia="宋体" w:cs="Times New Roman"/>
          <w:b/>
          <w:strike w:val="0"/>
          <w:dstrike w:val="0"/>
          <w:color w:val="auto"/>
          <w:sz w:val="21"/>
          <w:szCs w:val="18"/>
          <w:highlight w:val="none"/>
          <w:u w:val="single" w:color="auto"/>
          <w:lang w:val="en-US" w:eastAsia="zh-CN"/>
        </w:rPr>
        <w:t>6</w:t>
      </w:r>
      <w:r>
        <w:rPr>
          <w:rFonts w:hint="default" w:ascii="Times New Roman" w:hAnsi="Times New Roman" w:eastAsia="宋体" w:cs="Times New Roman"/>
          <w:b/>
          <w:strike w:val="0"/>
          <w:dstrike w:val="0"/>
          <w:color w:val="auto"/>
          <w:sz w:val="21"/>
          <w:szCs w:val="18"/>
          <w:highlight w:val="none"/>
          <w:u w:val="single" w:color="auto"/>
        </w:rPr>
        <w:t>本项目大气污染物有组织排放量核算表</w:t>
      </w:r>
    </w:p>
    <w:tbl>
      <w:tblPr>
        <w:tblStyle w:val="22"/>
        <w:tblW w:w="84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670"/>
        <w:gridCol w:w="1742"/>
        <w:gridCol w:w="1742"/>
        <w:gridCol w:w="1742"/>
      </w:tblGrid>
      <w:tr w14:paraId="26143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Align w:val="center"/>
          </w:tcPr>
          <w:p w14:paraId="765D115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排气筒编号</w:t>
            </w:r>
          </w:p>
        </w:tc>
        <w:tc>
          <w:tcPr>
            <w:tcW w:w="1670" w:type="dxa"/>
            <w:vAlign w:val="center"/>
          </w:tcPr>
          <w:p w14:paraId="4D26B355">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trike w:val="0"/>
                <w:dstrike w:val="0"/>
                <w:color w:val="auto"/>
                <w:sz w:val="21"/>
                <w:szCs w:val="21"/>
                <w:highlight w:val="none"/>
                <w:u w:val="single" w:color="auto"/>
              </w:rPr>
              <w:t>污染</w:t>
            </w:r>
            <w:r>
              <w:rPr>
                <w:rFonts w:hint="default" w:ascii="Times New Roman" w:hAnsi="Times New Roman" w:eastAsia="宋体" w:cs="Times New Roman"/>
                <w:strike w:val="0"/>
                <w:dstrike w:val="0"/>
                <w:color w:val="auto"/>
                <w:sz w:val="21"/>
                <w:szCs w:val="21"/>
                <w:highlight w:val="none"/>
                <w:u w:val="single" w:color="auto"/>
                <w:lang w:eastAsia="zh-CN"/>
              </w:rPr>
              <w:t>物</w:t>
            </w:r>
          </w:p>
        </w:tc>
        <w:tc>
          <w:tcPr>
            <w:tcW w:w="1742" w:type="dxa"/>
            <w:vAlign w:val="center"/>
          </w:tcPr>
          <w:p w14:paraId="1847796C">
            <w:pPr>
              <w:spacing w:line="240" w:lineRule="auto"/>
              <w:jc w:val="center"/>
              <w:rPr>
                <w:rFonts w:hint="default" w:ascii="Times New Roman" w:hAnsi="Times New Roman" w:eastAsia="宋体" w:cs="Times New Roman"/>
                <w:strike w:val="0"/>
                <w:dstrike w:val="0"/>
                <w:color w:val="auto"/>
                <w:sz w:val="21"/>
                <w:szCs w:val="21"/>
                <w:highlight w:val="none"/>
                <w:u w:val="single" w:color="auto"/>
              </w:rPr>
            </w:pPr>
            <w:r>
              <w:rPr>
                <w:rFonts w:hint="default" w:ascii="Times New Roman" w:hAnsi="Times New Roman" w:eastAsia="宋体" w:cs="Times New Roman"/>
                <w:strike w:val="0"/>
                <w:dstrike w:val="0"/>
                <w:color w:val="auto"/>
                <w:sz w:val="21"/>
                <w:szCs w:val="21"/>
                <w:highlight w:val="none"/>
                <w:u w:val="single" w:color="auto"/>
                <w:lang w:eastAsia="zh-CN"/>
              </w:rPr>
              <w:t>核算</w:t>
            </w:r>
            <w:r>
              <w:rPr>
                <w:rFonts w:hint="default" w:ascii="Times New Roman" w:hAnsi="Times New Roman" w:eastAsia="宋体" w:cs="Times New Roman"/>
                <w:strike w:val="0"/>
                <w:dstrike w:val="0"/>
                <w:color w:val="auto"/>
                <w:sz w:val="21"/>
                <w:szCs w:val="21"/>
                <w:highlight w:val="none"/>
                <w:u w:val="single" w:color="auto"/>
              </w:rPr>
              <w:t>排放浓度</w:t>
            </w:r>
          </w:p>
          <w:p w14:paraId="7620437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trike w:val="0"/>
                <w:dstrike w:val="0"/>
                <w:color w:val="auto"/>
                <w:sz w:val="21"/>
                <w:szCs w:val="21"/>
                <w:highlight w:val="none"/>
                <w:u w:val="single" w:color="auto"/>
              </w:rPr>
              <w:t>（mg/m</w:t>
            </w:r>
            <w:r>
              <w:rPr>
                <w:rFonts w:hint="default" w:ascii="Times New Roman" w:hAnsi="Times New Roman" w:eastAsia="宋体" w:cs="Times New Roman"/>
                <w:strike w:val="0"/>
                <w:dstrike w:val="0"/>
                <w:color w:val="auto"/>
                <w:sz w:val="21"/>
                <w:szCs w:val="21"/>
                <w:highlight w:val="none"/>
                <w:u w:val="single" w:color="auto"/>
                <w:vertAlign w:val="superscript"/>
              </w:rPr>
              <w:t>3</w:t>
            </w:r>
            <w:r>
              <w:rPr>
                <w:rFonts w:hint="default" w:ascii="Times New Roman" w:hAnsi="Times New Roman" w:eastAsia="宋体" w:cs="Times New Roman"/>
                <w:strike w:val="0"/>
                <w:dstrike w:val="0"/>
                <w:color w:val="auto"/>
                <w:sz w:val="21"/>
                <w:szCs w:val="21"/>
                <w:highlight w:val="none"/>
                <w:u w:val="single" w:color="auto"/>
              </w:rPr>
              <w:t>）</w:t>
            </w:r>
          </w:p>
        </w:tc>
        <w:tc>
          <w:tcPr>
            <w:tcW w:w="1742" w:type="dxa"/>
            <w:vAlign w:val="center"/>
          </w:tcPr>
          <w:p w14:paraId="71193987">
            <w:pPr>
              <w:spacing w:line="240" w:lineRule="auto"/>
              <w:jc w:val="center"/>
              <w:rPr>
                <w:rFonts w:hint="default" w:ascii="Times New Roman" w:hAnsi="Times New Roman" w:eastAsia="宋体" w:cs="Times New Roman"/>
                <w:strike w:val="0"/>
                <w:dstrike w:val="0"/>
                <w:color w:val="auto"/>
                <w:sz w:val="21"/>
                <w:szCs w:val="21"/>
                <w:highlight w:val="none"/>
                <w:u w:val="single" w:color="auto"/>
              </w:rPr>
            </w:pPr>
            <w:r>
              <w:rPr>
                <w:rFonts w:hint="default" w:ascii="Times New Roman" w:hAnsi="Times New Roman" w:eastAsia="宋体" w:cs="Times New Roman"/>
                <w:strike w:val="0"/>
                <w:dstrike w:val="0"/>
                <w:color w:val="auto"/>
                <w:sz w:val="21"/>
                <w:szCs w:val="21"/>
                <w:highlight w:val="none"/>
                <w:u w:val="single" w:color="auto"/>
                <w:lang w:eastAsia="zh-CN"/>
              </w:rPr>
              <w:t>核算</w:t>
            </w:r>
            <w:r>
              <w:rPr>
                <w:rFonts w:hint="default" w:ascii="Times New Roman" w:hAnsi="Times New Roman" w:eastAsia="宋体" w:cs="Times New Roman"/>
                <w:strike w:val="0"/>
                <w:dstrike w:val="0"/>
                <w:color w:val="auto"/>
                <w:sz w:val="21"/>
                <w:szCs w:val="21"/>
                <w:highlight w:val="none"/>
                <w:u w:val="single" w:color="auto"/>
              </w:rPr>
              <w:t>排放速率</w:t>
            </w:r>
          </w:p>
          <w:p w14:paraId="56E9B71B">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trike w:val="0"/>
                <w:dstrike w:val="0"/>
                <w:color w:val="auto"/>
                <w:sz w:val="21"/>
                <w:szCs w:val="21"/>
                <w:highlight w:val="none"/>
                <w:u w:val="single" w:color="auto"/>
              </w:rPr>
              <w:t>（kg/h）</w:t>
            </w:r>
          </w:p>
        </w:tc>
        <w:tc>
          <w:tcPr>
            <w:tcW w:w="1742" w:type="dxa"/>
            <w:vAlign w:val="center"/>
          </w:tcPr>
          <w:p w14:paraId="7FC538B6">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strike w:val="0"/>
                <w:dstrike w:val="0"/>
                <w:color w:val="auto"/>
                <w:sz w:val="21"/>
                <w:szCs w:val="21"/>
                <w:highlight w:val="none"/>
                <w:u w:val="single" w:color="auto"/>
                <w:lang w:eastAsia="zh-CN"/>
              </w:rPr>
              <w:t>核算年</w:t>
            </w:r>
            <w:r>
              <w:rPr>
                <w:rFonts w:hint="default" w:ascii="Times New Roman" w:hAnsi="Times New Roman" w:eastAsia="宋体" w:cs="Times New Roman"/>
                <w:strike w:val="0"/>
                <w:dstrike w:val="0"/>
                <w:color w:val="auto"/>
                <w:sz w:val="21"/>
                <w:szCs w:val="21"/>
                <w:highlight w:val="none"/>
                <w:u w:val="single" w:color="auto"/>
              </w:rPr>
              <w:t>排放量（t/a）</w:t>
            </w:r>
          </w:p>
        </w:tc>
      </w:tr>
      <w:tr w14:paraId="278C1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Align w:val="center"/>
          </w:tcPr>
          <w:p w14:paraId="1CCC5E11">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DA001</w:t>
            </w:r>
          </w:p>
        </w:tc>
        <w:tc>
          <w:tcPr>
            <w:tcW w:w="1670" w:type="dxa"/>
            <w:vAlign w:val="center"/>
          </w:tcPr>
          <w:p w14:paraId="07B42D1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1742" w:type="dxa"/>
            <w:vAlign w:val="center"/>
          </w:tcPr>
          <w:p w14:paraId="7A6EBC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0.230</w:t>
            </w:r>
          </w:p>
        </w:tc>
        <w:tc>
          <w:tcPr>
            <w:tcW w:w="1742" w:type="dxa"/>
            <w:vAlign w:val="center"/>
          </w:tcPr>
          <w:p w14:paraId="75E5602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0.004</w:t>
            </w:r>
          </w:p>
        </w:tc>
        <w:tc>
          <w:tcPr>
            <w:tcW w:w="1742" w:type="dxa"/>
            <w:vAlign w:val="center"/>
          </w:tcPr>
          <w:p w14:paraId="02D9BD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0.006</w:t>
            </w:r>
          </w:p>
        </w:tc>
      </w:tr>
      <w:tr w14:paraId="5EF91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restart"/>
            <w:vAlign w:val="center"/>
          </w:tcPr>
          <w:p w14:paraId="4114160C">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DA002</w:t>
            </w:r>
          </w:p>
        </w:tc>
        <w:tc>
          <w:tcPr>
            <w:tcW w:w="1670" w:type="dxa"/>
            <w:vAlign w:val="center"/>
          </w:tcPr>
          <w:p w14:paraId="3CB15813">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42" w:type="dxa"/>
            <w:vAlign w:val="center"/>
          </w:tcPr>
          <w:p w14:paraId="2825E2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0.003</w:t>
            </w:r>
          </w:p>
        </w:tc>
        <w:tc>
          <w:tcPr>
            <w:tcW w:w="1742" w:type="dxa"/>
            <w:vAlign w:val="center"/>
          </w:tcPr>
          <w:p w14:paraId="64538E6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0.0001</w:t>
            </w:r>
          </w:p>
        </w:tc>
        <w:tc>
          <w:tcPr>
            <w:tcW w:w="1742" w:type="dxa"/>
            <w:vAlign w:val="center"/>
          </w:tcPr>
          <w:p w14:paraId="3B84E8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0.00004</w:t>
            </w:r>
          </w:p>
        </w:tc>
      </w:tr>
      <w:tr w14:paraId="1259D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178EACA1">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70" w:type="dxa"/>
            <w:vAlign w:val="center"/>
          </w:tcPr>
          <w:p w14:paraId="13F2856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42" w:type="dxa"/>
            <w:vAlign w:val="center"/>
          </w:tcPr>
          <w:p w14:paraId="1DFD40D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0.383</w:t>
            </w:r>
          </w:p>
        </w:tc>
        <w:tc>
          <w:tcPr>
            <w:tcW w:w="1742" w:type="dxa"/>
            <w:vAlign w:val="center"/>
          </w:tcPr>
          <w:p w14:paraId="00AE972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0.007</w:t>
            </w:r>
          </w:p>
        </w:tc>
        <w:tc>
          <w:tcPr>
            <w:tcW w:w="1742" w:type="dxa"/>
            <w:vAlign w:val="center"/>
          </w:tcPr>
          <w:p w14:paraId="0350B8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14:paraId="16BD9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restart"/>
            <w:vAlign w:val="center"/>
          </w:tcPr>
          <w:p w14:paraId="43EECA9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DA003</w:t>
            </w:r>
          </w:p>
        </w:tc>
        <w:tc>
          <w:tcPr>
            <w:tcW w:w="1670" w:type="dxa"/>
            <w:vAlign w:val="center"/>
          </w:tcPr>
          <w:p w14:paraId="71204F41">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42" w:type="dxa"/>
            <w:vAlign w:val="center"/>
          </w:tcPr>
          <w:p w14:paraId="4D55074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0.003</w:t>
            </w:r>
          </w:p>
        </w:tc>
        <w:tc>
          <w:tcPr>
            <w:tcW w:w="1742" w:type="dxa"/>
            <w:vAlign w:val="center"/>
          </w:tcPr>
          <w:p w14:paraId="2C5F784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0.00005</w:t>
            </w:r>
          </w:p>
        </w:tc>
        <w:tc>
          <w:tcPr>
            <w:tcW w:w="1742" w:type="dxa"/>
            <w:vAlign w:val="center"/>
          </w:tcPr>
          <w:p w14:paraId="16D6BF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0.00003</w:t>
            </w:r>
          </w:p>
        </w:tc>
      </w:tr>
      <w:tr w14:paraId="29479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6CD55803">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70" w:type="dxa"/>
            <w:vAlign w:val="center"/>
          </w:tcPr>
          <w:p w14:paraId="31DB6DE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42" w:type="dxa"/>
            <w:vAlign w:val="center"/>
          </w:tcPr>
          <w:p w14:paraId="282FBD4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0.319</w:t>
            </w:r>
          </w:p>
        </w:tc>
        <w:tc>
          <w:tcPr>
            <w:tcW w:w="1742" w:type="dxa"/>
            <w:vAlign w:val="center"/>
          </w:tcPr>
          <w:p w14:paraId="63F0A80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0.006</w:t>
            </w:r>
          </w:p>
        </w:tc>
        <w:tc>
          <w:tcPr>
            <w:tcW w:w="1742" w:type="dxa"/>
            <w:vAlign w:val="center"/>
          </w:tcPr>
          <w:p w14:paraId="1C160F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0.004</w:t>
            </w:r>
          </w:p>
        </w:tc>
      </w:tr>
      <w:tr w14:paraId="16423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restart"/>
            <w:vAlign w:val="center"/>
          </w:tcPr>
          <w:p w14:paraId="66F1879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DA004</w:t>
            </w:r>
          </w:p>
        </w:tc>
        <w:tc>
          <w:tcPr>
            <w:tcW w:w="1670" w:type="dxa"/>
            <w:vAlign w:val="center"/>
          </w:tcPr>
          <w:p w14:paraId="36022092">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42" w:type="dxa"/>
            <w:vAlign w:val="center"/>
          </w:tcPr>
          <w:p w14:paraId="159A813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0.002</w:t>
            </w:r>
          </w:p>
        </w:tc>
        <w:tc>
          <w:tcPr>
            <w:tcW w:w="1742" w:type="dxa"/>
            <w:vAlign w:val="center"/>
          </w:tcPr>
          <w:p w14:paraId="0392BCD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0.00003</w:t>
            </w:r>
          </w:p>
        </w:tc>
        <w:tc>
          <w:tcPr>
            <w:tcW w:w="1742" w:type="dxa"/>
            <w:vAlign w:val="center"/>
          </w:tcPr>
          <w:p w14:paraId="4354D9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0.00002</w:t>
            </w:r>
          </w:p>
        </w:tc>
      </w:tr>
      <w:tr w14:paraId="7F008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5B482AA8">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70" w:type="dxa"/>
            <w:vAlign w:val="center"/>
          </w:tcPr>
          <w:p w14:paraId="4285822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42" w:type="dxa"/>
            <w:vAlign w:val="center"/>
          </w:tcPr>
          <w:p w14:paraId="606B86F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0.213</w:t>
            </w:r>
          </w:p>
        </w:tc>
        <w:tc>
          <w:tcPr>
            <w:tcW w:w="1742" w:type="dxa"/>
            <w:vAlign w:val="center"/>
          </w:tcPr>
          <w:p w14:paraId="2201F14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0.004</w:t>
            </w:r>
          </w:p>
        </w:tc>
        <w:tc>
          <w:tcPr>
            <w:tcW w:w="1742" w:type="dxa"/>
            <w:vAlign w:val="center"/>
          </w:tcPr>
          <w:p w14:paraId="00073C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0.003</w:t>
            </w:r>
          </w:p>
        </w:tc>
      </w:tr>
      <w:tr w14:paraId="725B5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restart"/>
            <w:vAlign w:val="center"/>
          </w:tcPr>
          <w:p w14:paraId="10D500F9">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DA005</w:t>
            </w:r>
          </w:p>
        </w:tc>
        <w:tc>
          <w:tcPr>
            <w:tcW w:w="1670" w:type="dxa"/>
            <w:vAlign w:val="center"/>
          </w:tcPr>
          <w:p w14:paraId="7593AF9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42" w:type="dxa"/>
            <w:vAlign w:val="center"/>
          </w:tcPr>
          <w:p w14:paraId="3067A22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0.1426</w:t>
            </w:r>
          </w:p>
        </w:tc>
        <w:tc>
          <w:tcPr>
            <w:tcW w:w="1742" w:type="dxa"/>
            <w:vAlign w:val="center"/>
          </w:tcPr>
          <w:p w14:paraId="098354F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0.003</w:t>
            </w:r>
          </w:p>
        </w:tc>
        <w:tc>
          <w:tcPr>
            <w:tcW w:w="1742" w:type="dxa"/>
            <w:vAlign w:val="center"/>
          </w:tcPr>
          <w:p w14:paraId="1D8B1E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0.00047</w:t>
            </w:r>
          </w:p>
        </w:tc>
      </w:tr>
      <w:tr w14:paraId="7D570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326672BD">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70" w:type="dxa"/>
            <w:vAlign w:val="center"/>
          </w:tcPr>
          <w:p w14:paraId="5B61E4C5">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42" w:type="dxa"/>
            <w:vAlign w:val="center"/>
          </w:tcPr>
          <w:p w14:paraId="2DDC379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0.072</w:t>
            </w:r>
          </w:p>
        </w:tc>
        <w:tc>
          <w:tcPr>
            <w:tcW w:w="1742" w:type="dxa"/>
            <w:vAlign w:val="center"/>
          </w:tcPr>
          <w:p w14:paraId="7608EE2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c>
          <w:tcPr>
            <w:tcW w:w="1742" w:type="dxa"/>
            <w:vAlign w:val="center"/>
          </w:tcPr>
          <w:p w14:paraId="54FDAA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0.001</w:t>
            </w:r>
          </w:p>
        </w:tc>
      </w:tr>
      <w:tr w14:paraId="60219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749FF629">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70" w:type="dxa"/>
            <w:vAlign w:val="center"/>
          </w:tcPr>
          <w:p w14:paraId="025985D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1742" w:type="dxa"/>
            <w:vAlign w:val="center"/>
          </w:tcPr>
          <w:p w14:paraId="384D541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0.463</w:t>
            </w:r>
          </w:p>
        </w:tc>
        <w:tc>
          <w:tcPr>
            <w:tcW w:w="1742" w:type="dxa"/>
            <w:vAlign w:val="center"/>
          </w:tcPr>
          <w:p w14:paraId="0AA0201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0.008</w:t>
            </w:r>
          </w:p>
        </w:tc>
        <w:tc>
          <w:tcPr>
            <w:tcW w:w="1742" w:type="dxa"/>
            <w:vAlign w:val="center"/>
          </w:tcPr>
          <w:p w14:paraId="08E8A8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0.003</w:t>
            </w:r>
          </w:p>
        </w:tc>
      </w:tr>
      <w:tr w14:paraId="13B6C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restart"/>
            <w:vAlign w:val="center"/>
          </w:tcPr>
          <w:p w14:paraId="3045C0B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val="en-US" w:eastAsia="zh-CN"/>
              </w:rPr>
              <w:t>DA006</w:t>
            </w:r>
          </w:p>
        </w:tc>
        <w:tc>
          <w:tcPr>
            <w:tcW w:w="1670" w:type="dxa"/>
            <w:vAlign w:val="center"/>
          </w:tcPr>
          <w:p w14:paraId="638DF847">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氯化氢</w:t>
            </w:r>
          </w:p>
        </w:tc>
        <w:tc>
          <w:tcPr>
            <w:tcW w:w="1742" w:type="dxa"/>
            <w:vAlign w:val="center"/>
          </w:tcPr>
          <w:p w14:paraId="2E99B58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0.143</w:t>
            </w:r>
          </w:p>
        </w:tc>
        <w:tc>
          <w:tcPr>
            <w:tcW w:w="1742" w:type="dxa"/>
            <w:vAlign w:val="center"/>
          </w:tcPr>
          <w:p w14:paraId="014F46A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0.003</w:t>
            </w:r>
          </w:p>
        </w:tc>
        <w:tc>
          <w:tcPr>
            <w:tcW w:w="1742" w:type="dxa"/>
            <w:vAlign w:val="center"/>
          </w:tcPr>
          <w:p w14:paraId="70C6E5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0.000464</w:t>
            </w:r>
          </w:p>
        </w:tc>
      </w:tr>
      <w:tr w14:paraId="20249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2609BB7C">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70" w:type="dxa"/>
            <w:vAlign w:val="center"/>
          </w:tcPr>
          <w:p w14:paraId="180082C4">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硫酸雾</w:t>
            </w:r>
          </w:p>
        </w:tc>
        <w:tc>
          <w:tcPr>
            <w:tcW w:w="1742" w:type="dxa"/>
            <w:vAlign w:val="center"/>
          </w:tcPr>
          <w:p w14:paraId="0BE4D6E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0.145</w:t>
            </w:r>
          </w:p>
        </w:tc>
        <w:tc>
          <w:tcPr>
            <w:tcW w:w="1742" w:type="dxa"/>
            <w:vAlign w:val="center"/>
          </w:tcPr>
          <w:p w14:paraId="27C45C8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0.003</w:t>
            </w:r>
          </w:p>
        </w:tc>
        <w:tc>
          <w:tcPr>
            <w:tcW w:w="1742" w:type="dxa"/>
            <w:vAlign w:val="center"/>
          </w:tcPr>
          <w:p w14:paraId="422722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0.0005</w:t>
            </w:r>
          </w:p>
        </w:tc>
      </w:tr>
      <w:tr w14:paraId="3021F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7FB7A0B4">
            <w:pPr>
              <w:spacing w:line="240" w:lineRule="auto"/>
              <w:jc w:val="center"/>
              <w:rPr>
                <w:rFonts w:hint="default" w:ascii="Times New Roman" w:hAnsi="Times New Roman" w:eastAsia="宋体" w:cs="Times New Roman"/>
                <w:color w:val="auto"/>
                <w:sz w:val="21"/>
                <w:szCs w:val="21"/>
                <w:highlight w:val="none"/>
                <w:u w:val="single" w:color="auto"/>
                <w:lang w:eastAsia="zh-CN"/>
              </w:rPr>
            </w:pPr>
          </w:p>
        </w:tc>
        <w:tc>
          <w:tcPr>
            <w:tcW w:w="1670" w:type="dxa"/>
            <w:vAlign w:val="center"/>
          </w:tcPr>
          <w:p w14:paraId="4B49FEAF">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氮氧化物</w:t>
            </w:r>
          </w:p>
        </w:tc>
        <w:tc>
          <w:tcPr>
            <w:tcW w:w="1742" w:type="dxa"/>
            <w:vAlign w:val="center"/>
          </w:tcPr>
          <w:p w14:paraId="563B026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0.463</w:t>
            </w:r>
          </w:p>
        </w:tc>
        <w:tc>
          <w:tcPr>
            <w:tcW w:w="1742" w:type="dxa"/>
            <w:vAlign w:val="center"/>
          </w:tcPr>
          <w:p w14:paraId="064497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0.008</w:t>
            </w:r>
          </w:p>
        </w:tc>
        <w:tc>
          <w:tcPr>
            <w:tcW w:w="1742" w:type="dxa"/>
            <w:vAlign w:val="center"/>
          </w:tcPr>
          <w:p w14:paraId="2503126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0.003</w:t>
            </w:r>
          </w:p>
        </w:tc>
      </w:tr>
      <w:tr w14:paraId="1DE13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Align w:val="center"/>
          </w:tcPr>
          <w:p w14:paraId="304ADA76">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DA007</w:t>
            </w:r>
          </w:p>
        </w:tc>
        <w:tc>
          <w:tcPr>
            <w:tcW w:w="1670" w:type="dxa"/>
            <w:vAlign w:val="center"/>
          </w:tcPr>
          <w:p w14:paraId="6738B31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eastAsia="zh-CN"/>
              </w:rPr>
              <w:t>非甲烷总烃</w:t>
            </w:r>
          </w:p>
        </w:tc>
        <w:tc>
          <w:tcPr>
            <w:tcW w:w="1742" w:type="dxa"/>
            <w:vAlign w:val="center"/>
          </w:tcPr>
          <w:p w14:paraId="2A4EC103">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3.4</w:t>
            </w:r>
          </w:p>
        </w:tc>
        <w:tc>
          <w:tcPr>
            <w:tcW w:w="1742" w:type="dxa"/>
            <w:vAlign w:val="center"/>
          </w:tcPr>
          <w:p w14:paraId="1EC41934">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0.017</w:t>
            </w:r>
          </w:p>
        </w:tc>
        <w:tc>
          <w:tcPr>
            <w:tcW w:w="1742" w:type="dxa"/>
            <w:vAlign w:val="center"/>
          </w:tcPr>
          <w:p w14:paraId="186BD7E5">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0.04</w:t>
            </w:r>
          </w:p>
        </w:tc>
      </w:tr>
      <w:tr w14:paraId="60082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79" w:type="dxa"/>
            <w:gridSpan w:val="5"/>
            <w:vAlign w:val="center"/>
          </w:tcPr>
          <w:p w14:paraId="384A518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strike w:val="0"/>
                <w:dstrike w:val="0"/>
                <w:color w:val="auto"/>
                <w:sz w:val="21"/>
                <w:szCs w:val="21"/>
                <w:highlight w:val="none"/>
                <w:u w:val="single" w:color="auto"/>
              </w:rPr>
              <w:t>主要排放口合计</w:t>
            </w:r>
          </w:p>
        </w:tc>
      </w:tr>
      <w:tr w14:paraId="75007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restart"/>
            <w:vAlign w:val="center"/>
          </w:tcPr>
          <w:p w14:paraId="1F859763">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strike w:val="0"/>
                <w:dstrike w:val="0"/>
                <w:color w:val="auto"/>
                <w:sz w:val="21"/>
                <w:szCs w:val="21"/>
                <w:highlight w:val="none"/>
                <w:u w:val="single" w:color="auto"/>
              </w:rPr>
              <w:t>主要排放口合计</w:t>
            </w:r>
          </w:p>
        </w:tc>
        <w:tc>
          <w:tcPr>
            <w:tcW w:w="5154" w:type="dxa"/>
            <w:gridSpan w:val="3"/>
            <w:vAlign w:val="center"/>
          </w:tcPr>
          <w:p w14:paraId="1CFC794F">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氯化氢</w:t>
            </w:r>
          </w:p>
        </w:tc>
        <w:tc>
          <w:tcPr>
            <w:tcW w:w="1742" w:type="dxa"/>
            <w:vAlign w:val="center"/>
          </w:tcPr>
          <w:p w14:paraId="094116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0.001024</w:t>
            </w:r>
          </w:p>
        </w:tc>
      </w:tr>
      <w:tr w14:paraId="09937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258CE660">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5154" w:type="dxa"/>
            <w:gridSpan w:val="3"/>
            <w:vAlign w:val="center"/>
          </w:tcPr>
          <w:p w14:paraId="5739C589">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硫酸雾</w:t>
            </w:r>
          </w:p>
        </w:tc>
        <w:tc>
          <w:tcPr>
            <w:tcW w:w="1742" w:type="dxa"/>
            <w:vAlign w:val="center"/>
          </w:tcPr>
          <w:p w14:paraId="7D427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0.0135</w:t>
            </w:r>
          </w:p>
        </w:tc>
      </w:tr>
      <w:tr w14:paraId="35447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30CC994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5154" w:type="dxa"/>
            <w:gridSpan w:val="3"/>
            <w:vAlign w:val="center"/>
          </w:tcPr>
          <w:p w14:paraId="4DCBACBF">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氮氧化物</w:t>
            </w:r>
          </w:p>
        </w:tc>
        <w:tc>
          <w:tcPr>
            <w:tcW w:w="1742" w:type="dxa"/>
            <w:vAlign w:val="center"/>
          </w:tcPr>
          <w:p w14:paraId="1B8544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0.012</w:t>
            </w:r>
          </w:p>
        </w:tc>
      </w:tr>
      <w:tr w14:paraId="57969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3" w:type="dxa"/>
            <w:vMerge w:val="continue"/>
            <w:vAlign w:val="center"/>
          </w:tcPr>
          <w:p w14:paraId="3D957178">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p>
        </w:tc>
        <w:tc>
          <w:tcPr>
            <w:tcW w:w="5154" w:type="dxa"/>
            <w:gridSpan w:val="3"/>
            <w:vAlign w:val="center"/>
          </w:tcPr>
          <w:p w14:paraId="5E362F1D">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非甲烷总烃</w:t>
            </w:r>
          </w:p>
        </w:tc>
        <w:tc>
          <w:tcPr>
            <w:tcW w:w="1742" w:type="dxa"/>
            <w:vAlign w:val="center"/>
          </w:tcPr>
          <w:p w14:paraId="3C2CFF1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w:t>
            </w:r>
          </w:p>
        </w:tc>
      </w:tr>
    </w:tbl>
    <w:p w14:paraId="2A1A62C5">
      <w:pPr>
        <w:ind w:firstLine="561"/>
        <w:rPr>
          <w:rFonts w:hint="default" w:ascii="Times New Roman" w:hAnsi="Times New Roman" w:eastAsia="宋体" w:cs="Times New Roman"/>
          <w:strike w:val="0"/>
          <w:dstrike w:val="0"/>
          <w:color w:val="auto"/>
          <w:sz w:val="24"/>
          <w:szCs w:val="21"/>
          <w:highlight w:val="none"/>
          <w:u w:val="single" w:color="auto"/>
        </w:rPr>
      </w:pPr>
      <w:r>
        <w:rPr>
          <w:rFonts w:hint="default" w:ascii="Times New Roman" w:hAnsi="Times New Roman" w:eastAsia="宋体" w:cs="Times New Roman"/>
          <w:strike w:val="0"/>
          <w:dstrike w:val="0"/>
          <w:color w:val="auto"/>
          <w:sz w:val="24"/>
          <w:szCs w:val="21"/>
          <w:highlight w:val="none"/>
          <w:u w:val="single" w:color="auto"/>
        </w:rPr>
        <w:t>（2）无组织排放量核算</w:t>
      </w:r>
    </w:p>
    <w:p w14:paraId="61616EEE">
      <w:pPr>
        <w:ind w:firstLine="561"/>
        <w:rPr>
          <w:rFonts w:hint="default" w:ascii="Times New Roman" w:hAnsi="Times New Roman" w:eastAsia="宋体" w:cs="Times New Roman"/>
          <w:strike w:val="0"/>
          <w:dstrike w:val="0"/>
          <w:color w:val="auto"/>
          <w:sz w:val="24"/>
          <w:szCs w:val="21"/>
          <w:highlight w:val="none"/>
          <w:u w:val="single" w:color="auto"/>
        </w:rPr>
      </w:pPr>
      <w:r>
        <w:rPr>
          <w:rFonts w:hint="default" w:ascii="Times New Roman" w:hAnsi="Times New Roman" w:eastAsia="宋体" w:cs="Times New Roman"/>
          <w:strike w:val="0"/>
          <w:dstrike w:val="0"/>
          <w:color w:val="auto"/>
          <w:sz w:val="24"/>
          <w:szCs w:val="21"/>
          <w:highlight w:val="none"/>
          <w:u w:val="single" w:color="auto"/>
        </w:rPr>
        <w:t>本项目大气污染物无组织排放量核算情况详见下表。</w:t>
      </w:r>
    </w:p>
    <w:p w14:paraId="456597E3">
      <w:pPr>
        <w:jc w:val="center"/>
        <w:rPr>
          <w:rFonts w:hint="default" w:ascii="Times New Roman" w:hAnsi="Times New Roman" w:eastAsia="宋体" w:cs="Times New Roman"/>
          <w:strike w:val="0"/>
          <w:dstrike w:val="0"/>
          <w:color w:val="auto"/>
          <w:sz w:val="21"/>
          <w:szCs w:val="21"/>
          <w:highlight w:val="none"/>
          <w:u w:val="single" w:color="auto"/>
        </w:rPr>
      </w:pPr>
      <w:r>
        <w:rPr>
          <w:rFonts w:hint="default" w:ascii="Times New Roman" w:hAnsi="Times New Roman" w:eastAsia="宋体" w:cs="Times New Roman"/>
          <w:b/>
          <w:strike w:val="0"/>
          <w:dstrike w:val="0"/>
          <w:color w:val="auto"/>
          <w:sz w:val="21"/>
          <w:szCs w:val="21"/>
          <w:highlight w:val="none"/>
          <w:u w:val="single" w:color="auto"/>
        </w:rPr>
        <w:t>表</w:t>
      </w:r>
      <w:r>
        <w:rPr>
          <w:rFonts w:hint="default" w:ascii="Times New Roman" w:hAnsi="Times New Roman" w:eastAsia="宋体" w:cs="Times New Roman"/>
          <w:b/>
          <w:strike w:val="0"/>
          <w:dstrike w:val="0"/>
          <w:color w:val="auto"/>
          <w:sz w:val="21"/>
          <w:szCs w:val="21"/>
          <w:highlight w:val="none"/>
          <w:u w:val="single" w:color="auto"/>
          <w:lang w:val="en-US" w:eastAsia="zh-CN"/>
        </w:rPr>
        <w:t>7</w:t>
      </w:r>
      <w:r>
        <w:rPr>
          <w:rFonts w:hint="default" w:ascii="Times New Roman" w:hAnsi="Times New Roman" w:eastAsia="宋体" w:cs="Times New Roman"/>
          <w:b/>
          <w:strike w:val="0"/>
          <w:dstrike w:val="0"/>
          <w:color w:val="auto"/>
          <w:sz w:val="21"/>
          <w:szCs w:val="21"/>
          <w:highlight w:val="none"/>
          <w:u w:val="single" w:color="auto"/>
        </w:rPr>
        <w:t>.2-</w:t>
      </w:r>
      <w:r>
        <w:rPr>
          <w:rFonts w:hint="default" w:ascii="Times New Roman" w:hAnsi="Times New Roman" w:eastAsia="宋体" w:cs="Times New Roman"/>
          <w:b/>
          <w:strike w:val="0"/>
          <w:dstrike w:val="0"/>
          <w:color w:val="auto"/>
          <w:sz w:val="21"/>
          <w:szCs w:val="21"/>
          <w:highlight w:val="none"/>
          <w:u w:val="single" w:color="auto"/>
          <w:lang w:val="en-US" w:eastAsia="zh-CN"/>
        </w:rPr>
        <w:t xml:space="preserve">7 </w:t>
      </w:r>
      <w:r>
        <w:rPr>
          <w:rFonts w:hint="default" w:ascii="Times New Roman" w:hAnsi="Times New Roman" w:eastAsia="宋体" w:cs="Times New Roman"/>
          <w:b/>
          <w:strike w:val="0"/>
          <w:dstrike w:val="0"/>
          <w:color w:val="auto"/>
          <w:sz w:val="21"/>
          <w:szCs w:val="21"/>
          <w:highlight w:val="none"/>
          <w:u w:val="single" w:color="auto"/>
        </w:rPr>
        <w:t>本项目大气污染物无组织排放量核算表</w:t>
      </w:r>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3"/>
        <w:gridCol w:w="873"/>
        <w:gridCol w:w="1281"/>
        <w:gridCol w:w="1578"/>
        <w:gridCol w:w="1820"/>
        <w:gridCol w:w="1154"/>
        <w:gridCol w:w="1159"/>
      </w:tblGrid>
      <w:tr w14:paraId="2D1C1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restart"/>
            <w:tcBorders>
              <w:right w:val="single" w:color="auto" w:sz="4" w:space="0"/>
            </w:tcBorders>
            <w:vAlign w:val="center"/>
          </w:tcPr>
          <w:p w14:paraId="40C57989">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sz w:val="21"/>
                <w:szCs w:val="21"/>
                <w:highlight w:val="none"/>
                <w:u w:val="single" w:color="auto"/>
                <w:lang w:eastAsia="zh-CN"/>
              </w:rPr>
              <w:t>序号</w:t>
            </w:r>
          </w:p>
        </w:tc>
        <w:tc>
          <w:tcPr>
            <w:tcW w:w="873" w:type="dxa"/>
            <w:vMerge w:val="restart"/>
            <w:tcBorders>
              <w:left w:val="single" w:color="auto" w:sz="4" w:space="0"/>
              <w:right w:val="single" w:color="auto" w:sz="4" w:space="0"/>
            </w:tcBorders>
            <w:vAlign w:val="center"/>
          </w:tcPr>
          <w:p w14:paraId="48C45C38">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sz w:val="21"/>
                <w:szCs w:val="21"/>
                <w:highlight w:val="none"/>
                <w:u w:val="single" w:color="auto"/>
                <w:lang w:eastAsia="zh-CN"/>
              </w:rPr>
              <w:t>排放口编号</w:t>
            </w:r>
          </w:p>
        </w:tc>
        <w:tc>
          <w:tcPr>
            <w:tcW w:w="1281" w:type="dxa"/>
            <w:vMerge w:val="restart"/>
            <w:tcBorders>
              <w:left w:val="single" w:color="auto" w:sz="4" w:space="0"/>
            </w:tcBorders>
            <w:vAlign w:val="center"/>
          </w:tcPr>
          <w:p w14:paraId="11908F18">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bCs/>
                <w:strike w:val="0"/>
                <w:dstrike w:val="0"/>
                <w:color w:val="auto"/>
                <w:sz w:val="21"/>
                <w:szCs w:val="21"/>
                <w:highlight w:val="none"/>
                <w:u w:val="single" w:color="auto"/>
              </w:rPr>
              <w:t>产污环节</w:t>
            </w:r>
          </w:p>
        </w:tc>
        <w:tc>
          <w:tcPr>
            <w:tcW w:w="1578" w:type="dxa"/>
            <w:vMerge w:val="restart"/>
            <w:vAlign w:val="center"/>
          </w:tcPr>
          <w:p w14:paraId="0DFDEA66">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sz w:val="21"/>
                <w:szCs w:val="21"/>
                <w:highlight w:val="none"/>
                <w:u w:val="single" w:color="auto"/>
                <w:lang w:eastAsia="zh-CN"/>
              </w:rPr>
              <w:t>污染物</w:t>
            </w:r>
          </w:p>
        </w:tc>
        <w:tc>
          <w:tcPr>
            <w:tcW w:w="2974" w:type="dxa"/>
            <w:gridSpan w:val="2"/>
            <w:vAlign w:val="center"/>
          </w:tcPr>
          <w:p w14:paraId="377C7A9A">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b w:val="0"/>
                <w:bCs w:val="0"/>
                <w:strike w:val="0"/>
                <w:dstrike w:val="0"/>
                <w:color w:val="auto"/>
                <w:sz w:val="21"/>
                <w:szCs w:val="21"/>
                <w:highlight w:val="none"/>
                <w:u w:val="single" w:color="auto"/>
              </w:rPr>
              <w:t>国家或地方污染物排放标准</w:t>
            </w:r>
          </w:p>
        </w:tc>
        <w:tc>
          <w:tcPr>
            <w:tcW w:w="1159" w:type="dxa"/>
            <w:vMerge w:val="restart"/>
            <w:vAlign w:val="center"/>
          </w:tcPr>
          <w:p w14:paraId="3685F076">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b w:val="0"/>
                <w:bCs w:val="0"/>
                <w:strike w:val="0"/>
                <w:dstrike w:val="0"/>
                <w:color w:val="auto"/>
                <w:sz w:val="21"/>
                <w:szCs w:val="21"/>
                <w:highlight w:val="none"/>
                <w:u w:val="single" w:color="auto"/>
              </w:rPr>
              <w:t>核算年排放量（t/a）</w:t>
            </w:r>
          </w:p>
        </w:tc>
      </w:tr>
      <w:tr w14:paraId="61F3F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continue"/>
            <w:tcBorders>
              <w:right w:val="single" w:color="auto" w:sz="4" w:space="0"/>
            </w:tcBorders>
            <w:vAlign w:val="center"/>
          </w:tcPr>
          <w:p w14:paraId="57179574">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873" w:type="dxa"/>
            <w:vMerge w:val="continue"/>
            <w:tcBorders>
              <w:left w:val="single" w:color="auto" w:sz="4" w:space="0"/>
              <w:right w:val="single" w:color="auto" w:sz="4" w:space="0"/>
            </w:tcBorders>
            <w:vAlign w:val="center"/>
          </w:tcPr>
          <w:p w14:paraId="5D343FFA">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281" w:type="dxa"/>
            <w:vMerge w:val="continue"/>
            <w:tcBorders>
              <w:left w:val="single" w:color="auto" w:sz="4" w:space="0"/>
            </w:tcBorders>
            <w:vAlign w:val="center"/>
          </w:tcPr>
          <w:p w14:paraId="1640643A">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578" w:type="dxa"/>
            <w:vMerge w:val="continue"/>
            <w:vAlign w:val="center"/>
          </w:tcPr>
          <w:p w14:paraId="3E6438E1">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820" w:type="dxa"/>
            <w:vAlign w:val="center"/>
          </w:tcPr>
          <w:p w14:paraId="0BEA0DCB">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b w:val="0"/>
                <w:bCs w:val="0"/>
                <w:strike w:val="0"/>
                <w:dstrike w:val="0"/>
                <w:color w:val="auto"/>
                <w:sz w:val="21"/>
                <w:szCs w:val="21"/>
                <w:highlight w:val="none"/>
                <w:u w:val="single" w:color="auto"/>
              </w:rPr>
              <w:t>标准名称</w:t>
            </w:r>
          </w:p>
        </w:tc>
        <w:tc>
          <w:tcPr>
            <w:tcW w:w="1154" w:type="dxa"/>
            <w:tcBorders>
              <w:top w:val="single" w:color="auto" w:sz="4" w:space="0"/>
            </w:tcBorders>
            <w:vAlign w:val="center"/>
          </w:tcPr>
          <w:p w14:paraId="38260E03">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b w:val="0"/>
                <w:bCs w:val="0"/>
                <w:strike w:val="0"/>
                <w:dstrike w:val="0"/>
                <w:color w:val="auto"/>
                <w:sz w:val="21"/>
                <w:szCs w:val="21"/>
                <w:highlight w:val="none"/>
                <w:u w:val="single" w:color="auto"/>
              </w:rPr>
              <w:t>排放标准</w:t>
            </w:r>
          </w:p>
          <w:p w14:paraId="533FC9DF">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b w:val="0"/>
                <w:bCs w:val="0"/>
                <w:strike w:val="0"/>
                <w:dstrike w:val="0"/>
                <w:color w:val="auto"/>
                <w:sz w:val="21"/>
                <w:szCs w:val="21"/>
                <w:highlight w:val="none"/>
                <w:u w:val="single" w:color="auto"/>
              </w:rPr>
              <w:t>（mg/m</w:t>
            </w:r>
            <w:r>
              <w:rPr>
                <w:rFonts w:hint="default" w:ascii="Times New Roman" w:hAnsi="Times New Roman" w:eastAsia="宋体" w:cs="Times New Roman"/>
                <w:b w:val="0"/>
                <w:bCs w:val="0"/>
                <w:strike w:val="0"/>
                <w:dstrike w:val="0"/>
                <w:color w:val="auto"/>
                <w:sz w:val="21"/>
                <w:szCs w:val="21"/>
                <w:highlight w:val="none"/>
                <w:u w:val="single" w:color="auto"/>
                <w:vertAlign w:val="superscript"/>
              </w:rPr>
              <w:t>3</w:t>
            </w:r>
            <w:r>
              <w:rPr>
                <w:rFonts w:hint="default" w:ascii="Times New Roman" w:hAnsi="Times New Roman" w:eastAsia="宋体" w:cs="Times New Roman"/>
                <w:b w:val="0"/>
                <w:bCs w:val="0"/>
                <w:strike w:val="0"/>
                <w:dstrike w:val="0"/>
                <w:color w:val="auto"/>
                <w:sz w:val="21"/>
                <w:szCs w:val="21"/>
                <w:highlight w:val="none"/>
                <w:u w:val="single" w:color="auto"/>
              </w:rPr>
              <w:t>）</w:t>
            </w:r>
          </w:p>
        </w:tc>
        <w:tc>
          <w:tcPr>
            <w:tcW w:w="1159" w:type="dxa"/>
            <w:vMerge w:val="continue"/>
            <w:vAlign w:val="center"/>
          </w:tcPr>
          <w:p w14:paraId="3AD3FB89">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r>
      <w:tr w14:paraId="026AF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restart"/>
            <w:tcBorders>
              <w:right w:val="single" w:color="auto" w:sz="4" w:space="0"/>
            </w:tcBorders>
            <w:vAlign w:val="center"/>
          </w:tcPr>
          <w:p w14:paraId="7CEC4625">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b w:val="0"/>
                <w:bCs w:val="0"/>
                <w:strike w:val="0"/>
                <w:dstrike w:val="0"/>
                <w:color w:val="auto"/>
                <w:sz w:val="21"/>
                <w:szCs w:val="21"/>
                <w:highlight w:val="none"/>
                <w:u w:val="single" w:color="auto"/>
                <w:lang w:val="en-US" w:eastAsia="zh-CN"/>
              </w:rPr>
              <w:t>1</w:t>
            </w:r>
          </w:p>
        </w:tc>
        <w:tc>
          <w:tcPr>
            <w:tcW w:w="873" w:type="dxa"/>
            <w:vMerge w:val="restart"/>
            <w:tcBorders>
              <w:left w:val="single" w:color="auto" w:sz="4" w:space="0"/>
            </w:tcBorders>
            <w:vAlign w:val="center"/>
          </w:tcPr>
          <w:p w14:paraId="4AFB8585">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b w:val="0"/>
                <w:bCs w:val="0"/>
                <w:strike w:val="0"/>
                <w:dstrike w:val="0"/>
                <w:color w:val="auto"/>
                <w:sz w:val="21"/>
                <w:szCs w:val="21"/>
                <w:highlight w:val="none"/>
                <w:u w:val="single" w:color="auto"/>
                <w:lang w:val="en-US" w:eastAsia="zh-CN"/>
              </w:rPr>
              <w:t>--</w:t>
            </w:r>
          </w:p>
        </w:tc>
        <w:tc>
          <w:tcPr>
            <w:tcW w:w="1281" w:type="dxa"/>
            <w:vMerge w:val="restart"/>
            <w:vAlign w:val="center"/>
          </w:tcPr>
          <w:p w14:paraId="0AB866E6">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1</w:t>
            </w:r>
            <w:r>
              <w:rPr>
                <w:rFonts w:hint="default" w:ascii="Times New Roman" w:hAnsi="Times New Roman" w:cs="Times New Roman"/>
                <w:color w:val="auto"/>
                <w:sz w:val="21"/>
                <w:szCs w:val="21"/>
                <w:highlight w:val="none"/>
                <w:u w:val="single" w:color="auto"/>
              </w:rPr>
              <w:t>#厂房</w:t>
            </w:r>
          </w:p>
        </w:tc>
        <w:tc>
          <w:tcPr>
            <w:tcW w:w="1578" w:type="dxa"/>
            <w:vAlign w:val="center"/>
          </w:tcPr>
          <w:p w14:paraId="08056D9A">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氯化氢</w:t>
            </w:r>
          </w:p>
        </w:tc>
        <w:tc>
          <w:tcPr>
            <w:tcW w:w="1820" w:type="dxa"/>
            <w:vMerge w:val="restart"/>
            <w:vAlign w:val="center"/>
          </w:tcPr>
          <w:p w14:paraId="65CEC2A3">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《电镀污染物排放标准》（GB21900-2008）</w:t>
            </w:r>
            <w:r>
              <w:rPr>
                <w:rFonts w:hint="default" w:ascii="Times New Roman" w:hAnsi="Times New Roman" w:eastAsia="宋体" w:cs="Times New Roman"/>
                <w:color w:val="auto"/>
                <w:sz w:val="21"/>
                <w:szCs w:val="21"/>
                <w:highlight w:val="none"/>
                <w:u w:val="single" w:color="auto"/>
                <w:lang w:eastAsia="zh-CN"/>
              </w:rPr>
              <w:t>、</w:t>
            </w:r>
            <w:r>
              <w:rPr>
                <w:rFonts w:hint="default" w:ascii="Times New Roman" w:hAnsi="Times New Roman" w:eastAsia="宋体" w:cs="Times New Roman"/>
                <w:color w:val="auto"/>
                <w:kern w:val="2"/>
                <w:sz w:val="21"/>
                <w:szCs w:val="21"/>
                <w:highlight w:val="none"/>
                <w:u w:val="single" w:color="auto"/>
                <w:lang w:val="en-US" w:eastAsia="zh-CN" w:bidi="ar-SA"/>
              </w:rPr>
              <w:t>《合成树脂工业污染物排放标准》（GB31572-2015）</w:t>
            </w:r>
          </w:p>
        </w:tc>
        <w:tc>
          <w:tcPr>
            <w:tcW w:w="1154" w:type="dxa"/>
            <w:vAlign w:val="center"/>
          </w:tcPr>
          <w:p w14:paraId="166FCEF4">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w:t>
            </w:r>
          </w:p>
        </w:tc>
        <w:tc>
          <w:tcPr>
            <w:tcW w:w="1159" w:type="dxa"/>
            <w:vAlign w:val="center"/>
          </w:tcPr>
          <w:p w14:paraId="4DF508E6">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0.006</w:t>
            </w:r>
          </w:p>
        </w:tc>
      </w:tr>
      <w:tr w14:paraId="045A2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continue"/>
            <w:tcBorders>
              <w:right w:val="single" w:color="auto" w:sz="4" w:space="0"/>
            </w:tcBorders>
            <w:vAlign w:val="center"/>
          </w:tcPr>
          <w:p w14:paraId="6BAC6F4A">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873" w:type="dxa"/>
            <w:vMerge w:val="continue"/>
            <w:tcBorders>
              <w:left w:val="single" w:color="auto" w:sz="4" w:space="0"/>
            </w:tcBorders>
            <w:vAlign w:val="center"/>
          </w:tcPr>
          <w:p w14:paraId="257B1AD3">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1281" w:type="dxa"/>
            <w:vMerge w:val="continue"/>
            <w:vAlign w:val="center"/>
          </w:tcPr>
          <w:p w14:paraId="76B14FAD">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578" w:type="dxa"/>
            <w:vAlign w:val="center"/>
          </w:tcPr>
          <w:p w14:paraId="3D5F83A4">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硫酸雾</w:t>
            </w:r>
          </w:p>
        </w:tc>
        <w:tc>
          <w:tcPr>
            <w:tcW w:w="1820" w:type="dxa"/>
            <w:vMerge w:val="continue"/>
            <w:vAlign w:val="center"/>
          </w:tcPr>
          <w:p w14:paraId="2676215E">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bidi="en-US"/>
              </w:rPr>
            </w:pPr>
          </w:p>
        </w:tc>
        <w:tc>
          <w:tcPr>
            <w:tcW w:w="1154" w:type="dxa"/>
            <w:vAlign w:val="center"/>
          </w:tcPr>
          <w:p w14:paraId="57CE3216">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w:t>
            </w:r>
          </w:p>
        </w:tc>
        <w:tc>
          <w:tcPr>
            <w:tcW w:w="1159" w:type="dxa"/>
            <w:vAlign w:val="center"/>
          </w:tcPr>
          <w:p w14:paraId="6475671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0.044</w:t>
            </w:r>
          </w:p>
        </w:tc>
      </w:tr>
      <w:tr w14:paraId="0F5C6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continue"/>
            <w:tcBorders>
              <w:right w:val="single" w:color="auto" w:sz="4" w:space="0"/>
            </w:tcBorders>
            <w:vAlign w:val="center"/>
          </w:tcPr>
          <w:p w14:paraId="4CB83BE3">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873" w:type="dxa"/>
            <w:vMerge w:val="continue"/>
            <w:tcBorders>
              <w:left w:val="single" w:color="auto" w:sz="4" w:space="0"/>
            </w:tcBorders>
            <w:vAlign w:val="center"/>
          </w:tcPr>
          <w:p w14:paraId="26ED33A6">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1281" w:type="dxa"/>
            <w:vMerge w:val="continue"/>
            <w:vAlign w:val="center"/>
          </w:tcPr>
          <w:p w14:paraId="0E9C5609">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578" w:type="dxa"/>
            <w:vAlign w:val="center"/>
          </w:tcPr>
          <w:p w14:paraId="11B5688E">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rPr>
              <w:t>氮氧化物</w:t>
            </w:r>
          </w:p>
        </w:tc>
        <w:tc>
          <w:tcPr>
            <w:tcW w:w="1820" w:type="dxa"/>
            <w:vMerge w:val="continue"/>
            <w:vAlign w:val="center"/>
          </w:tcPr>
          <w:p w14:paraId="77DEDEAB">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bidi="en-US"/>
              </w:rPr>
            </w:pPr>
          </w:p>
        </w:tc>
        <w:tc>
          <w:tcPr>
            <w:tcW w:w="1154" w:type="dxa"/>
            <w:vAlign w:val="center"/>
          </w:tcPr>
          <w:p w14:paraId="4520E44C">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0.12</w:t>
            </w:r>
          </w:p>
        </w:tc>
        <w:tc>
          <w:tcPr>
            <w:tcW w:w="1159" w:type="dxa"/>
            <w:vAlign w:val="center"/>
          </w:tcPr>
          <w:p w14:paraId="3F78D54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14:paraId="58307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continue"/>
            <w:tcBorders>
              <w:right w:val="single" w:color="auto" w:sz="4" w:space="0"/>
            </w:tcBorders>
            <w:vAlign w:val="center"/>
          </w:tcPr>
          <w:p w14:paraId="1887C8FA">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873" w:type="dxa"/>
            <w:vMerge w:val="continue"/>
            <w:tcBorders>
              <w:left w:val="single" w:color="auto" w:sz="4" w:space="0"/>
            </w:tcBorders>
            <w:vAlign w:val="center"/>
          </w:tcPr>
          <w:p w14:paraId="31CAB6CB">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1281" w:type="dxa"/>
            <w:vMerge w:val="continue"/>
            <w:vAlign w:val="center"/>
          </w:tcPr>
          <w:p w14:paraId="41CE0552">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578" w:type="dxa"/>
            <w:vAlign w:val="center"/>
          </w:tcPr>
          <w:p w14:paraId="47861C58">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颗粒物</w:t>
            </w:r>
          </w:p>
        </w:tc>
        <w:tc>
          <w:tcPr>
            <w:tcW w:w="1820" w:type="dxa"/>
            <w:vMerge w:val="continue"/>
            <w:vAlign w:val="center"/>
          </w:tcPr>
          <w:p w14:paraId="2ED059B4">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bidi="en-US"/>
              </w:rPr>
            </w:pPr>
          </w:p>
        </w:tc>
        <w:tc>
          <w:tcPr>
            <w:tcW w:w="1154" w:type="dxa"/>
            <w:vAlign w:val="center"/>
          </w:tcPr>
          <w:p w14:paraId="39D21639">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1.0</w:t>
            </w:r>
          </w:p>
        </w:tc>
        <w:tc>
          <w:tcPr>
            <w:tcW w:w="1159" w:type="dxa"/>
            <w:vAlign w:val="center"/>
          </w:tcPr>
          <w:p w14:paraId="3EF90F9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0.825</w:t>
            </w:r>
          </w:p>
        </w:tc>
      </w:tr>
      <w:tr w14:paraId="186F3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restart"/>
            <w:tcBorders>
              <w:top w:val="single" w:color="auto" w:sz="4" w:space="0"/>
              <w:right w:val="single" w:color="auto" w:sz="4" w:space="0"/>
            </w:tcBorders>
            <w:vAlign w:val="center"/>
          </w:tcPr>
          <w:p w14:paraId="60EA1442">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b w:val="0"/>
                <w:bCs w:val="0"/>
                <w:strike w:val="0"/>
                <w:dstrike w:val="0"/>
                <w:color w:val="auto"/>
                <w:sz w:val="21"/>
                <w:szCs w:val="21"/>
                <w:highlight w:val="none"/>
                <w:u w:val="single" w:color="auto"/>
                <w:lang w:val="en-US" w:eastAsia="zh-CN"/>
              </w:rPr>
              <w:t>2</w:t>
            </w:r>
          </w:p>
        </w:tc>
        <w:tc>
          <w:tcPr>
            <w:tcW w:w="873" w:type="dxa"/>
            <w:vMerge w:val="restart"/>
            <w:tcBorders>
              <w:top w:val="single" w:color="auto" w:sz="4" w:space="0"/>
              <w:left w:val="single" w:color="auto" w:sz="4" w:space="0"/>
            </w:tcBorders>
            <w:vAlign w:val="center"/>
          </w:tcPr>
          <w:p w14:paraId="358B1D31">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b w:val="0"/>
                <w:bCs w:val="0"/>
                <w:strike w:val="0"/>
                <w:dstrike w:val="0"/>
                <w:color w:val="auto"/>
                <w:sz w:val="21"/>
                <w:szCs w:val="21"/>
                <w:highlight w:val="none"/>
                <w:u w:val="single" w:color="auto"/>
                <w:lang w:val="en-US" w:eastAsia="zh-CN"/>
              </w:rPr>
              <w:t>--</w:t>
            </w:r>
          </w:p>
        </w:tc>
        <w:tc>
          <w:tcPr>
            <w:tcW w:w="1281" w:type="dxa"/>
            <w:vMerge w:val="restart"/>
            <w:vAlign w:val="center"/>
          </w:tcPr>
          <w:p w14:paraId="069E6ADE">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2</w:t>
            </w:r>
            <w:r>
              <w:rPr>
                <w:rFonts w:hint="default" w:ascii="Times New Roman" w:hAnsi="Times New Roman" w:cs="Times New Roman"/>
                <w:color w:val="auto"/>
                <w:sz w:val="21"/>
                <w:szCs w:val="21"/>
                <w:highlight w:val="none"/>
                <w:u w:val="single" w:color="auto"/>
              </w:rPr>
              <w:t>#厂房</w:t>
            </w:r>
          </w:p>
        </w:tc>
        <w:tc>
          <w:tcPr>
            <w:tcW w:w="1578" w:type="dxa"/>
            <w:vAlign w:val="center"/>
          </w:tcPr>
          <w:p w14:paraId="07361023">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氯化氢</w:t>
            </w:r>
          </w:p>
        </w:tc>
        <w:tc>
          <w:tcPr>
            <w:tcW w:w="1820" w:type="dxa"/>
            <w:vMerge w:val="continue"/>
            <w:vAlign w:val="center"/>
          </w:tcPr>
          <w:p w14:paraId="76893699">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154" w:type="dxa"/>
            <w:vAlign w:val="center"/>
          </w:tcPr>
          <w:p w14:paraId="128BBBBE">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0.2</w:t>
            </w:r>
          </w:p>
        </w:tc>
        <w:tc>
          <w:tcPr>
            <w:tcW w:w="1159" w:type="dxa"/>
            <w:vAlign w:val="center"/>
          </w:tcPr>
          <w:p w14:paraId="45ECB096">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kern w:val="2"/>
                <w:sz w:val="21"/>
                <w:szCs w:val="21"/>
                <w:highlight w:val="none"/>
                <w:u w:val="single" w:color="auto"/>
                <w:lang w:val="en-US" w:eastAsia="zh-CN" w:bidi="ar-SA"/>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0.005</w:t>
            </w:r>
          </w:p>
        </w:tc>
      </w:tr>
      <w:tr w14:paraId="37752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continue"/>
            <w:tcBorders>
              <w:right w:val="single" w:color="auto" w:sz="4" w:space="0"/>
            </w:tcBorders>
            <w:vAlign w:val="center"/>
          </w:tcPr>
          <w:p w14:paraId="21453B64">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873" w:type="dxa"/>
            <w:vMerge w:val="continue"/>
            <w:tcBorders>
              <w:left w:val="single" w:color="auto" w:sz="4" w:space="0"/>
            </w:tcBorders>
            <w:vAlign w:val="center"/>
          </w:tcPr>
          <w:p w14:paraId="05016346">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1281" w:type="dxa"/>
            <w:vMerge w:val="continue"/>
            <w:vAlign w:val="center"/>
          </w:tcPr>
          <w:p w14:paraId="7945F60A">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578" w:type="dxa"/>
            <w:vAlign w:val="center"/>
          </w:tcPr>
          <w:p w14:paraId="7E9DF10D">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硫酸雾</w:t>
            </w:r>
          </w:p>
        </w:tc>
        <w:tc>
          <w:tcPr>
            <w:tcW w:w="1820" w:type="dxa"/>
            <w:vMerge w:val="continue"/>
            <w:vAlign w:val="center"/>
          </w:tcPr>
          <w:p w14:paraId="253AA833">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154" w:type="dxa"/>
            <w:vAlign w:val="center"/>
          </w:tcPr>
          <w:p w14:paraId="31F801FB">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1.2</w:t>
            </w:r>
          </w:p>
        </w:tc>
        <w:tc>
          <w:tcPr>
            <w:tcW w:w="1159" w:type="dxa"/>
            <w:vAlign w:val="center"/>
          </w:tcPr>
          <w:p w14:paraId="429A1335">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0.026</w:t>
            </w:r>
          </w:p>
        </w:tc>
      </w:tr>
      <w:tr w14:paraId="0ED5F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continue"/>
            <w:tcBorders>
              <w:right w:val="single" w:color="auto" w:sz="4" w:space="0"/>
            </w:tcBorders>
            <w:vAlign w:val="center"/>
          </w:tcPr>
          <w:p w14:paraId="0E9FB610">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873" w:type="dxa"/>
            <w:vMerge w:val="continue"/>
            <w:tcBorders>
              <w:left w:val="single" w:color="auto" w:sz="4" w:space="0"/>
            </w:tcBorders>
            <w:vAlign w:val="center"/>
          </w:tcPr>
          <w:p w14:paraId="1731A431">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1281" w:type="dxa"/>
            <w:vMerge w:val="continue"/>
            <w:vAlign w:val="center"/>
          </w:tcPr>
          <w:p w14:paraId="37D19113">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578" w:type="dxa"/>
            <w:vAlign w:val="center"/>
          </w:tcPr>
          <w:p w14:paraId="6EE1BE45">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rPr>
              <w:t>氮氧化物</w:t>
            </w:r>
          </w:p>
        </w:tc>
        <w:tc>
          <w:tcPr>
            <w:tcW w:w="1820" w:type="dxa"/>
            <w:vMerge w:val="continue"/>
            <w:vAlign w:val="center"/>
          </w:tcPr>
          <w:p w14:paraId="1FF73710">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154" w:type="dxa"/>
            <w:vAlign w:val="center"/>
          </w:tcPr>
          <w:p w14:paraId="3050347F">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0.12</w:t>
            </w:r>
          </w:p>
        </w:tc>
        <w:tc>
          <w:tcPr>
            <w:tcW w:w="1159" w:type="dxa"/>
            <w:vAlign w:val="center"/>
          </w:tcPr>
          <w:p w14:paraId="5BFFFCB7">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0.016</w:t>
            </w:r>
          </w:p>
        </w:tc>
      </w:tr>
      <w:tr w14:paraId="3FFE2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continue"/>
            <w:tcBorders>
              <w:right w:val="single" w:color="auto" w:sz="4" w:space="0"/>
            </w:tcBorders>
            <w:vAlign w:val="center"/>
          </w:tcPr>
          <w:p w14:paraId="25003E95">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873" w:type="dxa"/>
            <w:vMerge w:val="continue"/>
            <w:tcBorders>
              <w:left w:val="single" w:color="auto" w:sz="4" w:space="0"/>
            </w:tcBorders>
            <w:vAlign w:val="center"/>
          </w:tcPr>
          <w:p w14:paraId="3CE14EEA">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1281" w:type="dxa"/>
            <w:vMerge w:val="continue"/>
            <w:vAlign w:val="center"/>
          </w:tcPr>
          <w:p w14:paraId="3F8C826C">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578" w:type="dxa"/>
            <w:vAlign w:val="center"/>
          </w:tcPr>
          <w:p w14:paraId="68E8B8FC">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非甲烷总烃</w:t>
            </w:r>
          </w:p>
        </w:tc>
        <w:tc>
          <w:tcPr>
            <w:tcW w:w="1820" w:type="dxa"/>
            <w:vMerge w:val="continue"/>
            <w:vAlign w:val="center"/>
          </w:tcPr>
          <w:p w14:paraId="00EDD7F4">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154" w:type="dxa"/>
            <w:vAlign w:val="center"/>
          </w:tcPr>
          <w:p w14:paraId="352C982F">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cs="Times New Roman"/>
                <w:color w:val="auto"/>
                <w:sz w:val="21"/>
                <w:szCs w:val="21"/>
                <w:highlight w:val="none"/>
                <w:u w:val="single" w:color="auto"/>
                <w:lang w:val="en-US" w:eastAsia="zh-CN"/>
              </w:rPr>
              <w:t>4.0</w:t>
            </w:r>
          </w:p>
        </w:tc>
        <w:tc>
          <w:tcPr>
            <w:tcW w:w="1159" w:type="dxa"/>
            <w:vAlign w:val="center"/>
          </w:tcPr>
          <w:p w14:paraId="5FA3F53F">
            <w:pPr>
              <w:pStyle w:val="34"/>
              <w:spacing w:line="240" w:lineRule="auto"/>
              <w:ind w:firstLine="0" w:firstLineChars="0"/>
              <w:jc w:val="center"/>
              <w:rPr>
                <w:rFonts w:hint="default" w:ascii="Times New Roman" w:hAnsi="Times New Roman" w:eastAsia="宋体" w:cs="Times New Roman"/>
                <w:strike w:val="0"/>
                <w:dstrike w:val="0"/>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0.011</w:t>
            </w:r>
          </w:p>
        </w:tc>
      </w:tr>
      <w:tr w14:paraId="3AD62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dxa"/>
            <w:vMerge w:val="continue"/>
            <w:tcBorders>
              <w:right w:val="single" w:color="auto" w:sz="4" w:space="0"/>
            </w:tcBorders>
            <w:vAlign w:val="center"/>
          </w:tcPr>
          <w:p w14:paraId="75D0A5DF">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873" w:type="dxa"/>
            <w:vMerge w:val="continue"/>
            <w:tcBorders>
              <w:left w:val="single" w:color="auto" w:sz="4" w:space="0"/>
            </w:tcBorders>
            <w:vAlign w:val="center"/>
          </w:tcPr>
          <w:p w14:paraId="435A5564">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p>
        </w:tc>
        <w:tc>
          <w:tcPr>
            <w:tcW w:w="1281" w:type="dxa"/>
            <w:vMerge w:val="continue"/>
            <w:vAlign w:val="center"/>
          </w:tcPr>
          <w:p w14:paraId="53FD1F26">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578" w:type="dxa"/>
            <w:vAlign w:val="center"/>
          </w:tcPr>
          <w:p w14:paraId="3C05B74E">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val="en-US" w:eastAsia="zh-CN"/>
              </w:rPr>
              <w:t>颗粒物</w:t>
            </w:r>
          </w:p>
        </w:tc>
        <w:tc>
          <w:tcPr>
            <w:tcW w:w="1820" w:type="dxa"/>
            <w:vMerge w:val="continue"/>
            <w:vAlign w:val="center"/>
          </w:tcPr>
          <w:p w14:paraId="1DB6D4A3">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rPr>
            </w:pPr>
          </w:p>
        </w:tc>
        <w:tc>
          <w:tcPr>
            <w:tcW w:w="1154" w:type="dxa"/>
            <w:vAlign w:val="center"/>
          </w:tcPr>
          <w:p w14:paraId="54DE2445">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1.0</w:t>
            </w:r>
          </w:p>
        </w:tc>
        <w:tc>
          <w:tcPr>
            <w:tcW w:w="1159" w:type="dxa"/>
            <w:vAlign w:val="center"/>
          </w:tcPr>
          <w:p w14:paraId="43A7BB30">
            <w:pPr>
              <w:keepNext w:val="0"/>
              <w:keepLines w:val="0"/>
              <w:widowControl/>
              <w:suppressLineNumbers w:val="0"/>
              <w:jc w:val="center"/>
              <w:textAlignment w:val="center"/>
              <w:rPr>
                <w:rFonts w:hint="default" w:ascii="Times New Roman" w:hAnsi="Times New Roman" w:eastAsia="宋体" w:cs="Times New Roman"/>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0.825</w:t>
            </w:r>
          </w:p>
        </w:tc>
      </w:tr>
      <w:tr w14:paraId="7435E7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58" w:type="dxa"/>
            <w:gridSpan w:val="7"/>
            <w:vAlign w:val="center"/>
          </w:tcPr>
          <w:p w14:paraId="716A1482">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b w:val="0"/>
                <w:bCs w:val="0"/>
                <w:strike w:val="0"/>
                <w:dstrike w:val="0"/>
                <w:color w:val="auto"/>
                <w:sz w:val="21"/>
                <w:szCs w:val="21"/>
                <w:highlight w:val="none"/>
                <w:u w:val="single" w:color="auto"/>
              </w:rPr>
              <w:t>无组织排放总计</w:t>
            </w:r>
          </w:p>
        </w:tc>
      </w:tr>
      <w:tr w14:paraId="2A2EE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47" w:type="dxa"/>
            <w:gridSpan w:val="3"/>
            <w:vMerge w:val="restart"/>
            <w:tcBorders>
              <w:right w:val="single" w:color="auto" w:sz="4" w:space="0"/>
            </w:tcBorders>
            <w:vAlign w:val="center"/>
          </w:tcPr>
          <w:p w14:paraId="196D1808">
            <w:pPr>
              <w:adjustRightInd w:val="0"/>
              <w:snapToGrid w:val="0"/>
              <w:spacing w:line="240" w:lineRule="auto"/>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r>
              <w:rPr>
                <w:rFonts w:hint="default" w:ascii="Times New Roman" w:hAnsi="Times New Roman" w:eastAsia="宋体" w:cs="Times New Roman"/>
                <w:b w:val="0"/>
                <w:bCs w:val="0"/>
                <w:strike w:val="0"/>
                <w:dstrike w:val="0"/>
                <w:color w:val="auto"/>
                <w:sz w:val="21"/>
                <w:szCs w:val="21"/>
                <w:highlight w:val="none"/>
                <w:u w:val="single" w:color="auto"/>
              </w:rPr>
              <w:t>无组织排放总计</w:t>
            </w:r>
          </w:p>
        </w:tc>
        <w:tc>
          <w:tcPr>
            <w:tcW w:w="4552" w:type="dxa"/>
            <w:gridSpan w:val="3"/>
            <w:tcBorders>
              <w:left w:val="single" w:color="auto" w:sz="4" w:space="0"/>
            </w:tcBorders>
            <w:vAlign w:val="center"/>
          </w:tcPr>
          <w:p w14:paraId="12D9EA4F">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rPr>
              <w:t>氯化氢</w:t>
            </w:r>
          </w:p>
        </w:tc>
        <w:tc>
          <w:tcPr>
            <w:tcW w:w="1159" w:type="dxa"/>
            <w:vAlign w:val="center"/>
          </w:tcPr>
          <w:p w14:paraId="3E18ED3F">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0.011</w:t>
            </w:r>
          </w:p>
        </w:tc>
      </w:tr>
      <w:tr w14:paraId="75689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47" w:type="dxa"/>
            <w:gridSpan w:val="3"/>
            <w:vMerge w:val="continue"/>
            <w:tcBorders>
              <w:right w:val="single" w:color="auto" w:sz="4" w:space="0"/>
            </w:tcBorders>
            <w:vAlign w:val="center"/>
          </w:tcPr>
          <w:p w14:paraId="7ED3D275">
            <w:pPr>
              <w:adjustRightInd w:val="0"/>
              <w:snapToGrid w:val="0"/>
              <w:spacing w:line="240" w:lineRule="auto"/>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p>
        </w:tc>
        <w:tc>
          <w:tcPr>
            <w:tcW w:w="4552" w:type="dxa"/>
            <w:gridSpan w:val="3"/>
            <w:tcBorders>
              <w:left w:val="single" w:color="auto" w:sz="4" w:space="0"/>
            </w:tcBorders>
            <w:vAlign w:val="center"/>
          </w:tcPr>
          <w:p w14:paraId="401859AF">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eastAsia="zh-CN"/>
              </w:rPr>
              <w:t>硫酸雾</w:t>
            </w:r>
          </w:p>
        </w:tc>
        <w:tc>
          <w:tcPr>
            <w:tcW w:w="1159" w:type="dxa"/>
            <w:vAlign w:val="center"/>
          </w:tcPr>
          <w:p w14:paraId="2683C700">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0.07</w:t>
            </w:r>
          </w:p>
        </w:tc>
      </w:tr>
      <w:tr w14:paraId="78169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47" w:type="dxa"/>
            <w:gridSpan w:val="3"/>
            <w:vMerge w:val="continue"/>
            <w:tcBorders>
              <w:right w:val="single" w:color="auto" w:sz="4" w:space="0"/>
            </w:tcBorders>
            <w:vAlign w:val="center"/>
          </w:tcPr>
          <w:p w14:paraId="49244943">
            <w:pPr>
              <w:adjustRightInd w:val="0"/>
              <w:snapToGrid w:val="0"/>
              <w:spacing w:line="240" w:lineRule="auto"/>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p>
        </w:tc>
        <w:tc>
          <w:tcPr>
            <w:tcW w:w="4552" w:type="dxa"/>
            <w:gridSpan w:val="3"/>
            <w:tcBorders>
              <w:left w:val="single" w:color="auto" w:sz="4" w:space="0"/>
            </w:tcBorders>
            <w:vAlign w:val="center"/>
          </w:tcPr>
          <w:p w14:paraId="768274D2">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rPr>
              <w:t>氮氧化物</w:t>
            </w:r>
          </w:p>
        </w:tc>
        <w:tc>
          <w:tcPr>
            <w:tcW w:w="1159" w:type="dxa"/>
            <w:vAlign w:val="center"/>
          </w:tcPr>
          <w:p w14:paraId="39319617">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0.021</w:t>
            </w:r>
          </w:p>
        </w:tc>
      </w:tr>
      <w:tr w14:paraId="20F5F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47" w:type="dxa"/>
            <w:gridSpan w:val="3"/>
            <w:vMerge w:val="continue"/>
            <w:tcBorders>
              <w:right w:val="single" w:color="auto" w:sz="4" w:space="0"/>
            </w:tcBorders>
            <w:vAlign w:val="center"/>
          </w:tcPr>
          <w:p w14:paraId="0DD4D095">
            <w:pPr>
              <w:adjustRightInd w:val="0"/>
              <w:snapToGrid w:val="0"/>
              <w:spacing w:line="240" w:lineRule="auto"/>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p>
        </w:tc>
        <w:tc>
          <w:tcPr>
            <w:tcW w:w="4552" w:type="dxa"/>
            <w:gridSpan w:val="3"/>
            <w:tcBorders>
              <w:left w:val="single" w:color="auto" w:sz="4" w:space="0"/>
            </w:tcBorders>
            <w:vAlign w:val="center"/>
          </w:tcPr>
          <w:p w14:paraId="5B5C8997">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非甲烷总烃</w:t>
            </w:r>
          </w:p>
        </w:tc>
        <w:tc>
          <w:tcPr>
            <w:tcW w:w="1159" w:type="dxa"/>
            <w:vAlign w:val="center"/>
          </w:tcPr>
          <w:p w14:paraId="0D5C69A6">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0.011</w:t>
            </w:r>
          </w:p>
        </w:tc>
      </w:tr>
      <w:tr w14:paraId="42680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47" w:type="dxa"/>
            <w:gridSpan w:val="3"/>
            <w:vMerge w:val="continue"/>
            <w:tcBorders>
              <w:right w:val="single" w:color="auto" w:sz="4" w:space="0"/>
            </w:tcBorders>
            <w:vAlign w:val="center"/>
          </w:tcPr>
          <w:p w14:paraId="27DC7B81">
            <w:pPr>
              <w:adjustRightInd w:val="0"/>
              <w:snapToGrid w:val="0"/>
              <w:spacing w:line="240" w:lineRule="auto"/>
              <w:jc w:val="center"/>
              <w:rPr>
                <w:rFonts w:hint="default" w:ascii="Times New Roman" w:hAnsi="Times New Roman" w:eastAsia="宋体" w:cs="Times New Roman"/>
                <w:b w:val="0"/>
                <w:bCs w:val="0"/>
                <w:strike w:val="0"/>
                <w:dstrike w:val="0"/>
                <w:color w:val="auto"/>
                <w:sz w:val="21"/>
                <w:szCs w:val="21"/>
                <w:highlight w:val="none"/>
                <w:u w:val="single" w:color="auto"/>
                <w:lang w:eastAsia="zh-CN"/>
              </w:rPr>
            </w:pPr>
          </w:p>
        </w:tc>
        <w:tc>
          <w:tcPr>
            <w:tcW w:w="4552" w:type="dxa"/>
            <w:gridSpan w:val="3"/>
            <w:tcBorders>
              <w:left w:val="single" w:color="auto" w:sz="4" w:space="0"/>
            </w:tcBorders>
            <w:vAlign w:val="center"/>
          </w:tcPr>
          <w:p w14:paraId="7F668D7C">
            <w:pPr>
              <w:pStyle w:val="34"/>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颗粒物</w:t>
            </w:r>
          </w:p>
        </w:tc>
        <w:tc>
          <w:tcPr>
            <w:tcW w:w="1159" w:type="dxa"/>
            <w:vAlign w:val="center"/>
          </w:tcPr>
          <w:p w14:paraId="55BE5812">
            <w:pPr>
              <w:keepNext w:val="0"/>
              <w:keepLines w:val="0"/>
              <w:widowControl/>
              <w:suppressLineNumbers w:val="0"/>
              <w:jc w:val="center"/>
              <w:textAlignment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1.65</w:t>
            </w:r>
          </w:p>
        </w:tc>
      </w:tr>
    </w:tbl>
    <w:p w14:paraId="15AAC736">
      <w:pPr>
        <w:ind w:firstLine="561"/>
        <w:rPr>
          <w:rFonts w:hint="default" w:ascii="Times New Roman" w:hAnsi="Times New Roman" w:eastAsia="宋体" w:cs="Times New Roman"/>
          <w:strike w:val="0"/>
          <w:dstrike w:val="0"/>
          <w:color w:val="auto"/>
          <w:sz w:val="24"/>
          <w:szCs w:val="21"/>
          <w:highlight w:val="none"/>
          <w:u w:val="single" w:color="auto"/>
        </w:rPr>
      </w:pPr>
      <w:r>
        <w:rPr>
          <w:rFonts w:hint="default" w:ascii="Times New Roman" w:hAnsi="Times New Roman" w:eastAsia="宋体" w:cs="Times New Roman"/>
          <w:strike w:val="0"/>
          <w:dstrike w:val="0"/>
          <w:color w:val="auto"/>
          <w:sz w:val="24"/>
          <w:szCs w:val="21"/>
          <w:highlight w:val="none"/>
          <w:u w:val="single" w:color="auto"/>
        </w:rPr>
        <w:t>（3）本项目大气污染物年排放量核算</w:t>
      </w:r>
    </w:p>
    <w:p w14:paraId="1108E2F1">
      <w:pPr>
        <w:ind w:firstLine="561"/>
        <w:rPr>
          <w:rFonts w:hint="default" w:ascii="Times New Roman" w:hAnsi="Times New Roman" w:eastAsia="宋体" w:cs="Times New Roman"/>
          <w:strike w:val="0"/>
          <w:dstrike w:val="0"/>
          <w:color w:val="auto"/>
          <w:sz w:val="24"/>
          <w:szCs w:val="21"/>
          <w:highlight w:val="none"/>
          <w:u w:val="single" w:color="auto"/>
        </w:rPr>
      </w:pPr>
      <w:r>
        <w:rPr>
          <w:rFonts w:hint="default" w:ascii="Times New Roman" w:hAnsi="Times New Roman" w:eastAsia="宋体" w:cs="Times New Roman"/>
          <w:strike w:val="0"/>
          <w:dstrike w:val="0"/>
          <w:color w:val="auto"/>
          <w:sz w:val="24"/>
          <w:szCs w:val="21"/>
          <w:highlight w:val="none"/>
          <w:u w:val="single" w:color="auto"/>
        </w:rPr>
        <w:t>本项目大气污染物年排放量核算情况详见下表。</w:t>
      </w:r>
    </w:p>
    <w:p w14:paraId="45F29FF0">
      <w:pPr>
        <w:jc w:val="center"/>
        <w:rPr>
          <w:rFonts w:hint="default" w:ascii="Times New Roman" w:hAnsi="Times New Roman" w:eastAsia="宋体" w:cs="Times New Roman"/>
          <w:strike w:val="0"/>
          <w:dstrike w:val="0"/>
          <w:color w:val="auto"/>
          <w:sz w:val="21"/>
          <w:szCs w:val="18"/>
          <w:highlight w:val="none"/>
          <w:u w:val="single" w:color="auto"/>
        </w:rPr>
      </w:pPr>
      <w:r>
        <w:rPr>
          <w:rFonts w:hint="default" w:ascii="Times New Roman" w:hAnsi="Times New Roman" w:eastAsia="宋体" w:cs="Times New Roman"/>
          <w:b/>
          <w:strike w:val="0"/>
          <w:dstrike w:val="0"/>
          <w:color w:val="auto"/>
          <w:sz w:val="21"/>
          <w:szCs w:val="18"/>
          <w:highlight w:val="none"/>
          <w:u w:val="single" w:color="auto"/>
        </w:rPr>
        <w:t>表</w:t>
      </w:r>
      <w:r>
        <w:rPr>
          <w:rFonts w:hint="default" w:ascii="Times New Roman" w:hAnsi="Times New Roman" w:eastAsia="宋体" w:cs="Times New Roman"/>
          <w:b/>
          <w:strike w:val="0"/>
          <w:dstrike w:val="0"/>
          <w:color w:val="auto"/>
          <w:sz w:val="21"/>
          <w:szCs w:val="18"/>
          <w:highlight w:val="none"/>
          <w:u w:val="single" w:color="auto"/>
          <w:lang w:val="en-US" w:eastAsia="zh-CN"/>
        </w:rPr>
        <w:t>7</w:t>
      </w:r>
      <w:r>
        <w:rPr>
          <w:rFonts w:hint="default" w:ascii="Times New Roman" w:hAnsi="Times New Roman" w:eastAsia="宋体" w:cs="Times New Roman"/>
          <w:b/>
          <w:strike w:val="0"/>
          <w:dstrike w:val="0"/>
          <w:color w:val="auto"/>
          <w:sz w:val="21"/>
          <w:szCs w:val="18"/>
          <w:highlight w:val="none"/>
          <w:u w:val="single" w:color="auto"/>
        </w:rPr>
        <w:t>.2-</w:t>
      </w:r>
      <w:r>
        <w:rPr>
          <w:rFonts w:hint="default" w:ascii="Times New Roman" w:hAnsi="Times New Roman" w:eastAsia="宋体" w:cs="Times New Roman"/>
          <w:b/>
          <w:strike w:val="0"/>
          <w:dstrike w:val="0"/>
          <w:color w:val="auto"/>
          <w:sz w:val="21"/>
          <w:szCs w:val="18"/>
          <w:highlight w:val="none"/>
          <w:u w:val="single" w:color="auto"/>
          <w:lang w:val="en-US" w:eastAsia="zh-CN"/>
        </w:rPr>
        <w:t>8</w:t>
      </w:r>
      <w:r>
        <w:rPr>
          <w:rFonts w:hint="default" w:ascii="Times New Roman" w:hAnsi="Times New Roman" w:eastAsia="宋体" w:cs="Times New Roman"/>
          <w:b/>
          <w:strike w:val="0"/>
          <w:dstrike w:val="0"/>
          <w:color w:val="auto"/>
          <w:sz w:val="21"/>
          <w:szCs w:val="18"/>
          <w:highlight w:val="none"/>
          <w:u w:val="single" w:color="auto"/>
        </w:rPr>
        <w:t>本项目大气污染物年排放量核算表</w:t>
      </w:r>
    </w:p>
    <w:tbl>
      <w:tblPr>
        <w:tblStyle w:val="22"/>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3200"/>
        <w:gridCol w:w="3670"/>
      </w:tblGrid>
      <w:tr w14:paraId="1BF04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8" w:type="dxa"/>
            <w:tcBorders>
              <w:bottom w:val="single" w:color="auto" w:sz="6" w:space="0"/>
              <w:right w:val="single" w:color="auto" w:sz="6" w:space="0"/>
            </w:tcBorders>
            <w:vAlign w:val="center"/>
          </w:tcPr>
          <w:p w14:paraId="0FF1A285">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bCs/>
                <w:strike w:val="0"/>
                <w:dstrike w:val="0"/>
                <w:color w:val="auto"/>
                <w:sz w:val="21"/>
                <w:szCs w:val="21"/>
                <w:highlight w:val="none"/>
                <w:u w:val="single" w:color="auto"/>
              </w:rPr>
            </w:pPr>
            <w:r>
              <w:rPr>
                <w:rFonts w:hint="default" w:ascii="Times New Roman" w:hAnsi="Times New Roman" w:eastAsia="宋体" w:cs="Times New Roman"/>
                <w:bCs/>
                <w:strike w:val="0"/>
                <w:dstrike w:val="0"/>
                <w:color w:val="auto"/>
                <w:sz w:val="21"/>
                <w:szCs w:val="21"/>
                <w:highlight w:val="none"/>
                <w:u w:val="single" w:color="auto"/>
              </w:rPr>
              <w:t>序号</w:t>
            </w:r>
          </w:p>
        </w:tc>
        <w:tc>
          <w:tcPr>
            <w:tcW w:w="3200" w:type="dxa"/>
            <w:tcBorders>
              <w:left w:val="single" w:color="auto" w:sz="6" w:space="0"/>
              <w:bottom w:val="single" w:color="auto" w:sz="6" w:space="0"/>
              <w:right w:val="single" w:color="auto" w:sz="6" w:space="0"/>
            </w:tcBorders>
            <w:vAlign w:val="center"/>
          </w:tcPr>
          <w:p w14:paraId="0C426D4C">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bCs/>
                <w:strike w:val="0"/>
                <w:dstrike w:val="0"/>
                <w:color w:val="auto"/>
                <w:sz w:val="21"/>
                <w:szCs w:val="21"/>
                <w:highlight w:val="none"/>
                <w:u w:val="single" w:color="auto"/>
              </w:rPr>
            </w:pPr>
            <w:r>
              <w:rPr>
                <w:rFonts w:hint="default" w:ascii="Times New Roman" w:hAnsi="Times New Roman" w:eastAsia="宋体" w:cs="Times New Roman"/>
                <w:bCs/>
                <w:strike w:val="0"/>
                <w:dstrike w:val="0"/>
                <w:color w:val="auto"/>
                <w:sz w:val="21"/>
                <w:szCs w:val="21"/>
                <w:highlight w:val="none"/>
                <w:u w:val="single" w:color="auto"/>
              </w:rPr>
              <w:t>污染物</w:t>
            </w:r>
          </w:p>
        </w:tc>
        <w:tc>
          <w:tcPr>
            <w:tcW w:w="3670" w:type="dxa"/>
            <w:tcBorders>
              <w:left w:val="single" w:color="auto" w:sz="6" w:space="0"/>
              <w:bottom w:val="single" w:color="auto" w:sz="6" w:space="0"/>
            </w:tcBorders>
            <w:vAlign w:val="center"/>
          </w:tcPr>
          <w:p w14:paraId="73E2913A">
            <w:pPr>
              <w:pStyle w:val="34"/>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strike w:val="0"/>
                <w:dstrike w:val="0"/>
                <w:color w:val="auto"/>
                <w:sz w:val="21"/>
                <w:szCs w:val="21"/>
                <w:highlight w:val="none"/>
                <w:u w:val="single" w:color="auto"/>
                <w:lang w:val="en-US" w:eastAsia="zh-CN"/>
              </w:rPr>
            </w:pPr>
            <w:r>
              <w:rPr>
                <w:rFonts w:hint="default" w:ascii="Times New Roman" w:hAnsi="Times New Roman" w:eastAsia="宋体" w:cs="Times New Roman"/>
                <w:b w:val="0"/>
                <w:bCs w:val="0"/>
                <w:strike w:val="0"/>
                <w:dstrike w:val="0"/>
                <w:color w:val="auto"/>
                <w:sz w:val="21"/>
                <w:szCs w:val="21"/>
                <w:highlight w:val="none"/>
                <w:u w:val="single" w:color="auto"/>
                <w:lang w:val="en-US" w:eastAsia="zh-CN"/>
              </w:rPr>
              <w:t>年排放量（t/a）</w:t>
            </w:r>
          </w:p>
        </w:tc>
      </w:tr>
      <w:tr w14:paraId="3B0659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8" w:type="dxa"/>
            <w:tcBorders>
              <w:top w:val="single" w:color="auto" w:sz="4" w:space="0"/>
              <w:bottom w:val="single" w:color="auto" w:sz="6" w:space="0"/>
              <w:right w:val="single" w:color="auto" w:sz="6" w:space="0"/>
            </w:tcBorders>
            <w:vAlign w:val="center"/>
          </w:tcPr>
          <w:p w14:paraId="3109B98C">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bCs/>
                <w:strike w:val="0"/>
                <w:dstrike w:val="0"/>
                <w:color w:val="auto"/>
                <w:kern w:val="2"/>
                <w:sz w:val="21"/>
                <w:szCs w:val="21"/>
                <w:highlight w:val="none"/>
                <w:u w:val="single" w:color="auto"/>
                <w:lang w:val="en-US" w:eastAsia="zh-CN" w:bidi="ar-SA"/>
              </w:rPr>
            </w:pPr>
            <w:r>
              <w:rPr>
                <w:rFonts w:hint="default" w:ascii="Times New Roman" w:hAnsi="Times New Roman" w:eastAsia="宋体" w:cs="Times New Roman"/>
                <w:bCs/>
                <w:strike w:val="0"/>
                <w:dstrike w:val="0"/>
                <w:color w:val="auto"/>
                <w:sz w:val="21"/>
                <w:szCs w:val="21"/>
                <w:highlight w:val="none"/>
                <w:u w:val="single" w:color="auto"/>
              </w:rPr>
              <w:t>1</w:t>
            </w:r>
          </w:p>
        </w:tc>
        <w:tc>
          <w:tcPr>
            <w:tcW w:w="3200" w:type="dxa"/>
            <w:tcBorders>
              <w:top w:val="single" w:color="auto" w:sz="4" w:space="0"/>
              <w:left w:val="single" w:color="auto" w:sz="6" w:space="0"/>
              <w:bottom w:val="single" w:color="auto" w:sz="6" w:space="0"/>
              <w:right w:val="single" w:color="auto" w:sz="6" w:space="0"/>
            </w:tcBorders>
            <w:vAlign w:val="center"/>
          </w:tcPr>
          <w:p w14:paraId="523190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氯化氢</w:t>
            </w:r>
          </w:p>
        </w:tc>
        <w:tc>
          <w:tcPr>
            <w:tcW w:w="3670" w:type="dxa"/>
            <w:tcBorders>
              <w:top w:val="single" w:color="auto" w:sz="4" w:space="0"/>
              <w:left w:val="single" w:color="auto" w:sz="6" w:space="0"/>
              <w:bottom w:val="single" w:color="auto" w:sz="6" w:space="0"/>
            </w:tcBorders>
            <w:vAlign w:val="center"/>
          </w:tcPr>
          <w:p w14:paraId="0C6A57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0.012024</w:t>
            </w:r>
          </w:p>
        </w:tc>
      </w:tr>
      <w:tr w14:paraId="295B9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8" w:type="dxa"/>
            <w:tcBorders>
              <w:top w:val="single" w:color="auto" w:sz="4" w:space="0"/>
              <w:bottom w:val="single" w:color="auto" w:sz="6" w:space="0"/>
              <w:right w:val="single" w:color="auto" w:sz="6" w:space="0"/>
            </w:tcBorders>
            <w:vAlign w:val="center"/>
          </w:tcPr>
          <w:p w14:paraId="09B7D33E">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bCs/>
                <w:strike w:val="0"/>
                <w:dstrike w:val="0"/>
                <w:color w:val="auto"/>
                <w:kern w:val="2"/>
                <w:sz w:val="21"/>
                <w:szCs w:val="21"/>
                <w:highlight w:val="none"/>
                <w:u w:val="single" w:color="auto"/>
                <w:lang w:val="en-US" w:eastAsia="zh-CN" w:bidi="ar-SA"/>
              </w:rPr>
            </w:pPr>
            <w:r>
              <w:rPr>
                <w:rFonts w:hint="default" w:ascii="Times New Roman" w:hAnsi="Times New Roman" w:eastAsia="宋体" w:cs="Times New Roman"/>
                <w:bCs/>
                <w:strike w:val="0"/>
                <w:dstrike w:val="0"/>
                <w:color w:val="auto"/>
                <w:sz w:val="21"/>
                <w:szCs w:val="21"/>
                <w:highlight w:val="none"/>
                <w:u w:val="single" w:color="auto"/>
              </w:rPr>
              <w:t>2</w:t>
            </w:r>
          </w:p>
        </w:tc>
        <w:tc>
          <w:tcPr>
            <w:tcW w:w="3200" w:type="dxa"/>
            <w:tcBorders>
              <w:top w:val="single" w:color="auto" w:sz="4" w:space="0"/>
              <w:left w:val="single" w:color="auto" w:sz="6" w:space="0"/>
              <w:bottom w:val="single" w:color="auto" w:sz="6" w:space="0"/>
              <w:right w:val="single" w:color="auto" w:sz="6" w:space="0"/>
            </w:tcBorders>
            <w:vAlign w:val="center"/>
          </w:tcPr>
          <w:p w14:paraId="7A25C8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硫酸雾</w:t>
            </w:r>
          </w:p>
        </w:tc>
        <w:tc>
          <w:tcPr>
            <w:tcW w:w="3670" w:type="dxa"/>
            <w:tcBorders>
              <w:top w:val="single" w:color="auto" w:sz="4" w:space="0"/>
              <w:left w:val="single" w:color="auto" w:sz="6" w:space="0"/>
              <w:bottom w:val="single" w:color="auto" w:sz="6" w:space="0"/>
            </w:tcBorders>
            <w:vAlign w:val="center"/>
          </w:tcPr>
          <w:p w14:paraId="1CA801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0.0835</w:t>
            </w:r>
          </w:p>
        </w:tc>
      </w:tr>
      <w:tr w14:paraId="75721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8" w:type="dxa"/>
            <w:tcBorders>
              <w:top w:val="single" w:color="auto" w:sz="4" w:space="0"/>
              <w:bottom w:val="single" w:color="auto" w:sz="6" w:space="0"/>
              <w:right w:val="single" w:color="auto" w:sz="6" w:space="0"/>
            </w:tcBorders>
            <w:vAlign w:val="center"/>
          </w:tcPr>
          <w:p w14:paraId="6F835829">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bCs/>
                <w:strike w:val="0"/>
                <w:dstrike w:val="0"/>
                <w:color w:val="auto"/>
                <w:sz w:val="21"/>
                <w:szCs w:val="21"/>
                <w:highlight w:val="none"/>
                <w:u w:val="single" w:color="auto"/>
                <w:lang w:val="en-US" w:eastAsia="zh-CN"/>
              </w:rPr>
            </w:pPr>
            <w:r>
              <w:rPr>
                <w:rFonts w:hint="default" w:ascii="Times New Roman" w:hAnsi="Times New Roman" w:eastAsia="宋体" w:cs="Times New Roman"/>
                <w:bCs/>
                <w:strike w:val="0"/>
                <w:dstrike w:val="0"/>
                <w:color w:val="auto"/>
                <w:sz w:val="21"/>
                <w:szCs w:val="21"/>
                <w:highlight w:val="none"/>
                <w:u w:val="single" w:color="auto"/>
                <w:lang w:val="en-US" w:eastAsia="zh-CN"/>
              </w:rPr>
              <w:t>3</w:t>
            </w:r>
          </w:p>
        </w:tc>
        <w:tc>
          <w:tcPr>
            <w:tcW w:w="3200" w:type="dxa"/>
            <w:tcBorders>
              <w:top w:val="single" w:color="auto" w:sz="4" w:space="0"/>
              <w:left w:val="single" w:color="auto" w:sz="6" w:space="0"/>
              <w:bottom w:val="single" w:color="auto" w:sz="6" w:space="0"/>
              <w:right w:val="single" w:color="auto" w:sz="6" w:space="0"/>
            </w:tcBorders>
            <w:vAlign w:val="center"/>
          </w:tcPr>
          <w:p w14:paraId="175E37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氮氧化物</w:t>
            </w:r>
          </w:p>
        </w:tc>
        <w:tc>
          <w:tcPr>
            <w:tcW w:w="3670" w:type="dxa"/>
            <w:tcBorders>
              <w:top w:val="single" w:color="auto" w:sz="4" w:space="0"/>
              <w:left w:val="single" w:color="auto" w:sz="6" w:space="0"/>
              <w:bottom w:val="single" w:color="auto" w:sz="6" w:space="0"/>
            </w:tcBorders>
            <w:vAlign w:val="center"/>
          </w:tcPr>
          <w:p w14:paraId="7A4BB5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0.033</w:t>
            </w:r>
          </w:p>
        </w:tc>
      </w:tr>
      <w:tr w14:paraId="5E0FD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8" w:type="dxa"/>
            <w:tcBorders>
              <w:top w:val="single" w:color="auto" w:sz="6" w:space="0"/>
              <w:bottom w:val="single" w:color="auto" w:sz="6" w:space="0"/>
              <w:right w:val="single" w:color="auto" w:sz="6" w:space="0"/>
            </w:tcBorders>
            <w:vAlign w:val="center"/>
          </w:tcPr>
          <w:p w14:paraId="77E7E479">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bCs/>
                <w:strike w:val="0"/>
                <w:dstrike w:val="0"/>
                <w:color w:val="auto"/>
                <w:kern w:val="2"/>
                <w:sz w:val="21"/>
                <w:szCs w:val="21"/>
                <w:highlight w:val="none"/>
                <w:u w:val="single" w:color="auto"/>
                <w:lang w:val="en-US" w:eastAsia="zh-CN" w:bidi="ar-SA"/>
              </w:rPr>
            </w:pPr>
            <w:r>
              <w:rPr>
                <w:rFonts w:hint="default" w:ascii="Times New Roman" w:hAnsi="Times New Roman" w:eastAsia="宋体" w:cs="Times New Roman"/>
                <w:bCs/>
                <w:strike w:val="0"/>
                <w:dstrike w:val="0"/>
                <w:color w:val="auto"/>
                <w:kern w:val="2"/>
                <w:sz w:val="21"/>
                <w:szCs w:val="21"/>
                <w:highlight w:val="none"/>
                <w:u w:val="single" w:color="auto"/>
                <w:lang w:val="en-US" w:eastAsia="zh-CN" w:bidi="ar-SA"/>
              </w:rPr>
              <w:t>4</w:t>
            </w:r>
          </w:p>
        </w:tc>
        <w:tc>
          <w:tcPr>
            <w:tcW w:w="3200" w:type="dxa"/>
            <w:tcBorders>
              <w:top w:val="single" w:color="auto" w:sz="6" w:space="0"/>
              <w:left w:val="single" w:color="auto" w:sz="6" w:space="0"/>
              <w:bottom w:val="single" w:color="auto" w:sz="6" w:space="0"/>
              <w:right w:val="single" w:color="auto" w:sz="6" w:space="0"/>
            </w:tcBorders>
            <w:vAlign w:val="center"/>
          </w:tcPr>
          <w:p w14:paraId="381D47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color w:val="auto"/>
                <w:sz w:val="21"/>
                <w:szCs w:val="21"/>
                <w:highlight w:val="none"/>
                <w:u w:val="single" w:color="auto"/>
                <w:lang w:eastAsia="zh-CN"/>
              </w:rPr>
              <w:t>非甲烷总烃</w:t>
            </w:r>
          </w:p>
        </w:tc>
        <w:tc>
          <w:tcPr>
            <w:tcW w:w="3670" w:type="dxa"/>
            <w:tcBorders>
              <w:top w:val="single" w:color="auto" w:sz="6" w:space="0"/>
              <w:left w:val="single" w:color="auto" w:sz="6" w:space="0"/>
              <w:bottom w:val="single" w:color="auto" w:sz="6" w:space="0"/>
            </w:tcBorders>
            <w:vAlign w:val="center"/>
          </w:tcPr>
          <w:p w14:paraId="19085C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0.051</w:t>
            </w:r>
          </w:p>
        </w:tc>
      </w:tr>
      <w:tr w14:paraId="2014B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58" w:type="dxa"/>
            <w:tcBorders>
              <w:top w:val="single" w:color="auto" w:sz="6" w:space="0"/>
              <w:right w:val="single" w:color="auto" w:sz="6" w:space="0"/>
            </w:tcBorders>
            <w:vAlign w:val="center"/>
          </w:tcPr>
          <w:p w14:paraId="7EC8C200">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bCs/>
                <w:strike w:val="0"/>
                <w:dstrike w:val="0"/>
                <w:color w:val="auto"/>
                <w:kern w:val="2"/>
                <w:sz w:val="21"/>
                <w:szCs w:val="21"/>
                <w:highlight w:val="none"/>
                <w:u w:val="single" w:color="auto"/>
                <w:lang w:val="en-US" w:eastAsia="zh-CN" w:bidi="ar-SA"/>
              </w:rPr>
            </w:pPr>
            <w:r>
              <w:rPr>
                <w:rFonts w:hint="default" w:ascii="Times New Roman" w:hAnsi="Times New Roman" w:eastAsia="宋体" w:cs="Times New Roman"/>
                <w:bCs/>
                <w:strike w:val="0"/>
                <w:dstrike w:val="0"/>
                <w:color w:val="auto"/>
                <w:kern w:val="2"/>
                <w:sz w:val="21"/>
                <w:szCs w:val="21"/>
                <w:highlight w:val="none"/>
                <w:u w:val="single" w:color="auto"/>
                <w:lang w:val="en-US" w:eastAsia="zh-CN" w:bidi="ar-SA"/>
              </w:rPr>
              <w:t>5</w:t>
            </w:r>
          </w:p>
        </w:tc>
        <w:tc>
          <w:tcPr>
            <w:tcW w:w="3200" w:type="dxa"/>
            <w:tcBorders>
              <w:top w:val="single" w:color="auto" w:sz="6" w:space="0"/>
              <w:left w:val="single" w:color="auto" w:sz="6" w:space="0"/>
              <w:right w:val="single" w:color="auto" w:sz="6" w:space="0"/>
            </w:tcBorders>
            <w:vAlign w:val="center"/>
          </w:tcPr>
          <w:p w14:paraId="31559B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颗粒物</w:t>
            </w:r>
          </w:p>
        </w:tc>
        <w:tc>
          <w:tcPr>
            <w:tcW w:w="3670" w:type="dxa"/>
            <w:tcBorders>
              <w:top w:val="single" w:color="auto" w:sz="6" w:space="0"/>
              <w:left w:val="single" w:color="auto" w:sz="6" w:space="0"/>
            </w:tcBorders>
            <w:vAlign w:val="center"/>
          </w:tcPr>
          <w:p w14:paraId="5E1870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single" w:color="auto"/>
                <w:lang w:val="en-US" w:eastAsia="zh-CN" w:bidi="ar"/>
              </w:rPr>
            </w:pPr>
            <w:r>
              <w:rPr>
                <w:rFonts w:hint="default" w:ascii="Times New Roman" w:hAnsi="Times New Roman" w:eastAsia="宋体" w:cs="Times New Roman"/>
                <w:i w:val="0"/>
                <w:iCs w:val="0"/>
                <w:color w:val="auto"/>
                <w:kern w:val="0"/>
                <w:sz w:val="21"/>
                <w:szCs w:val="21"/>
                <w:highlight w:val="none"/>
                <w:u w:val="single" w:color="auto"/>
                <w:lang w:val="en-US" w:eastAsia="zh-CN" w:bidi="ar"/>
              </w:rPr>
              <w:t>1.65</w:t>
            </w:r>
          </w:p>
        </w:tc>
      </w:tr>
    </w:tbl>
    <w:p w14:paraId="6D5968A6">
      <w:pPr>
        <w:keepNext/>
        <w:keepLines/>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宋体" w:cs="Times New Roman"/>
          <w:b/>
          <w:bCs/>
          <w:strike w:val="0"/>
          <w:dstrike w:val="0"/>
          <w:color w:val="auto"/>
          <w:sz w:val="24"/>
          <w:szCs w:val="24"/>
          <w:highlight w:val="none"/>
          <w:u w:val="none" w:color="auto"/>
        </w:rPr>
      </w:pPr>
      <w:r>
        <w:rPr>
          <w:rFonts w:hint="default" w:ascii="Times New Roman" w:hAnsi="Times New Roman" w:eastAsia="宋体" w:cs="Times New Roman"/>
          <w:b/>
          <w:bCs/>
          <w:strike w:val="0"/>
          <w:dstrike w:val="0"/>
          <w:color w:val="auto"/>
          <w:sz w:val="24"/>
          <w:szCs w:val="24"/>
          <w:highlight w:val="none"/>
          <w:u w:val="none" w:color="auto"/>
          <w:lang w:val="en-US" w:eastAsia="zh-CN"/>
        </w:rPr>
        <w:t>7</w:t>
      </w:r>
      <w:r>
        <w:rPr>
          <w:rFonts w:hint="default" w:ascii="Times New Roman" w:hAnsi="Times New Roman" w:eastAsia="宋体" w:cs="Times New Roman"/>
          <w:b/>
          <w:bCs/>
          <w:strike w:val="0"/>
          <w:dstrike w:val="0"/>
          <w:color w:val="auto"/>
          <w:sz w:val="24"/>
          <w:szCs w:val="24"/>
          <w:highlight w:val="none"/>
          <w:u w:val="none" w:color="auto"/>
        </w:rPr>
        <w:t>.2.1.5大气环境影响评价结论</w:t>
      </w:r>
    </w:p>
    <w:p w14:paraId="5883A616">
      <w:pPr>
        <w:ind w:firstLine="561"/>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本项目运营期废气主要污染物为氯化氢、硫酸雾、氮氧化物、</w:t>
      </w:r>
      <w:r>
        <w:rPr>
          <w:rFonts w:hint="default" w:ascii="Times New Roman" w:hAnsi="Times New Roman" w:eastAsia="宋体" w:cs="Times New Roman"/>
          <w:strike w:val="0"/>
          <w:dstrike w:val="0"/>
          <w:color w:val="auto"/>
          <w:sz w:val="24"/>
          <w:szCs w:val="21"/>
          <w:highlight w:val="none"/>
          <w:u w:val="none" w:color="auto"/>
          <w:lang w:eastAsia="zh-CN"/>
        </w:rPr>
        <w:t>颗粒物、</w:t>
      </w:r>
      <w:r>
        <w:rPr>
          <w:rFonts w:hint="default" w:ascii="Times New Roman" w:hAnsi="Times New Roman" w:eastAsia="宋体" w:cs="Times New Roman"/>
          <w:strike w:val="0"/>
          <w:dstrike w:val="0"/>
          <w:color w:val="auto"/>
          <w:sz w:val="24"/>
          <w:szCs w:val="21"/>
          <w:highlight w:val="none"/>
          <w:u w:val="none" w:color="auto"/>
          <w:lang w:val="en-US" w:eastAsia="zh-CN"/>
        </w:rPr>
        <w:t>VOCs、</w:t>
      </w:r>
      <w:r>
        <w:rPr>
          <w:rFonts w:hint="default" w:ascii="Times New Roman" w:hAnsi="Times New Roman" w:eastAsia="宋体" w:cs="Times New Roman"/>
          <w:strike w:val="0"/>
          <w:dstrike w:val="0"/>
          <w:color w:val="auto"/>
          <w:sz w:val="24"/>
          <w:szCs w:val="21"/>
          <w:highlight w:val="none"/>
          <w:u w:val="none" w:color="auto"/>
        </w:rPr>
        <w:t>臭气浓度，其中氯化氢、硫酸雾</w:t>
      </w:r>
      <w:r>
        <w:rPr>
          <w:rFonts w:hint="default" w:ascii="Times New Roman" w:hAnsi="Times New Roman" w:eastAsia="宋体" w:cs="Times New Roman"/>
          <w:strike w:val="0"/>
          <w:dstrike w:val="0"/>
          <w:color w:val="auto"/>
          <w:sz w:val="24"/>
          <w:szCs w:val="21"/>
          <w:highlight w:val="none"/>
          <w:u w:val="none" w:color="auto"/>
          <w:lang w:eastAsia="zh-CN"/>
        </w:rPr>
        <w:t>、氮氧化物</w:t>
      </w:r>
      <w:r>
        <w:rPr>
          <w:rFonts w:hint="default" w:ascii="Times New Roman" w:hAnsi="Times New Roman" w:eastAsia="宋体" w:cs="Times New Roman"/>
          <w:strike w:val="0"/>
          <w:dstrike w:val="0"/>
          <w:color w:val="auto"/>
          <w:sz w:val="24"/>
          <w:szCs w:val="21"/>
          <w:highlight w:val="none"/>
          <w:u w:val="none" w:color="auto"/>
        </w:rPr>
        <w:t>主要来源于各生产线预处理中的活化、</w:t>
      </w:r>
      <w:r>
        <w:rPr>
          <w:rFonts w:hint="default" w:ascii="Times New Roman" w:hAnsi="Times New Roman" w:eastAsia="宋体" w:cs="Times New Roman"/>
          <w:strike w:val="0"/>
          <w:dstrike w:val="0"/>
          <w:color w:val="auto"/>
          <w:sz w:val="24"/>
          <w:szCs w:val="21"/>
          <w:highlight w:val="none"/>
          <w:u w:val="none" w:color="auto"/>
          <w:lang w:eastAsia="zh-CN"/>
        </w:rPr>
        <w:t>出光</w:t>
      </w:r>
      <w:r>
        <w:rPr>
          <w:rFonts w:hint="default" w:ascii="Times New Roman" w:hAnsi="Times New Roman" w:eastAsia="宋体" w:cs="Times New Roman"/>
          <w:strike w:val="0"/>
          <w:dstrike w:val="0"/>
          <w:color w:val="auto"/>
          <w:sz w:val="24"/>
          <w:szCs w:val="21"/>
          <w:highlight w:val="none"/>
          <w:u w:val="none" w:color="auto"/>
        </w:rPr>
        <w:t>等</w:t>
      </w:r>
      <w:r>
        <w:rPr>
          <w:rFonts w:hint="default" w:ascii="Times New Roman" w:hAnsi="Times New Roman" w:eastAsia="宋体" w:cs="Times New Roman"/>
          <w:strike w:val="0"/>
          <w:dstrike w:val="0"/>
          <w:color w:val="auto"/>
          <w:sz w:val="24"/>
          <w:szCs w:val="21"/>
          <w:highlight w:val="none"/>
          <w:u w:val="none" w:color="auto"/>
          <w:lang w:eastAsia="zh-CN"/>
        </w:rPr>
        <w:t>工序以及退镀线退镀</w:t>
      </w:r>
      <w:r>
        <w:rPr>
          <w:rFonts w:hint="default" w:ascii="Times New Roman" w:hAnsi="Times New Roman" w:eastAsia="宋体" w:cs="Times New Roman"/>
          <w:strike w:val="0"/>
          <w:dstrike w:val="0"/>
          <w:color w:val="auto"/>
          <w:sz w:val="24"/>
          <w:szCs w:val="21"/>
          <w:highlight w:val="none"/>
          <w:u w:val="none" w:color="auto"/>
        </w:rPr>
        <w:t>，</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strike w:val="0"/>
          <w:dstrike w:val="0"/>
          <w:color w:val="auto"/>
          <w:sz w:val="24"/>
          <w:szCs w:val="21"/>
          <w:highlight w:val="none"/>
          <w:u w:val="none" w:color="auto"/>
          <w:lang w:val="en-US" w:eastAsia="zh-CN"/>
        </w:rPr>
        <w:t>来源烧结超硬材料制品生产线的树脂压制及烧结工序，颗粒物来源于机加工</w:t>
      </w:r>
      <w:r>
        <w:rPr>
          <w:rFonts w:hint="eastAsia" w:ascii="Times New Roman" w:hAnsi="Times New Roman" w:eastAsia="宋体" w:cs="Times New Roman"/>
          <w:strike w:val="0"/>
          <w:dstrike w:val="0"/>
          <w:color w:val="auto"/>
          <w:sz w:val="24"/>
          <w:szCs w:val="21"/>
          <w:highlight w:val="none"/>
          <w:u w:val="none" w:color="auto"/>
          <w:lang w:val="en-US" w:eastAsia="zh-CN"/>
        </w:rPr>
        <w:t>工序</w:t>
      </w:r>
      <w:r>
        <w:rPr>
          <w:rFonts w:hint="default"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strike w:val="0"/>
          <w:dstrike w:val="0"/>
          <w:color w:val="auto"/>
          <w:sz w:val="24"/>
          <w:szCs w:val="21"/>
          <w:highlight w:val="none"/>
          <w:u w:val="none" w:color="auto"/>
          <w:lang w:eastAsia="zh-CN"/>
        </w:rPr>
        <w:t>臭气浓度</w:t>
      </w:r>
      <w:r>
        <w:rPr>
          <w:rFonts w:hint="default" w:ascii="Times New Roman" w:hAnsi="Times New Roman" w:eastAsia="宋体" w:cs="Times New Roman"/>
          <w:strike w:val="0"/>
          <w:dstrike w:val="0"/>
          <w:color w:val="auto"/>
          <w:sz w:val="24"/>
          <w:szCs w:val="21"/>
          <w:highlight w:val="none"/>
          <w:u w:val="none" w:color="auto"/>
        </w:rPr>
        <w:t>主要来源于</w:t>
      </w:r>
      <w:r>
        <w:rPr>
          <w:rFonts w:hint="default" w:ascii="Times New Roman" w:hAnsi="Times New Roman" w:eastAsia="宋体" w:cs="Times New Roman"/>
          <w:strike w:val="0"/>
          <w:dstrike w:val="0"/>
          <w:color w:val="auto"/>
          <w:sz w:val="24"/>
          <w:szCs w:val="21"/>
          <w:highlight w:val="none"/>
          <w:u w:val="none" w:color="auto"/>
          <w:lang w:eastAsia="zh-CN"/>
        </w:rPr>
        <w:t>废水处理站及</w:t>
      </w:r>
      <w:r>
        <w:rPr>
          <w:rFonts w:hint="default" w:ascii="Times New Roman" w:hAnsi="Times New Roman" w:eastAsia="宋体" w:cs="Times New Roman"/>
          <w:strike w:val="0"/>
          <w:dstrike w:val="0"/>
          <w:color w:val="auto"/>
          <w:sz w:val="24"/>
          <w:szCs w:val="21"/>
          <w:highlight w:val="none"/>
          <w:u w:val="none" w:color="auto"/>
          <w:lang w:val="en-US" w:eastAsia="zh-CN"/>
        </w:rPr>
        <w:t>树脂压制及烧结工序</w:t>
      </w:r>
      <w:r>
        <w:rPr>
          <w:rFonts w:hint="default" w:ascii="Times New Roman" w:hAnsi="Times New Roman" w:eastAsia="宋体" w:cs="Times New Roman"/>
          <w:strike w:val="0"/>
          <w:dstrike w:val="0"/>
          <w:color w:val="auto"/>
          <w:sz w:val="24"/>
          <w:szCs w:val="21"/>
          <w:highlight w:val="none"/>
          <w:u w:val="none" w:color="auto"/>
        </w:rPr>
        <w:t>，经预测，本项目运营期废气经处理达标后，</w:t>
      </w:r>
      <w:r>
        <w:rPr>
          <w:rFonts w:hint="default" w:ascii="Times New Roman" w:hAnsi="Times New Roman" w:eastAsia="宋体" w:cs="Times New Roman"/>
          <w:strike w:val="0"/>
          <w:dstrike w:val="0"/>
          <w:color w:val="auto"/>
          <w:sz w:val="24"/>
          <w:szCs w:val="21"/>
          <w:highlight w:val="none"/>
          <w:u w:val="none" w:color="auto"/>
          <w:lang w:eastAsia="zh-CN"/>
        </w:rPr>
        <w:t>各类污染物</w:t>
      </w:r>
      <w:r>
        <w:rPr>
          <w:rFonts w:hint="default" w:ascii="Times New Roman" w:hAnsi="Times New Roman" w:eastAsia="宋体" w:cs="Times New Roman"/>
          <w:strike w:val="0"/>
          <w:dstrike w:val="0"/>
          <w:color w:val="auto"/>
          <w:sz w:val="24"/>
          <w:szCs w:val="21"/>
          <w:highlight w:val="none"/>
          <w:u w:val="none" w:color="auto"/>
        </w:rPr>
        <w:t>对周边环境空气质量贡献较小，能够满足周边环境空气质量要求。项目无需设置大气环境防护距离。</w:t>
      </w:r>
    </w:p>
    <w:p w14:paraId="4C735DA8">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7.2.2地表水环境影响分析</w:t>
      </w:r>
    </w:p>
    <w:p w14:paraId="4C861CB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7.2.2.1 地表水环境影响分析</w:t>
      </w:r>
    </w:p>
    <w:p w14:paraId="5DA8B710">
      <w:pPr>
        <w:ind w:firstLine="561"/>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本项目外排废水不属于直接排放，为间接排放。按《环境影响评价技术导则地表水环境》（HJ2.3-2018）规定的方法判断，本项目的地表水影响评价工作等级定为三级B。</w:t>
      </w:r>
    </w:p>
    <w:p w14:paraId="2CC0FEDC">
      <w:pPr>
        <w:ind w:firstLine="561"/>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（1）项目废水产生及处置去向</w:t>
      </w:r>
    </w:p>
    <w:p w14:paraId="317FF25D">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rPr>
        <w:t>本项目位于</w:t>
      </w:r>
      <w:r>
        <w:rPr>
          <w:rFonts w:hint="default" w:ascii="Times New Roman" w:hAnsi="Times New Roman" w:eastAsia="宋体" w:cs="Times New Roman"/>
          <w:strike w:val="0"/>
          <w:dstrike w:val="0"/>
          <w:color w:val="auto"/>
          <w:sz w:val="24"/>
          <w:szCs w:val="21"/>
          <w:highlight w:val="none"/>
          <w:u w:val="none" w:color="auto"/>
          <w:lang w:eastAsia="zh-CN"/>
        </w:rPr>
        <w:t>湖南衡阳松木工业园</w:t>
      </w:r>
      <w:r>
        <w:rPr>
          <w:rFonts w:hint="default" w:ascii="Times New Roman" w:hAnsi="Times New Roman" w:eastAsia="宋体" w:cs="Times New Roman"/>
          <w:strike w:val="0"/>
          <w:dstrike w:val="0"/>
          <w:color w:val="auto"/>
          <w:sz w:val="24"/>
          <w:szCs w:val="21"/>
          <w:highlight w:val="none"/>
          <w:u w:val="none" w:color="auto"/>
        </w:rPr>
        <w:t>，根据园区内排水规划，园区实行雨污分流、污污分流制。项目运营期废水主要包括</w:t>
      </w:r>
      <w:r>
        <w:rPr>
          <w:rFonts w:hint="eastAsia" w:ascii="Times New Roman" w:hAnsi="Times New Roman" w:eastAsia="宋体" w:cs="Times New Roman"/>
          <w:strike w:val="0"/>
          <w:dstrike w:val="0"/>
          <w:color w:val="auto"/>
          <w:sz w:val="24"/>
          <w:szCs w:val="21"/>
          <w:highlight w:val="none"/>
          <w:u w:val="none" w:color="auto"/>
          <w:lang w:val="en-US" w:eastAsia="zh-CN"/>
        </w:rPr>
        <w:t>电镀</w:t>
      </w:r>
      <w:r>
        <w:rPr>
          <w:rFonts w:hint="default" w:ascii="Times New Roman" w:hAnsi="Times New Roman" w:eastAsia="宋体" w:cs="Times New Roman"/>
          <w:strike w:val="0"/>
          <w:dstrike w:val="0"/>
          <w:color w:val="auto"/>
          <w:sz w:val="24"/>
          <w:szCs w:val="21"/>
          <w:highlight w:val="none"/>
          <w:u w:val="none" w:color="auto"/>
        </w:rPr>
        <w:t>生产工艺废水（包括酸碱</w:t>
      </w:r>
      <w:r>
        <w:rPr>
          <w:rFonts w:hint="default" w:ascii="Times New Roman" w:hAnsi="Times New Roman" w:eastAsia="宋体" w:cs="Times New Roman"/>
          <w:strike w:val="0"/>
          <w:dstrike w:val="0"/>
          <w:color w:val="auto"/>
          <w:sz w:val="24"/>
          <w:szCs w:val="21"/>
          <w:highlight w:val="none"/>
          <w:u w:val="none" w:color="auto"/>
          <w:lang w:eastAsia="zh-CN"/>
        </w:rPr>
        <w:t>废水、</w:t>
      </w:r>
      <w:r>
        <w:rPr>
          <w:rFonts w:hint="default" w:ascii="Times New Roman" w:hAnsi="Times New Roman" w:eastAsia="宋体" w:cs="Times New Roman"/>
          <w:strike w:val="0"/>
          <w:dstrike w:val="0"/>
          <w:color w:val="auto"/>
          <w:sz w:val="24"/>
          <w:szCs w:val="21"/>
          <w:highlight w:val="none"/>
          <w:u w:val="none" w:color="auto"/>
        </w:rPr>
        <w:t>含油废水、含镍废水、含铜废水、含锌</w:t>
      </w:r>
      <w:r>
        <w:rPr>
          <w:rFonts w:hint="default" w:ascii="Times New Roman" w:hAnsi="Times New Roman" w:eastAsia="宋体" w:cs="Times New Roman"/>
          <w:strike w:val="0"/>
          <w:dstrike w:val="0"/>
          <w:color w:val="auto"/>
          <w:sz w:val="24"/>
          <w:szCs w:val="21"/>
          <w:highlight w:val="none"/>
          <w:u w:val="none" w:color="auto"/>
          <w:lang w:eastAsia="zh-CN"/>
        </w:rPr>
        <w:t>镍</w:t>
      </w:r>
      <w:r>
        <w:rPr>
          <w:rFonts w:hint="default" w:ascii="Times New Roman" w:hAnsi="Times New Roman" w:eastAsia="宋体" w:cs="Times New Roman"/>
          <w:strike w:val="0"/>
          <w:dstrike w:val="0"/>
          <w:color w:val="auto"/>
          <w:sz w:val="24"/>
          <w:szCs w:val="21"/>
          <w:highlight w:val="none"/>
          <w:u w:val="none" w:color="auto"/>
        </w:rPr>
        <w:t>废水、</w:t>
      </w:r>
      <w:r>
        <w:rPr>
          <w:rFonts w:hint="default" w:ascii="Times New Roman" w:hAnsi="Times New Roman" w:eastAsia="宋体" w:cs="Times New Roman"/>
          <w:strike w:val="0"/>
          <w:dstrike w:val="0"/>
          <w:color w:val="auto"/>
          <w:sz w:val="24"/>
          <w:szCs w:val="21"/>
          <w:highlight w:val="none"/>
          <w:u w:val="none" w:color="auto"/>
          <w:lang w:eastAsia="zh-CN"/>
        </w:rPr>
        <w:t>退镀</w:t>
      </w:r>
      <w:r>
        <w:rPr>
          <w:rFonts w:hint="default" w:ascii="Times New Roman" w:hAnsi="Times New Roman" w:eastAsia="宋体" w:cs="Times New Roman"/>
          <w:strike w:val="0"/>
          <w:dstrike w:val="0"/>
          <w:color w:val="auto"/>
          <w:sz w:val="24"/>
          <w:szCs w:val="21"/>
          <w:highlight w:val="none"/>
          <w:u w:val="none" w:color="auto"/>
        </w:rPr>
        <w:t>废水）</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实验室废水（</w:t>
      </w:r>
      <w:r>
        <w:rPr>
          <w:rFonts w:hint="default" w:ascii="Times New Roman" w:hAnsi="Times New Roman" w:eastAsia="宋体" w:cs="Times New Roman"/>
          <w:color w:val="auto"/>
          <w:sz w:val="24"/>
          <w:szCs w:val="24"/>
          <w:highlight w:val="none"/>
          <w:u w:val="none" w:color="auto"/>
        </w:rPr>
        <w:t>包括酸碱</w:t>
      </w:r>
      <w:r>
        <w:rPr>
          <w:rFonts w:hint="default" w:ascii="Times New Roman" w:hAnsi="Times New Roman" w:eastAsia="宋体" w:cs="Times New Roman"/>
          <w:color w:val="auto"/>
          <w:sz w:val="24"/>
          <w:szCs w:val="24"/>
          <w:highlight w:val="none"/>
          <w:u w:val="none" w:color="auto"/>
          <w:lang w:eastAsia="zh-CN"/>
        </w:rPr>
        <w:t>废水、</w:t>
      </w:r>
      <w:r>
        <w:rPr>
          <w:rFonts w:hint="default" w:ascii="Times New Roman" w:hAnsi="Times New Roman" w:eastAsia="宋体" w:cs="Times New Roman"/>
          <w:color w:val="auto"/>
          <w:sz w:val="24"/>
          <w:szCs w:val="24"/>
          <w:highlight w:val="none"/>
          <w:u w:val="none" w:color="auto"/>
        </w:rPr>
        <w:t>含油废水</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含镍废水</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电镀</w:t>
      </w:r>
      <w:r>
        <w:rPr>
          <w:rFonts w:hint="default" w:ascii="Times New Roman" w:hAnsi="Times New Roman" w:eastAsia="宋体" w:cs="Times New Roman"/>
          <w:color w:val="auto"/>
          <w:sz w:val="24"/>
          <w:szCs w:val="24"/>
          <w:highlight w:val="none"/>
          <w:u w:val="none" w:color="auto"/>
        </w:rPr>
        <w:t>车间地面</w:t>
      </w:r>
      <w:r>
        <w:rPr>
          <w:rFonts w:hint="eastAsia" w:ascii="Times New Roman" w:hAnsi="Times New Roman" w:eastAsia="宋体" w:cs="Times New Roman"/>
          <w:color w:val="auto"/>
          <w:sz w:val="24"/>
          <w:szCs w:val="24"/>
          <w:highlight w:val="none"/>
          <w:u w:val="none" w:color="auto"/>
          <w:lang w:val="en-US" w:eastAsia="zh-CN"/>
        </w:rPr>
        <w:t>清洗</w:t>
      </w:r>
      <w:r>
        <w:rPr>
          <w:rFonts w:hint="default" w:ascii="Times New Roman" w:hAnsi="Times New Roman" w:eastAsia="宋体" w:cs="Times New Roman"/>
          <w:color w:val="auto"/>
          <w:sz w:val="24"/>
          <w:szCs w:val="24"/>
          <w:highlight w:val="none"/>
          <w:u w:val="none" w:color="auto"/>
        </w:rPr>
        <w:t>废水、</w:t>
      </w:r>
      <w:r>
        <w:rPr>
          <w:rFonts w:hint="eastAsia" w:ascii="Times New Roman" w:hAnsi="Times New Roman" w:eastAsia="宋体" w:cs="Times New Roman"/>
          <w:color w:val="auto"/>
          <w:sz w:val="24"/>
          <w:szCs w:val="24"/>
          <w:highlight w:val="none"/>
          <w:u w:val="none" w:color="auto"/>
          <w:lang w:val="en-US" w:eastAsia="zh-CN"/>
        </w:rPr>
        <w:t>机加工车间废水（卫生废水、容器清洗废水、直接冷却废水）、</w:t>
      </w:r>
      <w:r>
        <w:rPr>
          <w:rFonts w:hint="default" w:ascii="Times New Roman" w:hAnsi="Times New Roman" w:eastAsia="宋体" w:cs="Times New Roman"/>
          <w:strike w:val="0"/>
          <w:dstrike w:val="0"/>
          <w:color w:val="auto"/>
          <w:sz w:val="24"/>
          <w:szCs w:val="21"/>
          <w:highlight w:val="none"/>
          <w:u w:val="none" w:color="auto"/>
        </w:rPr>
        <w:t>废气处理设施废水、生活污水</w:t>
      </w:r>
      <w:r>
        <w:rPr>
          <w:rFonts w:hint="eastAsia" w:ascii="Times New Roman" w:hAnsi="Times New Roman" w:eastAsia="宋体" w:cs="Times New Roman"/>
          <w:strike w:val="0"/>
          <w:dstrike w:val="0"/>
          <w:color w:val="auto"/>
          <w:sz w:val="24"/>
          <w:szCs w:val="21"/>
          <w:highlight w:val="none"/>
          <w:u w:val="none" w:color="auto"/>
          <w:lang w:eastAsia="zh-CN"/>
        </w:rPr>
        <w:t>、</w:t>
      </w:r>
      <w:r>
        <w:rPr>
          <w:rFonts w:hint="eastAsia" w:ascii="Times New Roman" w:hAnsi="Times New Roman" w:eastAsia="宋体" w:cs="Times New Roman"/>
          <w:strike w:val="0"/>
          <w:dstrike w:val="0"/>
          <w:color w:val="auto"/>
          <w:sz w:val="24"/>
          <w:szCs w:val="21"/>
          <w:highlight w:val="none"/>
          <w:u w:val="none" w:color="auto"/>
          <w:lang w:val="en-US" w:eastAsia="zh-CN"/>
        </w:rPr>
        <w:t>初期雨水</w:t>
      </w:r>
      <w:r>
        <w:rPr>
          <w:rFonts w:hint="default" w:ascii="Times New Roman" w:hAnsi="Times New Roman" w:eastAsia="宋体" w:cs="Times New Roman"/>
          <w:strike w:val="0"/>
          <w:dstrike w:val="0"/>
          <w:color w:val="auto"/>
          <w:sz w:val="24"/>
          <w:szCs w:val="21"/>
          <w:highlight w:val="none"/>
          <w:u w:val="none" w:color="auto"/>
          <w:lang w:eastAsia="zh-CN"/>
        </w:rPr>
        <w:t>。</w:t>
      </w:r>
      <w:r>
        <w:rPr>
          <w:rFonts w:hint="eastAsia" w:ascii="Times New Roman" w:hAnsi="Times New Roman" w:eastAsia="宋体" w:cs="Times New Roman"/>
          <w:strike w:val="0"/>
          <w:dstrike w:val="0"/>
          <w:color w:val="auto"/>
          <w:sz w:val="24"/>
          <w:szCs w:val="21"/>
          <w:highlight w:val="none"/>
          <w:u w:val="none" w:color="auto"/>
          <w:lang w:val="en-US" w:eastAsia="zh-CN"/>
        </w:rPr>
        <w:t>根据废水分质分类收集原则，项目废水主要可以分为含重金属废水（</w:t>
      </w:r>
      <w:r>
        <w:rPr>
          <w:rFonts w:hint="default" w:ascii="Times New Roman" w:hAnsi="Times New Roman" w:eastAsia="宋体" w:cs="Times New Roman"/>
          <w:strike w:val="0"/>
          <w:dstrike w:val="0"/>
          <w:color w:val="auto"/>
          <w:sz w:val="24"/>
          <w:szCs w:val="21"/>
          <w:highlight w:val="none"/>
          <w:u w:val="none" w:color="auto"/>
        </w:rPr>
        <w:t>含镍废水、含铜废水、含锌</w:t>
      </w:r>
      <w:r>
        <w:rPr>
          <w:rFonts w:hint="default" w:ascii="Times New Roman" w:hAnsi="Times New Roman" w:eastAsia="宋体" w:cs="Times New Roman"/>
          <w:strike w:val="0"/>
          <w:dstrike w:val="0"/>
          <w:color w:val="auto"/>
          <w:sz w:val="24"/>
          <w:szCs w:val="21"/>
          <w:highlight w:val="none"/>
          <w:u w:val="none" w:color="auto"/>
          <w:lang w:eastAsia="zh-CN"/>
        </w:rPr>
        <w:t>镍</w:t>
      </w:r>
      <w:r>
        <w:rPr>
          <w:rFonts w:hint="default" w:ascii="Times New Roman" w:hAnsi="Times New Roman" w:eastAsia="宋体" w:cs="Times New Roman"/>
          <w:strike w:val="0"/>
          <w:dstrike w:val="0"/>
          <w:color w:val="auto"/>
          <w:sz w:val="24"/>
          <w:szCs w:val="21"/>
          <w:highlight w:val="none"/>
          <w:u w:val="none" w:color="auto"/>
        </w:rPr>
        <w:t>废水、</w:t>
      </w:r>
      <w:r>
        <w:rPr>
          <w:rFonts w:hint="default" w:ascii="Times New Roman" w:hAnsi="Times New Roman" w:eastAsia="宋体" w:cs="Times New Roman"/>
          <w:strike w:val="0"/>
          <w:dstrike w:val="0"/>
          <w:color w:val="auto"/>
          <w:sz w:val="24"/>
          <w:szCs w:val="21"/>
          <w:highlight w:val="none"/>
          <w:u w:val="none" w:color="auto"/>
          <w:lang w:eastAsia="zh-CN"/>
        </w:rPr>
        <w:t>退镀</w:t>
      </w:r>
      <w:r>
        <w:rPr>
          <w:rFonts w:hint="default" w:ascii="Times New Roman" w:hAnsi="Times New Roman" w:eastAsia="宋体" w:cs="Times New Roman"/>
          <w:strike w:val="0"/>
          <w:dstrike w:val="0"/>
          <w:color w:val="auto"/>
          <w:sz w:val="24"/>
          <w:szCs w:val="21"/>
          <w:highlight w:val="none"/>
          <w:u w:val="none" w:color="auto"/>
        </w:rPr>
        <w:t>废水</w:t>
      </w:r>
      <w:r>
        <w:rPr>
          <w:rFonts w:hint="eastAsia" w:ascii="Times New Roman" w:hAnsi="Times New Roman" w:eastAsia="宋体" w:cs="Times New Roman"/>
          <w:strike w:val="0"/>
          <w:dstrike w:val="0"/>
          <w:color w:val="auto"/>
          <w:sz w:val="24"/>
          <w:szCs w:val="21"/>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电镀车间地面清洗废水</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strike w:val="0"/>
          <w:dstrike w:val="0"/>
          <w:color w:val="auto"/>
          <w:sz w:val="24"/>
          <w:szCs w:val="21"/>
          <w:highlight w:val="none"/>
          <w:u w:val="none" w:color="auto"/>
          <w:lang w:val="en-US" w:eastAsia="zh-CN"/>
        </w:rPr>
        <w:t>非重金属废水（酸碱废水、含油废水、</w:t>
      </w:r>
      <w:r>
        <w:rPr>
          <w:rFonts w:hint="default" w:ascii="Times New Roman" w:hAnsi="Times New Roman" w:eastAsia="宋体" w:cs="Times New Roman"/>
          <w:strike w:val="0"/>
          <w:dstrike w:val="0"/>
          <w:color w:val="auto"/>
          <w:sz w:val="24"/>
          <w:szCs w:val="21"/>
          <w:highlight w:val="none"/>
          <w:u w:val="none" w:color="auto"/>
        </w:rPr>
        <w:t>废气处理设施废水</w:t>
      </w:r>
      <w:r>
        <w:rPr>
          <w:rFonts w:hint="eastAsia" w:ascii="Times New Roman" w:hAnsi="Times New Roman" w:eastAsia="宋体" w:cs="Times New Roman"/>
          <w:strike w:val="0"/>
          <w:dstrike w:val="0"/>
          <w:color w:val="auto"/>
          <w:sz w:val="24"/>
          <w:szCs w:val="21"/>
          <w:highlight w:val="none"/>
          <w:u w:val="none" w:color="auto"/>
          <w:lang w:eastAsia="zh-CN"/>
        </w:rPr>
        <w:t>）</w:t>
      </w:r>
      <w:r>
        <w:rPr>
          <w:rFonts w:hint="eastAsia" w:ascii="Times New Roman" w:hAnsi="Times New Roman" w:eastAsia="宋体" w:cs="Times New Roman"/>
          <w:strike w:val="0"/>
          <w:dstrike w:val="0"/>
          <w:color w:val="auto"/>
          <w:sz w:val="24"/>
          <w:szCs w:val="21"/>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机加工车间废水（卫生废水、容器清洗废水、直接冷却废水）</w:t>
      </w:r>
      <w:r>
        <w:rPr>
          <w:rFonts w:hint="eastAsia" w:ascii="Times New Roman" w:hAnsi="Times New Roman" w:eastAsia="宋体" w:cs="Times New Roman"/>
          <w:strike w:val="0"/>
          <w:dstrike w:val="0"/>
          <w:color w:val="auto"/>
          <w:sz w:val="24"/>
          <w:szCs w:val="21"/>
          <w:highlight w:val="none"/>
          <w:u w:val="none" w:color="auto"/>
          <w:lang w:val="en-US" w:eastAsia="zh-CN"/>
        </w:rPr>
        <w:t>、生活污水、初期雨水进行收集处理。</w:t>
      </w:r>
    </w:p>
    <w:p w14:paraId="3364FCD2">
      <w:pPr>
        <w:ind w:firstLine="561"/>
        <w:rPr>
          <w:rFonts w:hint="default" w:ascii="Times New Roman" w:hAnsi="Times New Roman" w:cs="Times New Roman"/>
          <w:color w:val="auto"/>
          <w:sz w:val="24"/>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项目</w:t>
      </w:r>
      <w:r>
        <w:rPr>
          <w:rFonts w:hint="default" w:ascii="Times New Roman" w:hAnsi="Times New Roman" w:eastAsia="宋体" w:cs="Times New Roman"/>
          <w:strike w:val="0"/>
          <w:dstrike w:val="0"/>
          <w:color w:val="auto"/>
          <w:sz w:val="24"/>
          <w:szCs w:val="21"/>
          <w:highlight w:val="none"/>
          <w:u w:val="none" w:color="auto"/>
          <w:lang w:eastAsia="zh-CN"/>
        </w:rPr>
        <w:t>含重金属废水经</w:t>
      </w:r>
      <w:r>
        <w:rPr>
          <w:rFonts w:hint="default" w:ascii="Times New Roman" w:hAnsi="Times New Roman" w:eastAsia="宋体" w:cs="Times New Roman"/>
          <w:strike w:val="0"/>
          <w:dstrike w:val="0"/>
          <w:color w:val="auto"/>
          <w:sz w:val="24"/>
          <w:szCs w:val="21"/>
          <w:highlight w:val="none"/>
          <w:u w:val="none" w:color="auto"/>
          <w:lang w:val="en-US" w:eastAsia="zh-CN"/>
        </w:rPr>
        <w:t>pH中和+沉淀</w:t>
      </w:r>
      <w:r>
        <w:rPr>
          <w:rFonts w:hint="eastAsia" w:ascii="Times New Roman" w:hAnsi="Times New Roman" w:eastAsia="宋体" w:cs="Times New Roman"/>
          <w:strike w:val="0"/>
          <w:dstrike w:val="0"/>
          <w:color w:val="auto"/>
          <w:sz w:val="24"/>
          <w:szCs w:val="21"/>
          <w:highlight w:val="none"/>
          <w:u w:val="none" w:color="auto"/>
          <w:lang w:val="en-US" w:eastAsia="zh-CN"/>
        </w:rPr>
        <w:t>（自由沉降）</w:t>
      </w:r>
      <w:r>
        <w:rPr>
          <w:rFonts w:hint="default"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strike w:val="0"/>
          <w:dstrike w:val="0"/>
          <w:color w:val="auto"/>
          <w:sz w:val="24"/>
          <w:szCs w:val="21"/>
          <w:highlight w:val="none"/>
          <w:u w:val="none" w:color="auto"/>
          <w:lang w:val="en-US" w:eastAsia="zh-CN"/>
        </w:rPr>
        <w:t>回用</w:t>
      </w:r>
      <w:r>
        <w:rPr>
          <w:rFonts w:hint="eastAsia" w:ascii="Times New Roman" w:hAnsi="Times New Roman" w:eastAsia="宋体" w:cs="Times New Roman"/>
          <w:strike w:val="0"/>
          <w:dstrike w:val="0"/>
          <w:color w:val="auto"/>
          <w:sz w:val="24"/>
          <w:szCs w:val="21"/>
          <w:highlight w:val="none"/>
          <w:u w:val="none" w:color="auto"/>
          <w:lang w:val="en-US" w:eastAsia="zh-CN"/>
        </w:rPr>
        <w:t>；非重金属废水</w:t>
      </w:r>
      <w:r>
        <w:rPr>
          <w:rFonts w:hint="default" w:ascii="Times New Roman" w:hAnsi="Times New Roman" w:eastAsia="宋体" w:cs="Times New Roman"/>
          <w:strike w:val="0"/>
          <w:dstrike w:val="0"/>
          <w:color w:val="auto"/>
          <w:sz w:val="24"/>
          <w:szCs w:val="21"/>
          <w:highlight w:val="none"/>
          <w:u w:val="none" w:color="auto"/>
          <w:lang w:val="en-US" w:eastAsia="zh-CN"/>
        </w:rPr>
        <w:t>经</w:t>
      </w:r>
      <w:r>
        <w:rPr>
          <w:rFonts w:hint="default" w:ascii="Times New Roman" w:hAnsi="Times New Roman" w:eastAsia="宋体" w:cs="Times New Roman"/>
          <w:strike w:val="0"/>
          <w:dstrike w:val="0"/>
          <w:color w:val="auto"/>
          <w:sz w:val="24"/>
          <w:szCs w:val="21"/>
          <w:highlight w:val="none"/>
          <w:u w:val="none" w:color="auto"/>
          <w:lang w:eastAsia="zh-CN"/>
        </w:rPr>
        <w:t>隔油</w:t>
      </w:r>
      <w:r>
        <w:rPr>
          <w:rFonts w:hint="default" w:ascii="Times New Roman" w:hAnsi="Times New Roman" w:eastAsia="宋体" w:cs="Times New Roman"/>
          <w:strike w:val="0"/>
          <w:dstrike w:val="0"/>
          <w:color w:val="auto"/>
          <w:sz w:val="24"/>
          <w:szCs w:val="21"/>
          <w:highlight w:val="none"/>
          <w:u w:val="none" w:color="auto"/>
        </w:rPr>
        <w:t>+</w:t>
      </w:r>
      <w:r>
        <w:rPr>
          <w:rFonts w:hint="default" w:ascii="Times New Roman" w:hAnsi="Times New Roman" w:eastAsia="宋体" w:cs="Times New Roman"/>
          <w:strike w:val="0"/>
          <w:dstrike w:val="0"/>
          <w:color w:val="auto"/>
          <w:sz w:val="24"/>
          <w:szCs w:val="21"/>
          <w:highlight w:val="none"/>
          <w:u w:val="none" w:color="auto"/>
          <w:lang w:eastAsia="zh-CN"/>
        </w:rPr>
        <w:t>气浮</w:t>
      </w:r>
      <w:r>
        <w:rPr>
          <w:rFonts w:hint="default"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strike w:val="0"/>
          <w:dstrike w:val="0"/>
          <w:color w:val="auto"/>
          <w:sz w:val="24"/>
          <w:szCs w:val="21"/>
          <w:highlight w:val="none"/>
          <w:u w:val="none" w:color="auto"/>
        </w:rPr>
        <w:t>混凝沉淀+</w:t>
      </w:r>
      <w:r>
        <w:rPr>
          <w:rFonts w:hint="default" w:ascii="Times New Roman" w:hAnsi="Times New Roman" w:eastAsia="宋体" w:cs="Times New Roman"/>
          <w:strike w:val="0"/>
          <w:dstrike w:val="0"/>
          <w:color w:val="auto"/>
          <w:sz w:val="24"/>
          <w:szCs w:val="21"/>
          <w:highlight w:val="none"/>
          <w:u w:val="none" w:color="auto"/>
          <w:lang w:eastAsia="zh-CN"/>
        </w:rPr>
        <w:t>袋滤</w:t>
      </w:r>
      <w:r>
        <w:rPr>
          <w:rFonts w:hint="default" w:ascii="Times New Roman" w:hAnsi="Times New Roman" w:eastAsia="宋体" w:cs="Times New Roman"/>
          <w:strike w:val="0"/>
          <w:dstrike w:val="0"/>
          <w:color w:val="auto"/>
          <w:sz w:val="24"/>
          <w:szCs w:val="21"/>
          <w:highlight w:val="none"/>
          <w:u w:val="none" w:color="auto"/>
        </w:rPr>
        <w:t>+超滤</w:t>
      </w:r>
      <w:r>
        <w:rPr>
          <w:rFonts w:hint="default" w:ascii="Times New Roman" w:hAnsi="Times New Roman" w:eastAsia="宋体" w:cs="Times New Roman"/>
          <w:color w:val="auto"/>
          <w:sz w:val="24"/>
          <w:szCs w:val="24"/>
          <w:highlight w:val="none"/>
          <w:u w:val="none" w:color="auto"/>
        </w:rPr>
        <w:t>处理后</w:t>
      </w:r>
      <w:r>
        <w:rPr>
          <w:rFonts w:hint="default" w:ascii="Times New Roman" w:hAnsi="Times New Roman" w:eastAsia="宋体" w:cs="Times New Roman"/>
          <w:color w:val="auto"/>
          <w:sz w:val="24"/>
          <w:szCs w:val="24"/>
          <w:highlight w:val="none"/>
          <w:u w:val="none" w:color="auto"/>
          <w:lang w:eastAsia="zh-CN"/>
        </w:rPr>
        <w:t>回用</w:t>
      </w:r>
      <w:r>
        <w:rPr>
          <w:rFonts w:hint="eastAsia" w:ascii="Times New Roman" w:hAnsi="Times New Roman" w:eastAsia="宋体" w:cs="Times New Roman"/>
          <w:color w:val="auto"/>
          <w:sz w:val="24"/>
          <w:szCs w:val="24"/>
          <w:highlight w:val="none"/>
          <w:u w:val="none" w:color="auto"/>
          <w:lang w:val="en-US" w:eastAsia="zh-CN"/>
        </w:rPr>
        <w:t>于生产及电镀车间地面清洗</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剩余浓水</w:t>
      </w:r>
      <w:r>
        <w:rPr>
          <w:rFonts w:hint="default" w:ascii="Times New Roman" w:hAnsi="Times New Roman" w:eastAsia="宋体" w:cs="Times New Roman"/>
          <w:color w:val="auto"/>
          <w:sz w:val="24"/>
          <w:szCs w:val="24"/>
          <w:highlight w:val="none"/>
          <w:u w:val="none" w:color="auto"/>
          <w:lang w:eastAsia="zh-CN"/>
        </w:rPr>
        <w:t>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w:t>
      </w:r>
      <w:r>
        <w:rPr>
          <w:rFonts w:hint="eastAsia" w:ascii="Times New Roman" w:hAnsi="Times New Roman" w:eastAsia="宋体" w:cs="Times New Roman"/>
          <w:color w:val="auto"/>
          <w:sz w:val="24"/>
          <w:szCs w:val="24"/>
          <w:highlight w:val="none"/>
          <w:u w:val="none" w:color="auto"/>
          <w:lang w:val="en-US" w:eastAsia="zh-CN"/>
        </w:rPr>
        <w:t>于生产</w:t>
      </w:r>
      <w:r>
        <w:rPr>
          <w:rFonts w:hint="default" w:ascii="Times New Roman" w:hAnsi="Times New Roman" w:eastAsia="宋体" w:cs="Times New Roman"/>
          <w:strike w:val="0"/>
          <w:dstrike w:val="0"/>
          <w:color w:val="auto"/>
          <w:sz w:val="24"/>
          <w:szCs w:val="21"/>
          <w:highlight w:val="none"/>
          <w:u w:val="none" w:color="auto"/>
        </w:rPr>
        <w:t>，不外排</w:t>
      </w:r>
      <w:r>
        <w:rPr>
          <w:rFonts w:hint="eastAsia" w:ascii="Times New Roman" w:hAnsi="Times New Roman" w:eastAsia="宋体" w:cs="Times New Roman"/>
          <w:strike w:val="0"/>
          <w:dstrike w:val="0"/>
          <w:color w:val="auto"/>
          <w:sz w:val="24"/>
          <w:szCs w:val="21"/>
          <w:highlight w:val="none"/>
          <w:u w:val="none" w:color="auto"/>
          <w:lang w:eastAsia="zh-CN"/>
        </w:rPr>
        <w:t>；</w:t>
      </w:r>
      <w:r>
        <w:rPr>
          <w:rFonts w:hint="eastAsia" w:ascii="Times New Roman" w:hAnsi="Times New Roman" w:eastAsia="宋体" w:cs="Times New Roman"/>
          <w:strike w:val="0"/>
          <w:dstrike w:val="0"/>
          <w:color w:val="auto"/>
          <w:sz w:val="24"/>
          <w:szCs w:val="21"/>
          <w:highlight w:val="none"/>
          <w:u w:val="none" w:color="auto"/>
          <w:lang w:val="en-US" w:eastAsia="zh-CN"/>
        </w:rPr>
        <w:t>初期雨水经非重金属废水处理设施处理后回用于生产；机加工车间卫生废水、容器清洗废水、直接冷却废水经独立沉淀池收集沉淀后</w:t>
      </w:r>
      <w:r>
        <w:rPr>
          <w:rFonts w:hint="default" w:ascii="Times New Roman" w:hAnsi="Times New Roman" w:eastAsia="宋体" w:cs="Times New Roman"/>
          <w:strike w:val="0"/>
          <w:dstrike w:val="0"/>
          <w:color w:val="auto"/>
          <w:sz w:val="24"/>
          <w:szCs w:val="21"/>
          <w:highlight w:val="none"/>
          <w:u w:val="none" w:color="auto"/>
        </w:rPr>
        <w:t>排至松木污水</w:t>
      </w:r>
      <w:r>
        <w:rPr>
          <w:rFonts w:hint="default" w:ascii="Times New Roman" w:hAnsi="Times New Roman" w:eastAsia="宋体" w:cs="Times New Roman"/>
          <w:color w:val="auto"/>
          <w:sz w:val="24"/>
          <w:szCs w:val="24"/>
          <w:highlight w:val="none"/>
          <w:u w:val="none" w:color="auto"/>
        </w:rPr>
        <w:t>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1"/>
          <w:highlight w:val="none"/>
          <w:u w:val="none" w:color="auto"/>
        </w:rPr>
        <w:t>生活污水经厂内化粪池预处理后排至松木污水</w:t>
      </w:r>
      <w:r>
        <w:rPr>
          <w:rFonts w:hint="default" w:ascii="Times New Roman" w:hAnsi="Times New Roman" w:eastAsia="宋体" w:cs="Times New Roman"/>
          <w:color w:val="auto"/>
          <w:sz w:val="24"/>
          <w:szCs w:val="24"/>
          <w:highlight w:val="none"/>
          <w:u w:val="none" w:color="auto"/>
        </w:rPr>
        <w:t>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综上所述，</w:t>
      </w:r>
      <w:r>
        <w:rPr>
          <w:rFonts w:hint="default" w:ascii="Times New Roman" w:hAnsi="Times New Roman" w:eastAsia="宋体" w:cs="Times New Roman"/>
          <w:strike w:val="0"/>
          <w:dstrike w:val="0"/>
          <w:color w:val="auto"/>
          <w:sz w:val="24"/>
          <w:szCs w:val="21"/>
          <w:highlight w:val="none"/>
          <w:u w:val="none" w:color="auto"/>
        </w:rPr>
        <w:t>项目外排废水</w:t>
      </w:r>
      <w:r>
        <w:rPr>
          <w:rFonts w:hint="default" w:ascii="Times New Roman" w:hAnsi="Times New Roman" w:eastAsia="宋体" w:cs="Times New Roman"/>
          <w:color w:val="auto"/>
          <w:sz w:val="24"/>
          <w:szCs w:val="24"/>
          <w:highlight w:val="none"/>
          <w:u w:val="none" w:color="auto"/>
          <w:lang w:eastAsia="zh-CN"/>
        </w:rPr>
        <w:t>对地表水环境影响较小</w:t>
      </w:r>
      <w:r>
        <w:rPr>
          <w:rFonts w:hint="default" w:ascii="Times New Roman" w:hAnsi="Times New Roman" w:cs="Times New Roman"/>
          <w:color w:val="auto"/>
          <w:sz w:val="24"/>
          <w:highlight w:val="none"/>
          <w:u w:val="none" w:color="auto"/>
        </w:rPr>
        <w:t>。</w:t>
      </w:r>
    </w:p>
    <w:p w14:paraId="4D212235">
      <w:pPr>
        <w:ind w:firstLine="561"/>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（2）项目单位产品基准排水量达标情况</w:t>
      </w:r>
    </w:p>
    <w:p w14:paraId="1272F995">
      <w:pPr>
        <w:ind w:firstLine="561"/>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本项目采用多级逆流漂洗，大大减少了新鲜水用量，项目各电镀主槽后均设置电镀回收槽，减少了外排水量，且进行中水回用，排水量大大减少。</w:t>
      </w:r>
      <w:r>
        <w:rPr>
          <w:rFonts w:hint="default" w:ascii="Times New Roman" w:hAnsi="Times New Roman" w:eastAsia="宋体" w:cs="Times New Roman"/>
          <w:strike w:val="0"/>
          <w:dstrike w:val="0"/>
          <w:color w:val="auto"/>
          <w:sz w:val="24"/>
          <w:szCs w:val="21"/>
          <w:highlight w:val="none"/>
          <w:u w:val="none" w:color="auto"/>
          <w:lang w:eastAsia="zh-CN"/>
        </w:rPr>
        <w:t>项目工艺废水不外排</w:t>
      </w:r>
      <w:r>
        <w:rPr>
          <w:rFonts w:hint="default" w:ascii="Times New Roman" w:hAnsi="Times New Roman" w:eastAsia="宋体" w:cs="Times New Roman"/>
          <w:strike w:val="0"/>
          <w:dstrike w:val="0"/>
          <w:color w:val="auto"/>
          <w:sz w:val="24"/>
          <w:szCs w:val="21"/>
          <w:highlight w:val="none"/>
          <w:u w:val="none" w:color="auto"/>
        </w:rPr>
        <w:t>，满足单位产品基准排水量要求。</w:t>
      </w:r>
    </w:p>
    <w:p w14:paraId="2F43F5BC">
      <w:pPr>
        <w:ind w:firstLine="561"/>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lang w:eastAsia="zh-CN"/>
        </w:rPr>
        <w:t>（</w:t>
      </w:r>
      <w:r>
        <w:rPr>
          <w:rFonts w:hint="default" w:ascii="Times New Roman" w:hAnsi="Times New Roman" w:eastAsia="宋体" w:cs="Times New Roman"/>
          <w:strike w:val="0"/>
          <w:dstrike w:val="0"/>
          <w:color w:val="auto"/>
          <w:sz w:val="24"/>
          <w:szCs w:val="21"/>
          <w:highlight w:val="none"/>
          <w:u w:val="none" w:color="auto"/>
          <w:lang w:val="en-US" w:eastAsia="zh-CN"/>
        </w:rPr>
        <w:t>3</w:t>
      </w:r>
      <w:r>
        <w:rPr>
          <w:rFonts w:hint="default" w:ascii="Times New Roman" w:hAnsi="Times New Roman" w:eastAsia="宋体" w:cs="Times New Roman"/>
          <w:strike w:val="0"/>
          <w:dstrike w:val="0"/>
          <w:color w:val="auto"/>
          <w:sz w:val="24"/>
          <w:szCs w:val="21"/>
          <w:highlight w:val="none"/>
          <w:u w:val="none" w:color="auto"/>
          <w:lang w:eastAsia="zh-CN"/>
        </w:rPr>
        <w:t>）</w:t>
      </w:r>
      <w:r>
        <w:rPr>
          <w:rFonts w:hint="default" w:ascii="Times New Roman" w:hAnsi="Times New Roman" w:eastAsia="宋体" w:cs="Times New Roman"/>
          <w:strike w:val="0"/>
          <w:dstrike w:val="0"/>
          <w:color w:val="auto"/>
          <w:sz w:val="24"/>
          <w:szCs w:val="21"/>
          <w:highlight w:val="none"/>
          <w:u w:val="none" w:color="auto"/>
        </w:rPr>
        <w:t>水污染控制和水环境影响减缓措施有效性评价</w:t>
      </w:r>
    </w:p>
    <w:p w14:paraId="67F4AFA2">
      <w:pPr>
        <w:ind w:firstLine="561"/>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项目各类废水经专有管道收集后，</w:t>
      </w:r>
      <w:r>
        <w:rPr>
          <w:rFonts w:hint="eastAsia" w:ascii="Times New Roman" w:hAnsi="Times New Roman" w:eastAsia="宋体" w:cs="Times New Roman"/>
          <w:strike w:val="0"/>
          <w:dstrike w:val="0"/>
          <w:color w:val="auto"/>
          <w:sz w:val="24"/>
          <w:szCs w:val="21"/>
          <w:highlight w:val="none"/>
          <w:u w:val="none" w:color="auto"/>
          <w:lang w:val="en-US" w:eastAsia="zh-CN"/>
        </w:rPr>
        <w:t>非重金属</w:t>
      </w:r>
      <w:r>
        <w:rPr>
          <w:rFonts w:hint="default" w:ascii="Times New Roman" w:hAnsi="Times New Roman" w:eastAsia="宋体" w:cs="Times New Roman"/>
          <w:strike w:val="0"/>
          <w:dstrike w:val="0"/>
          <w:color w:val="auto"/>
          <w:sz w:val="24"/>
          <w:szCs w:val="21"/>
          <w:highlight w:val="none"/>
          <w:u w:val="none" w:color="auto"/>
        </w:rPr>
        <w:t>废水排入</w:t>
      </w:r>
      <w:r>
        <w:rPr>
          <w:rFonts w:hint="default" w:ascii="Times New Roman" w:hAnsi="Times New Roman" w:eastAsia="宋体" w:cs="Times New Roman"/>
          <w:strike w:val="0"/>
          <w:dstrike w:val="0"/>
          <w:color w:val="auto"/>
          <w:sz w:val="24"/>
          <w:szCs w:val="21"/>
          <w:highlight w:val="none"/>
          <w:u w:val="none" w:color="auto"/>
          <w:lang w:eastAsia="zh-CN"/>
        </w:rPr>
        <w:t>非重金属</w:t>
      </w:r>
      <w:r>
        <w:rPr>
          <w:rFonts w:hint="default" w:ascii="Times New Roman" w:hAnsi="Times New Roman" w:eastAsia="宋体" w:cs="Times New Roman"/>
          <w:strike w:val="0"/>
          <w:dstrike w:val="0"/>
          <w:color w:val="auto"/>
          <w:sz w:val="24"/>
          <w:szCs w:val="21"/>
          <w:highlight w:val="none"/>
          <w:u w:val="none" w:color="auto"/>
        </w:rPr>
        <w:t>废水处理系统，通过</w:t>
      </w:r>
      <w:r>
        <w:rPr>
          <w:rFonts w:hint="default" w:ascii="Times New Roman" w:hAnsi="Times New Roman" w:eastAsia="宋体" w:cs="Times New Roman"/>
          <w:strike w:val="0"/>
          <w:dstrike w:val="0"/>
          <w:color w:val="auto"/>
          <w:sz w:val="24"/>
          <w:szCs w:val="21"/>
          <w:highlight w:val="none"/>
          <w:u w:val="none" w:color="auto"/>
          <w:lang w:eastAsia="zh-CN"/>
        </w:rPr>
        <w:t>隔油</w:t>
      </w:r>
      <w:r>
        <w:rPr>
          <w:rFonts w:hint="default" w:ascii="Times New Roman" w:hAnsi="Times New Roman" w:eastAsia="宋体" w:cs="Times New Roman"/>
          <w:strike w:val="0"/>
          <w:dstrike w:val="0"/>
          <w:color w:val="auto"/>
          <w:sz w:val="24"/>
          <w:szCs w:val="21"/>
          <w:highlight w:val="none"/>
          <w:u w:val="none" w:color="auto"/>
        </w:rPr>
        <w:t>+</w:t>
      </w:r>
      <w:r>
        <w:rPr>
          <w:rFonts w:hint="default" w:ascii="Times New Roman" w:hAnsi="Times New Roman" w:eastAsia="宋体" w:cs="Times New Roman"/>
          <w:strike w:val="0"/>
          <w:dstrike w:val="0"/>
          <w:color w:val="auto"/>
          <w:sz w:val="24"/>
          <w:szCs w:val="21"/>
          <w:highlight w:val="none"/>
          <w:u w:val="none" w:color="auto"/>
          <w:lang w:eastAsia="zh-CN"/>
        </w:rPr>
        <w:t>气浮</w:t>
      </w:r>
      <w:r>
        <w:rPr>
          <w:rFonts w:hint="default"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strike w:val="0"/>
          <w:dstrike w:val="0"/>
          <w:color w:val="auto"/>
          <w:sz w:val="24"/>
          <w:szCs w:val="21"/>
          <w:highlight w:val="none"/>
          <w:u w:val="none" w:color="auto"/>
        </w:rPr>
        <w:t>混凝沉淀+</w:t>
      </w:r>
      <w:r>
        <w:rPr>
          <w:rFonts w:hint="default" w:ascii="Times New Roman" w:hAnsi="Times New Roman" w:eastAsia="宋体" w:cs="Times New Roman"/>
          <w:strike w:val="0"/>
          <w:dstrike w:val="0"/>
          <w:color w:val="auto"/>
          <w:sz w:val="24"/>
          <w:szCs w:val="21"/>
          <w:highlight w:val="none"/>
          <w:u w:val="none" w:color="auto"/>
          <w:lang w:eastAsia="zh-CN"/>
        </w:rPr>
        <w:t>袋滤</w:t>
      </w:r>
      <w:r>
        <w:rPr>
          <w:rFonts w:hint="default" w:ascii="Times New Roman" w:hAnsi="Times New Roman" w:eastAsia="宋体" w:cs="Times New Roman"/>
          <w:strike w:val="0"/>
          <w:dstrike w:val="0"/>
          <w:color w:val="auto"/>
          <w:sz w:val="24"/>
          <w:szCs w:val="21"/>
          <w:highlight w:val="none"/>
          <w:u w:val="none" w:color="auto"/>
        </w:rPr>
        <w:t>+超滤可去除大部分的COD及SS；含</w:t>
      </w:r>
      <w:r>
        <w:rPr>
          <w:rFonts w:hint="default" w:ascii="Times New Roman" w:hAnsi="Times New Roman" w:eastAsia="宋体" w:cs="Times New Roman"/>
          <w:strike w:val="0"/>
          <w:dstrike w:val="0"/>
          <w:color w:val="auto"/>
          <w:sz w:val="24"/>
          <w:szCs w:val="21"/>
          <w:highlight w:val="none"/>
          <w:u w:val="none" w:color="auto"/>
          <w:lang w:eastAsia="zh-CN"/>
        </w:rPr>
        <w:t>重金属</w:t>
      </w:r>
      <w:r>
        <w:rPr>
          <w:rFonts w:hint="default" w:ascii="Times New Roman" w:hAnsi="Times New Roman" w:eastAsia="宋体" w:cs="Times New Roman"/>
          <w:strike w:val="0"/>
          <w:dstrike w:val="0"/>
          <w:color w:val="auto"/>
          <w:sz w:val="24"/>
          <w:szCs w:val="21"/>
          <w:highlight w:val="none"/>
          <w:u w:val="none" w:color="auto"/>
        </w:rPr>
        <w:t>废水</w:t>
      </w:r>
      <w:r>
        <w:rPr>
          <w:rFonts w:hint="default" w:ascii="Times New Roman" w:hAnsi="Times New Roman" w:eastAsia="宋体" w:cs="Times New Roman"/>
          <w:strike w:val="0"/>
          <w:dstrike w:val="0"/>
          <w:color w:val="auto"/>
          <w:sz w:val="24"/>
          <w:szCs w:val="21"/>
          <w:highlight w:val="none"/>
          <w:u w:val="none" w:color="auto"/>
          <w:lang w:eastAsia="zh-CN"/>
        </w:rPr>
        <w:t>酸碱中和后</w:t>
      </w:r>
      <w:r>
        <w:rPr>
          <w:rFonts w:hint="eastAsia" w:ascii="Times New Roman" w:hAnsi="Times New Roman" w:eastAsia="宋体" w:cs="Times New Roman"/>
          <w:strike w:val="0"/>
          <w:dstrike w:val="0"/>
          <w:color w:val="auto"/>
          <w:sz w:val="24"/>
          <w:szCs w:val="21"/>
          <w:highlight w:val="none"/>
          <w:u w:val="none" w:color="auto"/>
          <w:lang w:eastAsia="zh-CN"/>
        </w:rPr>
        <w:t>经</w:t>
      </w:r>
      <w:r>
        <w:rPr>
          <w:rFonts w:hint="default" w:ascii="Times New Roman" w:hAnsi="Times New Roman" w:eastAsia="宋体" w:cs="Times New Roman"/>
          <w:strike w:val="0"/>
          <w:dstrike w:val="0"/>
          <w:color w:val="auto"/>
          <w:sz w:val="24"/>
          <w:szCs w:val="21"/>
          <w:highlight w:val="none"/>
          <w:u w:val="none" w:color="auto"/>
        </w:rPr>
        <w:t>沉淀</w:t>
      </w:r>
      <w:r>
        <w:rPr>
          <w:rFonts w:hint="eastAsia" w:ascii="Times New Roman" w:hAnsi="Times New Roman" w:eastAsia="宋体" w:cs="Times New Roman"/>
          <w:strike w:val="0"/>
          <w:dstrike w:val="0"/>
          <w:color w:val="auto"/>
          <w:sz w:val="24"/>
          <w:szCs w:val="21"/>
          <w:highlight w:val="none"/>
          <w:u w:val="none" w:color="auto"/>
          <w:lang w:eastAsia="zh-CN"/>
        </w:rPr>
        <w:t>（自由沉降）</w:t>
      </w:r>
      <w:r>
        <w:rPr>
          <w:rFonts w:hint="default" w:ascii="Times New Roman" w:hAnsi="Times New Roman" w:eastAsia="宋体" w:cs="Times New Roman"/>
          <w:strike w:val="0"/>
          <w:dstrike w:val="0"/>
          <w:color w:val="auto"/>
          <w:sz w:val="24"/>
          <w:szCs w:val="21"/>
          <w:highlight w:val="none"/>
          <w:u w:val="none" w:color="auto"/>
        </w:rPr>
        <w:t>可去除部分的重金属。项目各类废水经预处理后</w:t>
      </w:r>
      <w:r>
        <w:rPr>
          <w:rFonts w:hint="default" w:ascii="Times New Roman" w:hAnsi="Times New Roman" w:eastAsia="宋体" w:cs="Times New Roman"/>
          <w:strike w:val="0"/>
          <w:dstrike w:val="0"/>
          <w:color w:val="auto"/>
          <w:sz w:val="24"/>
          <w:szCs w:val="21"/>
          <w:highlight w:val="none"/>
          <w:u w:val="none" w:color="auto"/>
          <w:lang w:eastAsia="zh-CN"/>
        </w:rPr>
        <w:t>部分回用于生产，部分</w:t>
      </w:r>
      <w:r>
        <w:rPr>
          <w:rFonts w:hint="default" w:ascii="Times New Roman" w:hAnsi="Times New Roman" w:eastAsia="宋体" w:cs="Times New Roman"/>
          <w:strike w:val="0"/>
          <w:dstrike w:val="0"/>
          <w:color w:val="auto"/>
          <w:sz w:val="24"/>
          <w:szCs w:val="21"/>
          <w:highlight w:val="none"/>
          <w:u w:val="none" w:color="auto"/>
        </w:rPr>
        <w:t>进入</w:t>
      </w:r>
      <w:r>
        <w:rPr>
          <w:rFonts w:hint="default" w:ascii="Times New Roman" w:hAnsi="Times New Roman" w:eastAsia="宋体" w:cs="Times New Roman"/>
          <w:color w:val="auto"/>
          <w:sz w:val="24"/>
          <w:szCs w:val="24"/>
          <w:highlight w:val="none"/>
          <w:u w:val="none" w:color="auto"/>
          <w:lang w:val="en-US" w:eastAsia="zh-CN"/>
        </w:rPr>
        <w:t>三效蒸发器</w:t>
      </w:r>
      <w:r>
        <w:rPr>
          <w:rFonts w:hint="default" w:ascii="Times New Roman" w:hAnsi="Times New Roman" w:eastAsia="宋体" w:cs="Times New Roman"/>
          <w:strike w:val="0"/>
          <w:dstrike w:val="0"/>
          <w:color w:val="auto"/>
          <w:sz w:val="24"/>
          <w:szCs w:val="21"/>
          <w:highlight w:val="none"/>
          <w:u w:val="none" w:color="auto"/>
        </w:rPr>
        <w:t>，各类重金属最终成为</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strike w:val="0"/>
          <w:dstrike w:val="0"/>
          <w:color w:val="auto"/>
          <w:sz w:val="24"/>
          <w:szCs w:val="21"/>
          <w:highlight w:val="none"/>
          <w:u w:val="none" w:color="auto"/>
        </w:rPr>
        <w:t>残渣作为危险废物处置，无废水外排。</w:t>
      </w:r>
    </w:p>
    <w:p w14:paraId="17CB4266">
      <w:pPr>
        <w:ind w:firstLine="561"/>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具体的工艺介绍</w:t>
      </w:r>
      <w:r>
        <w:rPr>
          <w:rFonts w:hint="default" w:ascii="Times New Roman" w:hAnsi="Times New Roman" w:eastAsia="宋体" w:cs="Times New Roman"/>
          <w:strike w:val="0"/>
          <w:dstrike w:val="0"/>
          <w:color w:val="auto"/>
          <w:sz w:val="24"/>
          <w:szCs w:val="21"/>
          <w:highlight w:val="none"/>
          <w:u w:val="none" w:color="auto"/>
          <w:lang w:eastAsia="zh-CN"/>
        </w:rPr>
        <w:t>如下</w:t>
      </w:r>
      <w:r>
        <w:rPr>
          <w:rFonts w:hint="default" w:ascii="Times New Roman" w:hAnsi="Times New Roman" w:eastAsia="宋体" w:cs="Times New Roman"/>
          <w:strike w:val="0"/>
          <w:dstrike w:val="0"/>
          <w:color w:val="auto"/>
          <w:sz w:val="24"/>
          <w:szCs w:val="21"/>
          <w:highlight w:val="none"/>
          <w:u w:val="none" w:color="auto"/>
        </w:rPr>
        <w:t>。</w:t>
      </w:r>
    </w:p>
    <w:p w14:paraId="7C38BAE8">
      <w:pPr>
        <w:spacing w:line="240" w:lineRule="auto"/>
        <w:jc w:val="center"/>
        <w:rPr>
          <w:rFonts w:hint="default" w:ascii="Times New Roman" w:hAnsi="Times New Roman" w:eastAsia="宋体" w:cs="Times New Roman"/>
          <w:b/>
          <w:strike w:val="0"/>
          <w:dstrike w:val="0"/>
          <w:color w:val="auto"/>
          <w:sz w:val="21"/>
          <w:szCs w:val="18"/>
          <w:highlight w:val="none"/>
          <w:u w:val="none" w:color="auto"/>
          <w:lang w:eastAsia="zh-CN"/>
        </w:rPr>
      </w:pPr>
      <w:r>
        <w:rPr>
          <w:rFonts w:hint="default" w:ascii="Times New Roman" w:hAnsi="Times New Roman" w:cs="Times New Roman"/>
          <w:color w:val="auto"/>
          <w:highlight w:val="none"/>
          <w:u w:val="single" w:color="auto"/>
        </w:rPr>
        <w:object>
          <v:shape id="_x0000_i1035" o:spt="75" type="#_x0000_t75" style="height:184.25pt;width:416.25pt;" o:ole="t" filled="f" o:preferrelative="t" stroked="f" coordsize="21600,21600">
            <v:path/>
            <v:fill on="f" focussize="0,0"/>
            <v:stroke on="f"/>
            <v:imagedata r:id="rId42" o:title=""/>
            <o:lock v:ext="edit" aspectratio="f"/>
            <w10:wrap type="none"/>
            <w10:anchorlock/>
          </v:shape>
          <o:OLEObject Type="Embed" ProgID="Visio.Drawing.15" ShapeID="_x0000_i1035" DrawAspect="Content" ObjectID="_1468075735" r:id="rId41">
            <o:LockedField>false</o:LockedField>
          </o:OLEObject>
        </w:object>
      </w:r>
    </w:p>
    <w:p w14:paraId="63120882">
      <w:pPr>
        <w:spacing w:line="240" w:lineRule="auto"/>
        <w:jc w:val="center"/>
        <w:rPr>
          <w:rFonts w:hint="default" w:ascii="Times New Roman" w:hAnsi="Times New Roman" w:eastAsia="仿宋_GB2312" w:cs="Times New Roman"/>
          <w:color w:val="auto"/>
          <w:sz w:val="24"/>
          <w:szCs w:val="20"/>
          <w:highlight w:val="none"/>
          <w:u w:val="none" w:color="auto"/>
          <w:lang w:val="en-US" w:eastAsia="zh-CN"/>
        </w:rPr>
      </w:pPr>
      <w:r>
        <w:rPr>
          <w:rFonts w:hint="default" w:ascii="Times New Roman" w:hAnsi="Times New Roman" w:eastAsia="宋体" w:cs="Times New Roman"/>
          <w:b/>
          <w:strike w:val="0"/>
          <w:dstrike w:val="0"/>
          <w:color w:val="auto"/>
          <w:sz w:val="21"/>
          <w:szCs w:val="18"/>
          <w:highlight w:val="none"/>
          <w:u w:val="none" w:color="auto"/>
          <w:lang w:eastAsia="zh-CN"/>
        </w:rPr>
        <w:t>图</w:t>
      </w:r>
      <w:r>
        <w:rPr>
          <w:rFonts w:hint="default" w:ascii="Times New Roman" w:hAnsi="Times New Roman" w:eastAsia="宋体" w:cs="Times New Roman"/>
          <w:b/>
          <w:strike w:val="0"/>
          <w:dstrike w:val="0"/>
          <w:color w:val="auto"/>
          <w:sz w:val="21"/>
          <w:szCs w:val="18"/>
          <w:highlight w:val="none"/>
          <w:u w:val="none" w:color="auto"/>
          <w:lang w:val="en-US" w:eastAsia="zh-CN"/>
        </w:rPr>
        <w:t>7.2-2 污水处理工艺图</w:t>
      </w:r>
    </w:p>
    <w:p w14:paraId="0DC69D79">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类比同类工程情况，项目</w:t>
      </w:r>
      <w:r>
        <w:rPr>
          <w:rFonts w:hint="eastAsia" w:ascii="Times New Roman" w:hAnsi="Times New Roman" w:eastAsia="宋体" w:cs="Times New Roman"/>
          <w:strike w:val="0"/>
          <w:dstrike w:val="0"/>
          <w:color w:val="auto"/>
          <w:sz w:val="24"/>
          <w:szCs w:val="21"/>
          <w:highlight w:val="none"/>
          <w:u w:val="none" w:color="auto"/>
          <w:lang w:val="en-US" w:eastAsia="zh-CN"/>
        </w:rPr>
        <w:t>电镀工序生产</w:t>
      </w:r>
      <w:r>
        <w:rPr>
          <w:rFonts w:hint="default" w:ascii="Times New Roman" w:hAnsi="Times New Roman" w:eastAsia="宋体" w:cs="Times New Roman"/>
          <w:strike w:val="0"/>
          <w:dstrike w:val="0"/>
          <w:color w:val="auto"/>
          <w:sz w:val="24"/>
          <w:szCs w:val="21"/>
          <w:highlight w:val="none"/>
          <w:u w:val="none" w:color="auto"/>
          <w:lang w:val="en-US" w:eastAsia="zh-CN"/>
        </w:rPr>
        <w:t>废水</w:t>
      </w:r>
      <w:r>
        <w:rPr>
          <w:rFonts w:hint="eastAsia" w:ascii="Times New Roman" w:hAnsi="Times New Roman" w:eastAsia="宋体" w:cs="Times New Roman"/>
          <w:strike w:val="0"/>
          <w:dstrike w:val="0"/>
          <w:color w:val="auto"/>
          <w:sz w:val="24"/>
          <w:szCs w:val="21"/>
          <w:highlight w:val="none"/>
          <w:u w:val="none" w:color="auto"/>
          <w:lang w:val="en-US" w:eastAsia="zh-CN"/>
        </w:rPr>
        <w:t>及其辅助生产废水</w:t>
      </w:r>
      <w:r>
        <w:rPr>
          <w:rFonts w:hint="default" w:ascii="Times New Roman" w:hAnsi="Times New Roman" w:eastAsia="宋体" w:cs="Times New Roman"/>
          <w:strike w:val="0"/>
          <w:dstrike w:val="0"/>
          <w:color w:val="auto"/>
          <w:sz w:val="24"/>
          <w:szCs w:val="21"/>
          <w:highlight w:val="none"/>
          <w:u w:val="none" w:color="auto"/>
          <w:lang w:val="en-US" w:eastAsia="zh-CN"/>
        </w:rPr>
        <w:t>经上述工艺处理后，可全部回用于生产工序，实现废水零排放。</w:t>
      </w:r>
    </w:p>
    <w:p w14:paraId="0DC3F5E4">
      <w:pPr>
        <w:ind w:firstLine="561"/>
        <w:jc w:val="both"/>
        <w:rPr>
          <w:rFonts w:hint="eastAsia" w:ascii="Times New Roman" w:hAnsi="Times New Roman" w:eastAsia="宋体" w:cs="Times New Roman"/>
          <w:strike w:val="0"/>
          <w:dstrike w:val="0"/>
          <w:color w:val="auto"/>
          <w:sz w:val="24"/>
          <w:szCs w:val="21"/>
          <w:highlight w:val="none"/>
          <w:u w:val="none" w:color="auto"/>
          <w:lang w:val="en-US" w:eastAsia="zh-CN"/>
        </w:rPr>
      </w:pPr>
      <w:r>
        <w:rPr>
          <w:rFonts w:hint="eastAsia" w:ascii="Times New Roman" w:hAnsi="Times New Roman" w:eastAsia="宋体" w:cs="Times New Roman"/>
          <w:strike w:val="0"/>
          <w:dstrike w:val="0"/>
          <w:color w:val="auto"/>
          <w:sz w:val="24"/>
          <w:szCs w:val="21"/>
          <w:highlight w:val="none"/>
          <w:u w:val="none" w:color="auto"/>
          <w:lang w:val="en-US" w:eastAsia="zh-CN"/>
        </w:rPr>
        <w:t>项目机加工车间卫生废水、容器清洗废水、直接冷却废水主要污染物为SS，经沉淀后可去除大部分</w:t>
      </w:r>
      <w:r>
        <w:rPr>
          <w:rFonts w:hint="default" w:ascii="Times New Roman" w:hAnsi="Times New Roman" w:eastAsia="宋体" w:cs="Times New Roman"/>
          <w:strike w:val="0"/>
          <w:dstrike w:val="0"/>
          <w:color w:val="auto"/>
          <w:sz w:val="24"/>
          <w:szCs w:val="21"/>
          <w:highlight w:val="none"/>
          <w:u w:val="none" w:color="auto"/>
        </w:rPr>
        <w:t>SS</w:t>
      </w:r>
      <w:r>
        <w:rPr>
          <w:rFonts w:hint="eastAsia" w:ascii="Times New Roman" w:hAnsi="Times New Roman" w:eastAsia="宋体" w:cs="Times New Roman"/>
          <w:strike w:val="0"/>
          <w:dstrike w:val="0"/>
          <w:color w:val="auto"/>
          <w:sz w:val="24"/>
          <w:szCs w:val="21"/>
          <w:highlight w:val="none"/>
          <w:u w:val="none" w:color="auto"/>
          <w:lang w:eastAsia="zh-CN"/>
        </w:rPr>
        <w:t>，</w:t>
      </w:r>
      <w:r>
        <w:rPr>
          <w:rFonts w:hint="default" w:ascii="Times New Roman" w:hAnsi="Times New Roman" w:eastAsia="宋体" w:cs="Times New Roman"/>
          <w:strike w:val="0"/>
          <w:dstrike w:val="0"/>
          <w:color w:val="auto"/>
          <w:sz w:val="24"/>
          <w:szCs w:val="21"/>
          <w:highlight w:val="none"/>
          <w:u w:val="none" w:color="auto"/>
          <w:lang w:val="en-US" w:eastAsia="zh-CN"/>
        </w:rPr>
        <w:t>处理后能达到</w:t>
      </w:r>
      <w:r>
        <w:rPr>
          <w:rFonts w:hint="default" w:ascii="Times New Roman" w:hAnsi="Times New Roman" w:eastAsia="宋体" w:cs="Times New Roman"/>
          <w:color w:val="auto"/>
          <w:sz w:val="24"/>
          <w:szCs w:val="24"/>
          <w:highlight w:val="none"/>
          <w:u w:val="none" w:color="auto"/>
        </w:rPr>
        <w:t>《污水综合排放标准》（GB8978-1996）表4 三级标准、《污水排入城镇下水道水质标准》（GB/T31962-2015）B等级标准，同时满足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进水水质要求</w:t>
      </w:r>
      <w:r>
        <w:rPr>
          <w:rFonts w:hint="eastAsia" w:ascii="Times New Roman" w:hAnsi="Times New Roman" w:eastAsia="宋体" w:cs="Times New Roman"/>
          <w:strike w:val="0"/>
          <w:dstrike w:val="0"/>
          <w:color w:val="auto"/>
          <w:sz w:val="24"/>
          <w:szCs w:val="21"/>
          <w:highlight w:val="none"/>
          <w:u w:val="none" w:color="auto"/>
          <w:lang w:val="en-US" w:eastAsia="zh-CN"/>
        </w:rPr>
        <w:t>。</w:t>
      </w:r>
    </w:p>
    <w:p w14:paraId="5821E396">
      <w:pPr>
        <w:ind w:firstLine="561"/>
        <w:jc w:val="both"/>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项目生活污水采用化粪池收集处理。化粪池是一种利用沉淀和厌氧发酵的原理，去除生活污水中悬浮性有机物的处理设施，是一项较为成熟的技术，类比同类生活污水处理工程，生活污水处理后能达到</w:t>
      </w:r>
      <w:r>
        <w:rPr>
          <w:rFonts w:hint="default" w:ascii="Times New Roman" w:hAnsi="Times New Roman" w:eastAsia="宋体" w:cs="Times New Roman"/>
          <w:color w:val="auto"/>
          <w:sz w:val="24"/>
          <w:szCs w:val="24"/>
          <w:highlight w:val="none"/>
          <w:u w:val="none" w:color="auto"/>
        </w:rPr>
        <w:t>《污水综合排放标准》（GB8978-1996）表4 三级标准、《污水排入城镇下水道水质标准》（GB/T31962-2015）B等级标准，同时满足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进水水质要求</w:t>
      </w:r>
      <w:r>
        <w:rPr>
          <w:rFonts w:hint="default" w:ascii="Times New Roman" w:hAnsi="Times New Roman" w:eastAsia="宋体" w:cs="Times New Roman"/>
          <w:strike w:val="0"/>
          <w:dstrike w:val="0"/>
          <w:color w:val="auto"/>
          <w:sz w:val="24"/>
          <w:szCs w:val="21"/>
          <w:highlight w:val="none"/>
          <w:u w:val="none" w:color="auto"/>
          <w:lang w:val="en-US" w:eastAsia="zh-CN"/>
        </w:rPr>
        <w:t>。</w:t>
      </w:r>
    </w:p>
    <w:p w14:paraId="7EF5992C">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因此，项目外排废水在厂区处理后均能达到排入市政污水管网的要求。项目污水处理措施有效。</w:t>
      </w:r>
    </w:p>
    <w:p w14:paraId="6820168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7.2.2.2 依托松木污水处理厂的环境可行性评价</w:t>
      </w:r>
    </w:p>
    <w:p w14:paraId="7F2ABA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松木污水处理厂位于湘江河畔的新安村观音塘组，处理的污水包括园区企业生产废水、综合生活污水，纳污范围主要为：二环北路以北来雁新城及松木经开区。一期设计处理能力为1万m³/d，可接纳松木经济开发区工业区一期范围及二期范围用地内的污水，各主次干道都已敷设污水管道和雨水管道。远期规划污水处理厂规模为 10 万吨/日。规划区内的污水集中处理后排放。2020年开工运行了2套规模为5000m ³/d的重金属处理单元，预计能接纳园区现有的14家企业的重金属废水，对其中的As、Cd、Pb、Cu、Zn等进行预处理。</w:t>
      </w:r>
    </w:p>
    <w:p w14:paraId="2567E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本项目属于松木污水处理厂纳污区域，项目建成营运后，</w:t>
      </w:r>
      <w:r>
        <w:rPr>
          <w:rFonts w:hint="eastAsia" w:ascii="Times New Roman" w:hAnsi="Times New Roman" w:eastAsia="宋体" w:cs="Times New Roman"/>
          <w:strike w:val="0"/>
          <w:dstrike w:val="0"/>
          <w:color w:val="auto"/>
          <w:sz w:val="24"/>
          <w:szCs w:val="21"/>
          <w:highlight w:val="none"/>
          <w:u w:val="none" w:color="auto"/>
          <w:lang w:val="en-US" w:eastAsia="zh-CN"/>
        </w:rPr>
        <w:t>电镀工序</w:t>
      </w:r>
      <w:r>
        <w:rPr>
          <w:rFonts w:hint="default" w:ascii="Times New Roman" w:hAnsi="Times New Roman" w:eastAsia="宋体" w:cs="Times New Roman"/>
          <w:strike w:val="0"/>
          <w:dstrike w:val="0"/>
          <w:color w:val="auto"/>
          <w:sz w:val="24"/>
          <w:szCs w:val="21"/>
          <w:highlight w:val="none"/>
          <w:u w:val="none" w:color="auto"/>
          <w:lang w:val="en-US" w:eastAsia="zh-CN"/>
        </w:rPr>
        <w:t>生产废水</w:t>
      </w:r>
      <w:r>
        <w:rPr>
          <w:rFonts w:hint="eastAsia" w:ascii="Times New Roman" w:hAnsi="Times New Roman" w:eastAsia="宋体" w:cs="Times New Roman"/>
          <w:strike w:val="0"/>
          <w:dstrike w:val="0"/>
          <w:color w:val="auto"/>
          <w:sz w:val="24"/>
          <w:szCs w:val="21"/>
          <w:highlight w:val="none"/>
          <w:u w:val="none" w:color="auto"/>
          <w:lang w:val="en-US" w:eastAsia="zh-CN"/>
        </w:rPr>
        <w:t>及其辅助生产废水</w:t>
      </w:r>
      <w:r>
        <w:rPr>
          <w:rFonts w:hint="default" w:ascii="Times New Roman" w:hAnsi="Times New Roman" w:eastAsia="宋体" w:cs="Times New Roman"/>
          <w:strike w:val="0"/>
          <w:dstrike w:val="0"/>
          <w:color w:val="auto"/>
          <w:sz w:val="24"/>
          <w:szCs w:val="21"/>
          <w:highlight w:val="none"/>
          <w:u w:val="none" w:color="auto"/>
          <w:lang w:val="en-US" w:eastAsia="zh-CN"/>
        </w:rPr>
        <w:t>经预处理后进入零排放系统，不外排。项目外排废水主要为生活污水</w:t>
      </w:r>
      <w:r>
        <w:rPr>
          <w:rFonts w:hint="eastAsia" w:ascii="Times New Roman" w:hAnsi="Times New Roman" w:eastAsia="宋体" w:cs="Times New Roman"/>
          <w:strike w:val="0"/>
          <w:dstrike w:val="0"/>
          <w:color w:val="auto"/>
          <w:sz w:val="24"/>
          <w:szCs w:val="21"/>
          <w:highlight w:val="none"/>
          <w:u w:val="none" w:color="auto"/>
          <w:lang w:val="en-US" w:eastAsia="zh-CN"/>
        </w:rPr>
        <w:t>和机加工车间卫生废水、容器清洗废水、直接冷却废水</w:t>
      </w:r>
      <w:r>
        <w:rPr>
          <w:rFonts w:hint="default" w:ascii="Times New Roman" w:hAnsi="Times New Roman" w:eastAsia="宋体" w:cs="Times New Roman"/>
          <w:strike w:val="0"/>
          <w:dstrike w:val="0"/>
          <w:color w:val="auto"/>
          <w:sz w:val="24"/>
          <w:szCs w:val="21"/>
          <w:highlight w:val="none"/>
          <w:u w:val="none" w:color="auto"/>
          <w:lang w:val="en-US" w:eastAsia="zh-CN"/>
        </w:rPr>
        <w:t>，生活污水经化粪池预处理</w:t>
      </w:r>
      <w:r>
        <w:rPr>
          <w:rFonts w:hint="eastAsia" w:ascii="Times New Roman" w:hAnsi="Times New Roman" w:eastAsia="宋体" w:cs="Times New Roman"/>
          <w:strike w:val="0"/>
          <w:dstrike w:val="0"/>
          <w:color w:val="auto"/>
          <w:sz w:val="24"/>
          <w:szCs w:val="21"/>
          <w:highlight w:val="none"/>
          <w:u w:val="none" w:color="auto"/>
          <w:lang w:val="en-US" w:eastAsia="zh-CN"/>
        </w:rPr>
        <w:t>后、</w:t>
      </w:r>
      <w:r>
        <w:rPr>
          <w:rFonts w:hint="eastAsia" w:ascii="Times New Roman" w:hAnsi="Times New Roman" w:eastAsia="宋体" w:cs="Times New Roman"/>
          <w:color w:val="auto"/>
          <w:sz w:val="24"/>
          <w:szCs w:val="24"/>
          <w:highlight w:val="none"/>
          <w:u w:val="none" w:color="auto"/>
          <w:lang w:val="en-US" w:eastAsia="zh-CN"/>
        </w:rPr>
        <w:t>机加工车间废水（卫生废水、容器清洗废水、直接冷却废水）</w:t>
      </w:r>
      <w:r>
        <w:rPr>
          <w:rFonts w:hint="eastAsia" w:ascii="Times New Roman" w:hAnsi="Times New Roman" w:eastAsia="宋体" w:cs="Times New Roman"/>
          <w:strike w:val="0"/>
          <w:dstrike w:val="0"/>
          <w:color w:val="auto"/>
          <w:sz w:val="24"/>
          <w:szCs w:val="21"/>
          <w:highlight w:val="none"/>
          <w:u w:val="none" w:color="auto"/>
          <w:lang w:val="en-US" w:eastAsia="zh-CN"/>
        </w:rPr>
        <w:t>经沉淀池沉淀后可</w:t>
      </w:r>
      <w:r>
        <w:rPr>
          <w:rFonts w:hint="default" w:ascii="Times New Roman" w:hAnsi="Times New Roman" w:eastAsia="宋体" w:cs="Times New Roman"/>
          <w:strike w:val="0"/>
          <w:dstrike w:val="0"/>
          <w:color w:val="auto"/>
          <w:sz w:val="24"/>
          <w:szCs w:val="21"/>
          <w:highlight w:val="none"/>
          <w:u w:val="none" w:color="auto"/>
          <w:lang w:val="en-US" w:eastAsia="zh-CN"/>
        </w:rPr>
        <w:t>达到</w:t>
      </w:r>
      <w:r>
        <w:rPr>
          <w:rFonts w:hint="default" w:ascii="Times New Roman" w:hAnsi="Times New Roman" w:eastAsia="宋体" w:cs="Times New Roman"/>
          <w:color w:val="auto"/>
          <w:sz w:val="24"/>
          <w:szCs w:val="24"/>
          <w:highlight w:val="none"/>
          <w:u w:val="none" w:color="auto"/>
        </w:rPr>
        <w:t>《污水综合排放标准》（GB8978-1996）表4 三级标准、《污水排入城镇下水道水质标准》（GB/T31962-2015）B等级标准，同时满足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进水水质</w:t>
      </w:r>
      <w:r>
        <w:rPr>
          <w:rFonts w:hint="default" w:ascii="Times New Roman" w:hAnsi="Times New Roman" w:eastAsia="宋体" w:cs="Times New Roman"/>
          <w:strike w:val="0"/>
          <w:dstrike w:val="0"/>
          <w:color w:val="auto"/>
          <w:sz w:val="24"/>
          <w:szCs w:val="21"/>
          <w:highlight w:val="none"/>
          <w:u w:val="none" w:color="auto"/>
          <w:lang w:val="en-US" w:eastAsia="zh-CN"/>
        </w:rPr>
        <w:t>要求后排入松木污水处理厂，满足其接入水水质要求。项目排水量为</w:t>
      </w:r>
      <w:r>
        <w:rPr>
          <w:rFonts w:hint="eastAsia" w:ascii="Times New Roman" w:hAnsi="Times New Roman" w:eastAsia="宋体" w:cs="Times New Roman"/>
          <w:strike w:val="0"/>
          <w:dstrike w:val="0"/>
          <w:color w:val="auto"/>
          <w:sz w:val="24"/>
          <w:szCs w:val="21"/>
          <w:highlight w:val="none"/>
          <w:u w:val="none" w:color="auto"/>
          <w:lang w:val="en-US" w:eastAsia="zh-CN"/>
        </w:rPr>
        <w:t>47.2</w:t>
      </w:r>
      <w:r>
        <w:rPr>
          <w:rFonts w:hint="default" w:ascii="Times New Roman" w:hAnsi="Times New Roman" w:eastAsia="宋体" w:cs="Times New Roman"/>
          <w:strike w:val="0"/>
          <w:dstrike w:val="0"/>
          <w:color w:val="auto"/>
          <w:sz w:val="24"/>
          <w:szCs w:val="21"/>
          <w:highlight w:val="none"/>
          <w:u w:val="none" w:color="auto"/>
          <w:lang w:val="en-US" w:eastAsia="zh-CN"/>
        </w:rPr>
        <w:t>m</w:t>
      </w:r>
      <w:r>
        <w:rPr>
          <w:rFonts w:hint="default" w:ascii="Times New Roman" w:hAnsi="Times New Roman" w:eastAsia="宋体" w:cs="Times New Roman"/>
          <w:strike w:val="0"/>
          <w:dstrike w:val="0"/>
          <w:color w:val="auto"/>
          <w:sz w:val="24"/>
          <w:szCs w:val="21"/>
          <w:highlight w:val="none"/>
          <w:u w:val="none" w:color="auto"/>
          <w:vertAlign w:val="superscript"/>
          <w:lang w:val="en-US" w:eastAsia="zh-CN"/>
        </w:rPr>
        <w:t>3</w:t>
      </w:r>
      <w:r>
        <w:rPr>
          <w:rFonts w:hint="default" w:ascii="Times New Roman" w:hAnsi="Times New Roman" w:eastAsia="宋体" w:cs="Times New Roman"/>
          <w:strike w:val="0"/>
          <w:dstrike w:val="0"/>
          <w:color w:val="auto"/>
          <w:sz w:val="24"/>
          <w:szCs w:val="21"/>
          <w:highlight w:val="none"/>
          <w:u w:val="none" w:color="auto"/>
          <w:lang w:val="en-US" w:eastAsia="zh-CN"/>
        </w:rPr>
        <w:t>/d。</w:t>
      </w:r>
    </w:p>
    <w:p w14:paraId="0E9027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故本项目</w:t>
      </w:r>
      <w:r>
        <w:rPr>
          <w:rFonts w:hint="eastAsia" w:ascii="Times New Roman" w:hAnsi="Times New Roman" w:eastAsia="宋体" w:cs="Times New Roman"/>
          <w:strike w:val="0"/>
          <w:dstrike w:val="0"/>
          <w:color w:val="auto"/>
          <w:sz w:val="24"/>
          <w:szCs w:val="21"/>
          <w:highlight w:val="none"/>
          <w:u w:val="none" w:color="auto"/>
          <w:lang w:val="en-US" w:eastAsia="zh-CN"/>
        </w:rPr>
        <w:t>外排废水</w:t>
      </w:r>
      <w:r>
        <w:rPr>
          <w:rFonts w:hint="default" w:ascii="Times New Roman" w:hAnsi="Times New Roman" w:eastAsia="宋体" w:cs="Times New Roman"/>
          <w:strike w:val="0"/>
          <w:dstrike w:val="0"/>
          <w:color w:val="auto"/>
          <w:sz w:val="24"/>
          <w:szCs w:val="21"/>
          <w:highlight w:val="none"/>
          <w:u w:val="none" w:color="auto"/>
          <w:lang w:val="en-US" w:eastAsia="zh-CN"/>
        </w:rPr>
        <w:t>排放浓度和水量均满足松木污水处理厂进水要求，在其处理负荷范围内。因此，本项目废水依托松木污水处理厂处理可行。</w:t>
      </w:r>
    </w:p>
    <w:p w14:paraId="760966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项目</w:t>
      </w:r>
      <w:r>
        <w:rPr>
          <w:rFonts w:hint="eastAsia" w:ascii="Times New Roman" w:hAnsi="Times New Roman" w:eastAsia="宋体" w:cs="Times New Roman"/>
          <w:strike w:val="0"/>
          <w:dstrike w:val="0"/>
          <w:color w:val="auto"/>
          <w:sz w:val="24"/>
          <w:szCs w:val="21"/>
          <w:highlight w:val="none"/>
          <w:u w:val="none" w:color="auto"/>
          <w:lang w:val="en-US" w:eastAsia="zh-CN"/>
        </w:rPr>
        <w:t>外排废水</w:t>
      </w:r>
      <w:r>
        <w:rPr>
          <w:rFonts w:hint="default" w:ascii="Times New Roman" w:hAnsi="Times New Roman" w:eastAsia="宋体" w:cs="Times New Roman"/>
          <w:strike w:val="0"/>
          <w:dstrike w:val="0"/>
          <w:color w:val="auto"/>
          <w:sz w:val="24"/>
          <w:szCs w:val="21"/>
          <w:highlight w:val="none"/>
          <w:u w:val="none" w:color="auto"/>
          <w:lang w:val="en-US" w:eastAsia="zh-CN"/>
        </w:rPr>
        <w:t>经松木污水处理厂处理达标后排放到湘江，松木污水处理厂尾水排放口不在饮用水源保护区范围内，主要为工业用水区，故本项目废水通过上述措施处理后可达标排放，不会对周边环境造成明显的影响。</w:t>
      </w:r>
    </w:p>
    <w:p w14:paraId="6CB29E49">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7.2.3 地下水环境影响分析</w:t>
      </w:r>
    </w:p>
    <w:p w14:paraId="517A10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湖南捷瑞化工有限公司、湖南黎达化工有限公司、湖南锦轩化工有限公司、比亚迪产业园区等均位于松木工业园内，且在本项目地下水环境影响评价范围内，故本次环评引用以上项目地勘报告说明评价区域工程地质及水文地质情况。</w:t>
      </w:r>
    </w:p>
    <w:p w14:paraId="447E287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7.2.3.1区域工程地质条件</w:t>
      </w:r>
    </w:p>
    <w:p w14:paraId="14C6961A">
      <w:pPr>
        <w:pStyle w:val="61"/>
        <w:ind w:firstLine="480"/>
        <w:rPr>
          <w:rFonts w:hint="default" w:ascii="Times New Roman" w:hAnsi="Times New Roman" w:eastAsia="宋体" w:cs="Times New Roman"/>
          <w:strike w:val="0"/>
          <w:dstrike w:val="0"/>
          <w:color w:val="auto"/>
          <w:kern w:val="2"/>
          <w:sz w:val="24"/>
          <w:szCs w:val="21"/>
          <w:highlight w:val="none"/>
          <w:u w:val="none" w:color="auto"/>
          <w:lang w:val="en-US" w:eastAsia="zh-CN" w:bidi="ar-SA"/>
        </w:rPr>
      </w:pPr>
      <w:r>
        <w:rPr>
          <w:rFonts w:hint="default" w:ascii="Times New Roman" w:hAnsi="Times New Roman" w:eastAsia="宋体" w:cs="Times New Roman"/>
          <w:strike w:val="0"/>
          <w:dstrike w:val="0"/>
          <w:color w:val="auto"/>
          <w:kern w:val="2"/>
          <w:sz w:val="24"/>
          <w:szCs w:val="21"/>
          <w:highlight w:val="none"/>
          <w:u w:val="none" w:color="auto"/>
          <w:lang w:val="en-US" w:eastAsia="zh-CN" w:bidi="ar-SA"/>
        </w:rPr>
        <w:t xml:space="preserve">（1）区域地质构造 </w:t>
      </w:r>
    </w:p>
    <w:p w14:paraId="55503FCE">
      <w:pPr>
        <w:pStyle w:val="61"/>
        <w:ind w:firstLine="480"/>
        <w:rPr>
          <w:rFonts w:hint="default" w:ascii="Times New Roman" w:hAnsi="Times New Roman" w:eastAsia="宋体" w:cs="Times New Roman"/>
          <w:strike w:val="0"/>
          <w:dstrike w:val="0"/>
          <w:color w:val="auto"/>
          <w:kern w:val="2"/>
          <w:sz w:val="24"/>
          <w:szCs w:val="21"/>
          <w:highlight w:val="none"/>
          <w:u w:val="none" w:color="auto"/>
          <w:lang w:val="en-US" w:eastAsia="zh-CN" w:bidi="ar-SA"/>
        </w:rPr>
      </w:pPr>
      <w:r>
        <w:rPr>
          <w:rFonts w:hint="default" w:ascii="Times New Roman" w:hAnsi="Times New Roman" w:eastAsia="宋体" w:cs="Times New Roman"/>
          <w:strike w:val="0"/>
          <w:dstrike w:val="0"/>
          <w:color w:val="auto"/>
          <w:kern w:val="2"/>
          <w:sz w:val="24"/>
          <w:szCs w:val="21"/>
          <w:highlight w:val="none"/>
          <w:u w:val="none" w:color="auto"/>
          <w:lang w:val="en-US" w:eastAsia="zh-CN" w:bidi="ar-SA"/>
        </w:rPr>
        <w:t>根据工程地质调查，拟建地未见区域性活动断裂构造分布，地层分布较稳定。</w:t>
      </w:r>
    </w:p>
    <w:p w14:paraId="6643A96D">
      <w:pPr>
        <w:pStyle w:val="61"/>
        <w:ind w:firstLine="480"/>
        <w:rPr>
          <w:rFonts w:hint="default" w:ascii="Times New Roman" w:hAnsi="Times New Roman" w:eastAsia="宋体" w:cs="Times New Roman"/>
          <w:strike w:val="0"/>
          <w:dstrike w:val="0"/>
          <w:color w:val="auto"/>
          <w:kern w:val="2"/>
          <w:sz w:val="24"/>
          <w:szCs w:val="21"/>
          <w:highlight w:val="none"/>
          <w:u w:val="none" w:color="auto"/>
          <w:lang w:val="en-US" w:eastAsia="zh-CN" w:bidi="ar-SA"/>
        </w:rPr>
      </w:pPr>
      <w:r>
        <w:rPr>
          <w:rFonts w:hint="default" w:ascii="Times New Roman" w:hAnsi="Times New Roman" w:eastAsia="宋体" w:cs="Times New Roman"/>
          <w:strike w:val="0"/>
          <w:dstrike w:val="0"/>
          <w:color w:val="auto"/>
          <w:kern w:val="2"/>
          <w:sz w:val="24"/>
          <w:szCs w:val="21"/>
          <w:highlight w:val="none"/>
          <w:u w:val="none" w:color="auto"/>
          <w:lang w:val="en-US" w:eastAsia="zh-CN" w:bidi="ar-SA"/>
        </w:rPr>
        <w:t>（2）地形地貌</w:t>
      </w:r>
    </w:p>
    <w:p w14:paraId="5533D853">
      <w:pPr>
        <w:pStyle w:val="61"/>
        <w:ind w:firstLine="480"/>
        <w:rPr>
          <w:rFonts w:hint="default" w:ascii="Times New Roman" w:hAnsi="Times New Roman" w:eastAsia="宋体" w:cs="Times New Roman"/>
          <w:strike w:val="0"/>
          <w:dstrike w:val="0"/>
          <w:color w:val="auto"/>
          <w:kern w:val="2"/>
          <w:sz w:val="24"/>
          <w:szCs w:val="21"/>
          <w:highlight w:val="none"/>
          <w:u w:val="none" w:color="auto"/>
          <w:lang w:val="en-US" w:eastAsia="zh-CN" w:bidi="ar-SA"/>
        </w:rPr>
      </w:pPr>
      <w:r>
        <w:rPr>
          <w:rFonts w:hint="default" w:ascii="Times New Roman" w:hAnsi="Times New Roman" w:eastAsia="宋体" w:cs="Times New Roman"/>
          <w:strike w:val="0"/>
          <w:dstrike w:val="0"/>
          <w:color w:val="auto"/>
          <w:kern w:val="2"/>
          <w:sz w:val="24"/>
          <w:szCs w:val="21"/>
          <w:highlight w:val="none"/>
          <w:u w:val="none" w:color="auto"/>
          <w:lang w:val="en-US" w:eastAsia="zh-CN" w:bidi="ar-SA"/>
        </w:rPr>
        <w:t>本项目拟建地址位于湖南省衡阳市松木经济开发区，属于湖南省中南部，东依湘江。场地属低山丘陵和丘陵间的洼地，地形起伏不大，地面标高一般介于60~110m。</w:t>
      </w:r>
    </w:p>
    <w:p w14:paraId="2B75686F">
      <w:pPr>
        <w:pStyle w:val="61"/>
        <w:ind w:firstLine="480"/>
        <w:rPr>
          <w:rFonts w:hint="default" w:ascii="Times New Roman" w:hAnsi="Times New Roman" w:eastAsia="宋体" w:cs="Times New Roman"/>
          <w:strike w:val="0"/>
          <w:dstrike w:val="0"/>
          <w:color w:val="auto"/>
          <w:kern w:val="2"/>
          <w:sz w:val="24"/>
          <w:szCs w:val="21"/>
          <w:highlight w:val="none"/>
          <w:u w:val="none" w:color="auto"/>
          <w:lang w:val="en-US" w:eastAsia="zh-CN" w:bidi="ar-SA"/>
        </w:rPr>
      </w:pPr>
      <w:r>
        <w:rPr>
          <w:rFonts w:hint="default" w:ascii="Times New Roman" w:hAnsi="Times New Roman" w:eastAsia="宋体" w:cs="Times New Roman"/>
          <w:strike w:val="0"/>
          <w:dstrike w:val="0"/>
          <w:color w:val="auto"/>
          <w:kern w:val="2"/>
          <w:sz w:val="24"/>
          <w:szCs w:val="21"/>
          <w:highlight w:val="none"/>
          <w:u w:val="none" w:color="auto"/>
          <w:lang w:val="en-US" w:eastAsia="zh-CN" w:bidi="ar-SA"/>
        </w:rPr>
        <w:t>（3）地层岩性</w:t>
      </w:r>
    </w:p>
    <w:p w14:paraId="7D84600C">
      <w:pPr>
        <w:pStyle w:val="61"/>
        <w:ind w:firstLine="480"/>
        <w:rPr>
          <w:rFonts w:hint="default" w:ascii="Times New Roman" w:hAnsi="Times New Roman" w:eastAsia="宋体" w:cs="Times New Roman"/>
          <w:strike w:val="0"/>
          <w:dstrike w:val="0"/>
          <w:color w:val="auto"/>
          <w:kern w:val="2"/>
          <w:sz w:val="24"/>
          <w:szCs w:val="21"/>
          <w:highlight w:val="none"/>
          <w:u w:val="none" w:color="auto"/>
          <w:lang w:val="en-US" w:eastAsia="zh-CN" w:bidi="ar-SA"/>
        </w:rPr>
      </w:pPr>
      <w:r>
        <w:rPr>
          <w:rFonts w:hint="default" w:ascii="Times New Roman" w:hAnsi="Times New Roman" w:eastAsia="宋体" w:cs="Times New Roman"/>
          <w:strike w:val="0"/>
          <w:dstrike w:val="0"/>
          <w:color w:val="auto"/>
          <w:kern w:val="2"/>
          <w:sz w:val="24"/>
          <w:szCs w:val="21"/>
          <w:highlight w:val="none"/>
          <w:u w:val="none" w:color="auto"/>
          <w:lang w:val="en-US" w:eastAsia="zh-CN" w:bidi="ar-SA"/>
        </w:rPr>
        <w:t>根据对厂区内的场地及周边其他项目的场地钻探，厂区及周边项目地层主要有第四系人工填土（Qml）、粉质粘土（Qel）、圆砾（Qal）、古近系粉砂质泥岩（E）。</w:t>
      </w:r>
    </w:p>
    <w:p w14:paraId="0A3FCE2C">
      <w:pPr>
        <w:pStyle w:val="61"/>
        <w:ind w:firstLine="48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各地层特征依次描述如下：</w:t>
      </w:r>
    </w:p>
    <w:p w14:paraId="79065064">
      <w:pPr>
        <w:pStyle w:val="61"/>
        <w:ind w:firstLine="48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 xml:space="preserve">①人工填土（Q4ml ）：分层厚度 3.5~5m，杂色，松散，稍湿，主要组成 物为碎石、碎石块等，间隙充填少量粘性土，由人工回填而成，渗透性根据其堆 填土的性质及堆填的时间，差异很大，属中等透水~弱透水地层。 </w:t>
      </w:r>
    </w:p>
    <w:p w14:paraId="7C7FD8C8">
      <w:pPr>
        <w:pStyle w:val="61"/>
        <w:ind w:firstLine="48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②粉质黏土（Q4el ）：分层厚度 2.3~8.8m，褐红色，软可塑——硬塑，稍湿，主要组成物为粘粒、粉粒，干强度中等，韧性一般，无摇震反应，成分不均，渗透系数 K=2.68×10</w:t>
      </w:r>
      <w:r>
        <w:rPr>
          <w:rFonts w:hint="default" w:ascii="Times New Roman" w:hAnsi="Times New Roman" w:eastAsia="宋体" w:cs="Times New Roman"/>
          <w:color w:val="auto"/>
          <w:sz w:val="24"/>
          <w:highlight w:val="none"/>
          <w:u w:val="none" w:color="auto"/>
          <w:vertAlign w:val="superscript"/>
        </w:rPr>
        <w:t>-6</w:t>
      </w:r>
      <w:r>
        <w:rPr>
          <w:rFonts w:hint="default" w:ascii="Times New Roman" w:hAnsi="Times New Roman" w:eastAsia="宋体" w:cs="Times New Roman"/>
          <w:color w:val="auto"/>
          <w:sz w:val="24"/>
          <w:highlight w:val="none"/>
          <w:u w:val="none" w:color="auto"/>
        </w:rPr>
        <w:t>~3.75×10</w:t>
      </w:r>
      <w:r>
        <w:rPr>
          <w:rFonts w:hint="default" w:ascii="Times New Roman" w:hAnsi="Times New Roman" w:eastAsia="宋体" w:cs="Times New Roman"/>
          <w:color w:val="auto"/>
          <w:sz w:val="24"/>
          <w:highlight w:val="none"/>
          <w:u w:val="none" w:color="auto"/>
          <w:vertAlign w:val="superscript"/>
        </w:rPr>
        <w:t>-5</w:t>
      </w:r>
      <w:r>
        <w:rPr>
          <w:rFonts w:hint="default" w:ascii="Times New Roman" w:hAnsi="Times New Roman" w:eastAsia="宋体" w:cs="Times New Roman"/>
          <w:color w:val="auto"/>
          <w:sz w:val="24"/>
          <w:highlight w:val="none"/>
          <w:u w:val="none" w:color="auto"/>
        </w:rPr>
        <w:t>cm/s，属弱透水~微透水性地层。</w:t>
      </w:r>
    </w:p>
    <w:p w14:paraId="52DB4E32">
      <w:pPr>
        <w:pStyle w:val="61"/>
        <w:ind w:firstLine="48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 xml:space="preserve"> ③细砂（Q4al ）：分层厚度 1.7m~3m，灰白色，稍密，潮湿。以石英、 长石为主，细颗粒状，级配良好，含少量粘性土，渗透系数 K=5.79×10</w:t>
      </w:r>
      <w:r>
        <w:rPr>
          <w:rFonts w:hint="default" w:ascii="Times New Roman" w:hAnsi="Times New Roman" w:eastAsia="宋体" w:cs="Times New Roman"/>
          <w:color w:val="auto"/>
          <w:sz w:val="24"/>
          <w:highlight w:val="none"/>
          <w:u w:val="none" w:color="auto"/>
          <w:vertAlign w:val="superscript"/>
        </w:rPr>
        <w:t>-3</w:t>
      </w:r>
      <w:r>
        <w:rPr>
          <w:rFonts w:hint="default" w:ascii="Times New Roman" w:hAnsi="Times New Roman" w:eastAsia="宋体" w:cs="Times New Roman"/>
          <w:color w:val="auto"/>
          <w:sz w:val="24"/>
          <w:highlight w:val="none"/>
          <w:u w:val="none" w:color="auto"/>
        </w:rPr>
        <w:t>~1.16×10</w:t>
      </w:r>
      <w:r>
        <w:rPr>
          <w:rFonts w:hint="default" w:ascii="Times New Roman" w:hAnsi="Times New Roman" w:eastAsia="宋体" w:cs="Times New Roman"/>
          <w:color w:val="auto"/>
          <w:sz w:val="24"/>
          <w:highlight w:val="none"/>
          <w:u w:val="none" w:color="auto"/>
          <w:vertAlign w:val="superscript"/>
        </w:rPr>
        <w:t>-2</w:t>
      </w:r>
      <w:r>
        <w:rPr>
          <w:rFonts w:hint="default" w:ascii="Times New Roman" w:hAnsi="Times New Roman" w:eastAsia="宋体" w:cs="Times New Roman"/>
          <w:color w:val="auto"/>
          <w:sz w:val="24"/>
          <w:highlight w:val="none"/>
          <w:u w:val="none" w:color="auto"/>
        </w:rPr>
        <w:t xml:space="preserve">cm/s，属强透水性地层。 </w:t>
      </w:r>
    </w:p>
    <w:p w14:paraId="25A4182F">
      <w:pPr>
        <w:pStyle w:val="61"/>
        <w:ind w:firstLine="48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④粉砂质泥岩（E）：仅在黎达公司柱状点有钻探到，其他点位该层埋 深更深，以本次钻探的深度，其他点位未发现该岩层分布。紫红色，中风化，原岩结构可辨，岩芯呈（坚硬）密实土状，夹少量强风化岩块。吸水后易软化，崩解，渗透系数 K=5.79×10</w:t>
      </w:r>
      <w:r>
        <w:rPr>
          <w:rFonts w:hint="default" w:ascii="Times New Roman" w:hAnsi="Times New Roman" w:eastAsia="宋体" w:cs="Times New Roman"/>
          <w:color w:val="auto"/>
          <w:sz w:val="24"/>
          <w:highlight w:val="none"/>
          <w:u w:val="none" w:color="auto"/>
          <w:vertAlign w:val="superscript"/>
        </w:rPr>
        <w:t>-4</w:t>
      </w:r>
      <w:r>
        <w:rPr>
          <w:rFonts w:hint="default" w:ascii="Times New Roman" w:hAnsi="Times New Roman" w:eastAsia="宋体" w:cs="Times New Roman"/>
          <w:color w:val="auto"/>
          <w:sz w:val="24"/>
          <w:highlight w:val="none"/>
          <w:u w:val="none" w:color="auto"/>
        </w:rPr>
        <w:t>~1.16×10</w:t>
      </w:r>
      <w:r>
        <w:rPr>
          <w:rFonts w:hint="default" w:ascii="Times New Roman" w:hAnsi="Times New Roman" w:eastAsia="宋体" w:cs="Times New Roman"/>
          <w:color w:val="auto"/>
          <w:sz w:val="24"/>
          <w:highlight w:val="none"/>
          <w:u w:val="none" w:color="auto"/>
          <w:vertAlign w:val="superscript"/>
        </w:rPr>
        <w:t>-3</w:t>
      </w:r>
      <w:r>
        <w:rPr>
          <w:rFonts w:hint="default" w:ascii="Times New Roman" w:hAnsi="Times New Roman" w:eastAsia="宋体" w:cs="Times New Roman"/>
          <w:color w:val="auto"/>
          <w:sz w:val="24"/>
          <w:highlight w:val="none"/>
          <w:u w:val="none" w:color="auto"/>
        </w:rPr>
        <w:t>cm/s，属中等透水性地层。</w:t>
      </w:r>
    </w:p>
    <w:p w14:paraId="3FD627EE">
      <w:pPr>
        <w:pStyle w:val="61"/>
        <w:spacing w:line="240" w:lineRule="auto"/>
        <w:ind w:firstLine="0" w:firstLineChars="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drawing>
          <wp:inline distT="0" distB="0" distL="0" distR="0">
            <wp:extent cx="5638800" cy="808672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638800" cy="8086725"/>
                    </a:xfrm>
                    <a:prstGeom prst="rect">
                      <a:avLst/>
                    </a:prstGeom>
                    <a:noFill/>
                    <a:ln>
                      <a:noFill/>
                    </a:ln>
                  </pic:spPr>
                </pic:pic>
              </a:graphicData>
            </a:graphic>
          </wp:inline>
        </w:drawing>
      </w:r>
    </w:p>
    <w:p w14:paraId="45381300">
      <w:pPr>
        <w:pStyle w:val="11"/>
        <w:spacing w:before="93" w:after="93" w:line="240" w:lineRule="auto"/>
        <w:ind w:firstLine="0"/>
        <w:jc w:val="center"/>
        <w:rPr>
          <w:rFonts w:hint="default" w:ascii="Times New Roman" w:hAnsi="Times New Roman" w:eastAsia="宋体" w:cs="Times New Roman"/>
          <w:b/>
          <w:strike w:val="0"/>
          <w:dstrike w:val="0"/>
          <w:color w:val="auto"/>
          <w:kern w:val="2"/>
          <w:sz w:val="21"/>
          <w:szCs w:val="18"/>
          <w:highlight w:val="none"/>
          <w:u w:val="none" w:color="auto"/>
          <w:lang w:val="en-US" w:eastAsia="zh-CN" w:bidi="ar-SA"/>
        </w:rPr>
      </w:pPr>
      <w:r>
        <w:rPr>
          <w:rFonts w:hint="default" w:ascii="Times New Roman" w:hAnsi="Times New Roman" w:eastAsia="宋体" w:cs="Times New Roman"/>
          <w:b/>
          <w:strike w:val="0"/>
          <w:dstrike w:val="0"/>
          <w:color w:val="auto"/>
          <w:kern w:val="2"/>
          <w:sz w:val="21"/>
          <w:szCs w:val="18"/>
          <w:highlight w:val="none"/>
          <w:u w:val="none" w:color="auto"/>
          <w:lang w:val="en-US" w:eastAsia="zh-CN" w:bidi="ar-SA"/>
        </w:rPr>
        <w:t>图7.2-3 黎达化工厂区地勘柱状图</w:t>
      </w:r>
    </w:p>
    <w:p w14:paraId="1E4DBC1D">
      <w:pPr>
        <w:pStyle w:val="61"/>
        <w:spacing w:line="240" w:lineRule="auto"/>
        <w:ind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drawing>
          <wp:inline distT="0" distB="0" distL="0" distR="0">
            <wp:extent cx="5762625" cy="822960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62625" cy="8229600"/>
                    </a:xfrm>
                    <a:prstGeom prst="rect">
                      <a:avLst/>
                    </a:prstGeom>
                    <a:noFill/>
                    <a:ln>
                      <a:noFill/>
                    </a:ln>
                  </pic:spPr>
                </pic:pic>
              </a:graphicData>
            </a:graphic>
          </wp:inline>
        </w:drawing>
      </w:r>
    </w:p>
    <w:p w14:paraId="10F563F1">
      <w:pPr>
        <w:pStyle w:val="11"/>
        <w:spacing w:before="93" w:after="93" w:line="240" w:lineRule="auto"/>
        <w:ind w:firstLine="0"/>
        <w:jc w:val="center"/>
        <w:rPr>
          <w:rFonts w:hint="default" w:ascii="Times New Roman" w:hAnsi="Times New Roman" w:eastAsia="宋体" w:cs="Times New Roman"/>
          <w:b/>
          <w:strike w:val="0"/>
          <w:dstrike w:val="0"/>
          <w:color w:val="auto"/>
          <w:kern w:val="2"/>
          <w:sz w:val="21"/>
          <w:szCs w:val="18"/>
          <w:highlight w:val="none"/>
          <w:u w:val="none" w:color="auto"/>
          <w:lang w:val="en-US" w:eastAsia="zh-CN" w:bidi="ar-SA"/>
        </w:rPr>
      </w:pPr>
      <w:r>
        <w:rPr>
          <w:rFonts w:hint="default" w:ascii="Times New Roman" w:hAnsi="Times New Roman" w:eastAsia="宋体" w:cs="Times New Roman"/>
          <w:b/>
          <w:strike w:val="0"/>
          <w:dstrike w:val="0"/>
          <w:color w:val="auto"/>
          <w:kern w:val="2"/>
          <w:sz w:val="21"/>
          <w:szCs w:val="18"/>
          <w:highlight w:val="none"/>
          <w:u w:val="none" w:color="auto"/>
          <w:lang w:val="en-US" w:eastAsia="zh-CN" w:bidi="ar-SA"/>
        </w:rPr>
        <w:t>图7.2-4 锦轩化工厂区地勘柱状图</w:t>
      </w:r>
    </w:p>
    <w:p w14:paraId="64F3DF64">
      <w:pPr>
        <w:pStyle w:val="11"/>
        <w:spacing w:before="93" w:after="93" w:line="240" w:lineRule="auto"/>
        <w:ind w:firstLine="0"/>
        <w:jc w:val="center"/>
        <w:rPr>
          <w:rFonts w:hint="default" w:ascii="Times New Roman" w:hAnsi="Times New Roman" w:cs="Times New Roman"/>
          <w:b/>
          <w:color w:val="auto"/>
          <w:sz w:val="21"/>
          <w:szCs w:val="21"/>
          <w:highlight w:val="none"/>
          <w:u w:val="none" w:color="auto"/>
        </w:rPr>
      </w:pPr>
    </w:p>
    <w:p w14:paraId="0E36E9FB">
      <w:pPr>
        <w:pStyle w:val="11"/>
        <w:spacing w:before="93" w:after="93" w:line="240" w:lineRule="auto"/>
        <w:ind w:firstLine="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color w:val="auto"/>
          <w:highlight w:val="none"/>
          <w:u w:val="none" w:color="auto"/>
        </w:rPr>
        <w:drawing>
          <wp:inline distT="0" distB="0" distL="0" distR="0">
            <wp:extent cx="5762625" cy="822007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762625" cy="8220075"/>
                    </a:xfrm>
                    <a:prstGeom prst="rect">
                      <a:avLst/>
                    </a:prstGeom>
                    <a:noFill/>
                    <a:ln>
                      <a:noFill/>
                    </a:ln>
                  </pic:spPr>
                </pic:pic>
              </a:graphicData>
            </a:graphic>
          </wp:inline>
        </w:drawing>
      </w:r>
    </w:p>
    <w:p w14:paraId="0A740965">
      <w:pPr>
        <w:pStyle w:val="11"/>
        <w:spacing w:before="93" w:after="93" w:line="240" w:lineRule="auto"/>
        <w:ind w:firstLine="0"/>
        <w:jc w:val="center"/>
        <w:rPr>
          <w:rFonts w:hint="default" w:ascii="Times New Roman" w:hAnsi="Times New Roman" w:eastAsia="宋体" w:cs="Times New Roman"/>
          <w:b/>
          <w:strike w:val="0"/>
          <w:dstrike w:val="0"/>
          <w:color w:val="auto"/>
          <w:kern w:val="2"/>
          <w:sz w:val="21"/>
          <w:szCs w:val="18"/>
          <w:highlight w:val="none"/>
          <w:u w:val="none" w:color="auto"/>
          <w:lang w:val="en-US" w:eastAsia="zh-CN" w:bidi="ar-SA"/>
        </w:rPr>
      </w:pPr>
      <w:r>
        <w:rPr>
          <w:rFonts w:hint="default" w:ascii="Times New Roman" w:hAnsi="Times New Roman" w:eastAsia="宋体" w:cs="Times New Roman"/>
          <w:b/>
          <w:strike w:val="0"/>
          <w:dstrike w:val="0"/>
          <w:color w:val="auto"/>
          <w:kern w:val="2"/>
          <w:sz w:val="21"/>
          <w:szCs w:val="18"/>
          <w:highlight w:val="none"/>
          <w:u w:val="none" w:color="auto"/>
          <w:lang w:val="en-US" w:eastAsia="zh-CN" w:bidi="ar-SA"/>
        </w:rPr>
        <w:t>图7.2-5 捷瑞化工厂区地勘柱状图</w:t>
      </w:r>
    </w:p>
    <w:p w14:paraId="38CDF909">
      <w:pPr>
        <w:pStyle w:val="11"/>
        <w:spacing w:before="93" w:after="93" w:line="240" w:lineRule="auto"/>
        <w:ind w:firstLine="0"/>
        <w:jc w:val="center"/>
        <w:rPr>
          <w:rFonts w:hint="default" w:ascii="Times New Roman" w:hAnsi="Times New Roman" w:cs="Times New Roman"/>
          <w:b/>
          <w:color w:val="auto"/>
          <w:sz w:val="21"/>
          <w:szCs w:val="21"/>
          <w:highlight w:val="none"/>
          <w:u w:val="none" w:color="auto"/>
        </w:rPr>
      </w:pPr>
    </w:p>
    <w:p w14:paraId="2897198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7.2.3.2 区域水文地质条件</w:t>
      </w:r>
    </w:p>
    <w:p w14:paraId="176882F3">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highlight w:val="none"/>
          <w:u w:val="none" w:color="auto"/>
        </w:rPr>
      </w:pPr>
      <w:r>
        <w:rPr>
          <w:rFonts w:hint="default" w:ascii="Times New Roman" w:hAnsi="Times New Roman" w:eastAsia="宋体" w:cs="Times New Roman"/>
          <w:b/>
          <w:bCs/>
          <w:color w:val="auto"/>
          <w:sz w:val="24"/>
          <w:highlight w:val="none"/>
          <w:u w:val="none" w:color="auto"/>
          <w:lang w:eastAsia="zh-CN"/>
        </w:rPr>
        <w:t>（</w:t>
      </w:r>
      <w:r>
        <w:rPr>
          <w:rFonts w:hint="default" w:ascii="Times New Roman" w:hAnsi="Times New Roman" w:eastAsia="宋体" w:cs="Times New Roman"/>
          <w:b/>
          <w:bCs/>
          <w:color w:val="auto"/>
          <w:sz w:val="24"/>
          <w:highlight w:val="none"/>
          <w:u w:val="none" w:color="auto"/>
          <w:lang w:val="en-US" w:eastAsia="zh-CN"/>
        </w:rPr>
        <w:t>1</w:t>
      </w:r>
      <w:r>
        <w:rPr>
          <w:rFonts w:hint="default" w:ascii="Times New Roman" w:hAnsi="Times New Roman" w:eastAsia="宋体" w:cs="Times New Roman"/>
          <w:b/>
          <w:bCs/>
          <w:color w:val="auto"/>
          <w:sz w:val="24"/>
          <w:highlight w:val="none"/>
          <w:u w:val="none" w:color="auto"/>
          <w:lang w:eastAsia="zh-CN"/>
        </w:rPr>
        <w:t>）</w:t>
      </w:r>
      <w:r>
        <w:rPr>
          <w:rFonts w:hint="default" w:ascii="Times New Roman" w:hAnsi="Times New Roman" w:eastAsia="宋体" w:cs="Times New Roman"/>
          <w:b/>
          <w:bCs/>
          <w:color w:val="auto"/>
          <w:sz w:val="24"/>
          <w:highlight w:val="none"/>
          <w:u w:val="none" w:color="auto"/>
        </w:rPr>
        <w:t>含水岩组与地下水类型</w:t>
      </w:r>
    </w:p>
    <w:p w14:paraId="46774233">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区域地下水自上而下可划分为三个含水层，即风化裂隙潜水含水层，易于接受降雨的渗漏补给，径流条件好，常在丘陵谷地形成下降泉出露地表，流量随季节变化，枯水季显著减少或</w:t>
      </w:r>
      <w:r>
        <w:rPr>
          <w:rFonts w:hint="eastAsia" w:ascii="Times New Roman" w:hAnsi="Times New Roman" w:eastAsia="宋体" w:cs="Times New Roman"/>
          <w:color w:val="auto"/>
          <w:sz w:val="24"/>
          <w:highlight w:val="none"/>
          <w:u w:val="none" w:color="auto"/>
          <w:lang w:eastAsia="zh-CN"/>
        </w:rPr>
        <w:t>干涸</w:t>
      </w:r>
      <w:r>
        <w:rPr>
          <w:rFonts w:hint="default" w:ascii="Times New Roman" w:hAnsi="Times New Roman" w:eastAsia="宋体" w:cs="Times New Roman"/>
          <w:color w:val="auto"/>
          <w:sz w:val="24"/>
          <w:highlight w:val="none"/>
          <w:u w:val="none" w:color="auto"/>
        </w:rPr>
        <w:t>；裂隙承压水带，一般在地表以下40-120m 之间，含水层延伸不稳定，呈透镜状，地下水具承压；盐层上部盐水带，厚度5-20m不等，呈透镜状，溶蚀明显。</w:t>
      </w:r>
    </w:p>
    <w:p w14:paraId="029AD257">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①粉质粘土层</w:t>
      </w:r>
    </w:p>
    <w:p w14:paraId="124E5622">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该层含松散岩类孔隙水，大多承压。单井涌水量94.95-223.54m</w:t>
      </w:r>
      <w:r>
        <w:rPr>
          <w:rFonts w:hint="default" w:ascii="Times New Roman" w:hAnsi="Times New Roman" w:eastAsia="宋体" w:cs="Times New Roman"/>
          <w:color w:val="auto"/>
          <w:sz w:val="24"/>
          <w:highlight w:val="none"/>
          <w:u w:val="none" w:color="auto"/>
          <w:vertAlign w:val="superscript"/>
        </w:rPr>
        <w:t>3</w:t>
      </w:r>
      <w:r>
        <w:rPr>
          <w:rFonts w:hint="default" w:ascii="Times New Roman" w:hAnsi="Times New Roman" w:eastAsia="宋体" w:cs="Times New Roman"/>
          <w:color w:val="auto"/>
          <w:sz w:val="24"/>
          <w:highlight w:val="none"/>
          <w:u w:val="none" w:color="auto"/>
        </w:rPr>
        <w:t>/d，水量中渗透系数53.70-80.97m/d。水化学类型以HCO</w:t>
      </w:r>
      <w:r>
        <w:rPr>
          <w:rFonts w:hint="default" w:ascii="Times New Roman" w:hAnsi="Times New Roman" w:eastAsia="宋体" w:cs="Times New Roman"/>
          <w:color w:val="auto"/>
          <w:sz w:val="24"/>
          <w:highlight w:val="none"/>
          <w:u w:val="none" w:color="auto"/>
          <w:vertAlign w:val="subscript"/>
        </w:rPr>
        <w:t>3</w:t>
      </w:r>
      <w:r>
        <w:rPr>
          <w:rFonts w:hint="default" w:ascii="Times New Roman" w:hAnsi="Times New Roman" w:eastAsia="宋体" w:cs="Times New Roman"/>
          <w:color w:val="auto"/>
          <w:sz w:val="24"/>
          <w:highlight w:val="none"/>
          <w:u w:val="none" w:color="auto"/>
        </w:rPr>
        <w:t>-Ca（或Ca·Mg；Ca·K+Na；K+Na·Mg）、HCO</w:t>
      </w:r>
      <w:r>
        <w:rPr>
          <w:rFonts w:hint="default" w:ascii="Times New Roman" w:hAnsi="Times New Roman" w:eastAsia="宋体" w:cs="Times New Roman"/>
          <w:color w:val="auto"/>
          <w:sz w:val="24"/>
          <w:highlight w:val="none"/>
          <w:u w:val="none" w:color="auto"/>
          <w:vertAlign w:val="subscript"/>
        </w:rPr>
        <w:t>3</w:t>
      </w:r>
      <w:r>
        <w:rPr>
          <w:rFonts w:hint="default" w:ascii="Times New Roman" w:hAnsi="Times New Roman" w:eastAsia="宋体" w:cs="Times New Roman"/>
          <w:color w:val="auto"/>
          <w:sz w:val="24"/>
          <w:highlight w:val="none"/>
          <w:u w:val="none" w:color="auto"/>
        </w:rPr>
        <w:t>·Cl-Ca（或Ca·Mg；Ca·K+Na；K+Na·Mg）型水为主。总硬度一般为0.094-4.852mmol/L，矿化度一般小于0.5g/L，</w:t>
      </w:r>
      <w:r>
        <w:rPr>
          <w:rFonts w:hint="default" w:ascii="Times New Roman" w:hAnsi="Times New Roman" w:eastAsia="宋体" w:cs="Times New Roman"/>
          <w:color w:val="auto"/>
          <w:sz w:val="24"/>
          <w:highlight w:val="none"/>
          <w:u w:val="none" w:color="auto"/>
          <w:lang w:eastAsia="zh-CN"/>
        </w:rPr>
        <w:t>pH</w:t>
      </w:r>
      <w:r>
        <w:rPr>
          <w:rFonts w:hint="default" w:ascii="Times New Roman" w:hAnsi="Times New Roman" w:eastAsia="宋体" w:cs="Times New Roman"/>
          <w:color w:val="auto"/>
          <w:sz w:val="24"/>
          <w:highlight w:val="none"/>
          <w:u w:val="none" w:color="auto"/>
        </w:rPr>
        <w:t>值5.0-7。</w:t>
      </w:r>
    </w:p>
    <w:p w14:paraId="176C3796">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②圆砾层</w:t>
      </w:r>
    </w:p>
    <w:p w14:paraId="38E1C04C">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该层含松散类孔隙潜水，单井涌水量6.91m</w:t>
      </w:r>
      <w:r>
        <w:rPr>
          <w:rFonts w:hint="default" w:ascii="Times New Roman" w:hAnsi="Times New Roman" w:eastAsia="宋体" w:cs="Times New Roman"/>
          <w:color w:val="auto"/>
          <w:sz w:val="24"/>
          <w:highlight w:val="none"/>
          <w:u w:val="none" w:color="auto"/>
          <w:vertAlign w:val="superscript"/>
        </w:rPr>
        <w:t>3</w:t>
      </w:r>
      <w:r>
        <w:rPr>
          <w:rFonts w:hint="default" w:ascii="Times New Roman" w:hAnsi="Times New Roman" w:eastAsia="宋体" w:cs="Times New Roman"/>
          <w:color w:val="auto"/>
          <w:sz w:val="24"/>
          <w:highlight w:val="none"/>
          <w:u w:val="none" w:color="auto"/>
        </w:rPr>
        <w:t>/d，泉井流量小于0.5L/s，水量贫乏。水化学类型以HCO</w:t>
      </w:r>
      <w:r>
        <w:rPr>
          <w:rFonts w:hint="default" w:ascii="Times New Roman" w:hAnsi="Times New Roman" w:eastAsia="宋体" w:cs="Times New Roman"/>
          <w:color w:val="auto"/>
          <w:sz w:val="24"/>
          <w:highlight w:val="none"/>
          <w:u w:val="none" w:color="auto"/>
          <w:vertAlign w:val="subscript"/>
        </w:rPr>
        <w:t>3</w:t>
      </w:r>
      <w:r>
        <w:rPr>
          <w:rFonts w:hint="default" w:ascii="Times New Roman" w:hAnsi="Times New Roman" w:eastAsia="宋体" w:cs="Times New Roman"/>
          <w:color w:val="auto"/>
          <w:sz w:val="24"/>
          <w:highlight w:val="none"/>
          <w:u w:val="none" w:color="auto"/>
        </w:rPr>
        <w:t>-Ca（或Ca·K+Na；HCO</w:t>
      </w:r>
      <w:r>
        <w:rPr>
          <w:rFonts w:hint="default" w:ascii="Times New Roman" w:hAnsi="Times New Roman" w:eastAsia="宋体" w:cs="Times New Roman"/>
          <w:color w:val="auto"/>
          <w:sz w:val="24"/>
          <w:highlight w:val="none"/>
          <w:u w:val="none" w:color="auto"/>
          <w:vertAlign w:val="subscript"/>
        </w:rPr>
        <w:t>3</w:t>
      </w:r>
      <w:r>
        <w:rPr>
          <w:rFonts w:hint="default" w:ascii="Times New Roman" w:hAnsi="Times New Roman" w:eastAsia="宋体" w:cs="Times New Roman"/>
          <w:color w:val="auto"/>
          <w:sz w:val="24"/>
          <w:highlight w:val="none"/>
          <w:u w:val="none" w:color="auto"/>
        </w:rPr>
        <w:t>·Cl-Ca）型水为主。总硬度一般为0.134-0.724mmol/L，矿化度一般小于0.008-0.064g/L，</w:t>
      </w:r>
      <w:r>
        <w:rPr>
          <w:rFonts w:hint="default" w:ascii="Times New Roman" w:hAnsi="Times New Roman" w:eastAsia="宋体" w:cs="Times New Roman"/>
          <w:color w:val="auto"/>
          <w:sz w:val="24"/>
          <w:highlight w:val="none"/>
          <w:u w:val="none" w:color="auto"/>
          <w:lang w:eastAsia="zh-CN"/>
        </w:rPr>
        <w:t>pH</w:t>
      </w:r>
      <w:r>
        <w:rPr>
          <w:rFonts w:hint="default" w:ascii="Times New Roman" w:hAnsi="Times New Roman" w:eastAsia="宋体" w:cs="Times New Roman"/>
          <w:color w:val="auto"/>
          <w:sz w:val="24"/>
          <w:highlight w:val="none"/>
          <w:u w:val="none" w:color="auto"/>
        </w:rPr>
        <w:t>值5.1-6.5。</w:t>
      </w:r>
    </w:p>
    <w:p w14:paraId="33E80333">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③砂质泥岩层</w:t>
      </w:r>
    </w:p>
    <w:p w14:paraId="372A5826">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该层含红层溶孔裂隙水， 钻孔涌水量为100-500m</w:t>
      </w:r>
      <w:r>
        <w:rPr>
          <w:rFonts w:hint="default" w:ascii="Times New Roman" w:hAnsi="Times New Roman" w:eastAsia="宋体" w:cs="Times New Roman"/>
          <w:color w:val="auto"/>
          <w:sz w:val="24"/>
          <w:highlight w:val="none"/>
          <w:u w:val="none" w:color="auto"/>
          <w:vertAlign w:val="superscript"/>
        </w:rPr>
        <w:t>3</w:t>
      </w:r>
      <w:r>
        <w:rPr>
          <w:rFonts w:hint="default" w:ascii="Times New Roman" w:hAnsi="Times New Roman" w:eastAsia="宋体" w:cs="Times New Roman"/>
          <w:color w:val="auto"/>
          <w:sz w:val="24"/>
          <w:highlight w:val="none"/>
          <w:u w:val="none" w:color="auto"/>
        </w:rPr>
        <w:t>/d ， 地下迳流模数0.1667-0.6393L/s·km</w:t>
      </w:r>
      <w:r>
        <w:rPr>
          <w:rFonts w:hint="default" w:ascii="Times New Roman" w:hAnsi="Times New Roman" w:eastAsia="宋体" w:cs="Times New Roman"/>
          <w:color w:val="auto"/>
          <w:sz w:val="24"/>
          <w:highlight w:val="none"/>
          <w:u w:val="none" w:color="auto"/>
          <w:vertAlign w:val="superscript"/>
        </w:rPr>
        <w:t>2</w:t>
      </w:r>
      <w:r>
        <w:rPr>
          <w:rFonts w:hint="default" w:ascii="Times New Roman" w:hAnsi="Times New Roman" w:eastAsia="宋体" w:cs="Times New Roman"/>
          <w:color w:val="auto"/>
          <w:sz w:val="24"/>
          <w:highlight w:val="none"/>
          <w:u w:val="none" w:color="auto"/>
        </w:rPr>
        <w:t>，水量中等。水化学类型以HCO</w:t>
      </w:r>
      <w:r>
        <w:rPr>
          <w:rFonts w:hint="default" w:ascii="Times New Roman" w:hAnsi="Times New Roman" w:eastAsia="宋体" w:cs="Times New Roman"/>
          <w:color w:val="auto"/>
          <w:sz w:val="24"/>
          <w:highlight w:val="none"/>
          <w:u w:val="none" w:color="auto"/>
          <w:vertAlign w:val="subscript"/>
        </w:rPr>
        <w:t>3</w:t>
      </w:r>
      <w:r>
        <w:rPr>
          <w:rFonts w:hint="default" w:ascii="Times New Roman" w:hAnsi="Times New Roman" w:eastAsia="宋体" w:cs="Times New Roman"/>
          <w:color w:val="auto"/>
          <w:sz w:val="24"/>
          <w:highlight w:val="none"/>
          <w:u w:val="none" w:color="auto"/>
        </w:rPr>
        <w:t>-Ca（或Ca·Mg；Ca·Na+K）型水为主。总硬度一般为0.26-6.39mmol/L，矿化度一般小于0.012-0.654g/L，</w:t>
      </w:r>
      <w:r>
        <w:rPr>
          <w:rFonts w:hint="default" w:ascii="Times New Roman" w:hAnsi="Times New Roman" w:eastAsia="宋体" w:cs="Times New Roman"/>
          <w:color w:val="auto"/>
          <w:sz w:val="24"/>
          <w:highlight w:val="none"/>
          <w:u w:val="none" w:color="auto"/>
          <w:lang w:eastAsia="zh-CN"/>
        </w:rPr>
        <w:t>pH</w:t>
      </w:r>
      <w:r>
        <w:rPr>
          <w:rFonts w:hint="default" w:ascii="Times New Roman" w:hAnsi="Times New Roman" w:eastAsia="宋体" w:cs="Times New Roman"/>
          <w:color w:val="auto"/>
          <w:sz w:val="24"/>
          <w:highlight w:val="none"/>
          <w:u w:val="none" w:color="auto"/>
        </w:rPr>
        <w:t>值5.3-8.3。</w:t>
      </w:r>
    </w:p>
    <w:p w14:paraId="18BC2FE7">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highlight w:val="none"/>
          <w:u w:val="none" w:color="auto"/>
        </w:rPr>
      </w:pPr>
      <w:r>
        <w:rPr>
          <w:rFonts w:hint="default" w:ascii="Times New Roman" w:hAnsi="Times New Roman" w:eastAsia="宋体" w:cs="Times New Roman"/>
          <w:b/>
          <w:bCs/>
          <w:color w:val="auto"/>
          <w:sz w:val="24"/>
          <w:highlight w:val="none"/>
          <w:u w:val="none" w:color="auto"/>
          <w:lang w:eastAsia="zh-CN"/>
        </w:rPr>
        <w:t>（</w:t>
      </w:r>
      <w:r>
        <w:rPr>
          <w:rFonts w:hint="default" w:ascii="Times New Roman" w:hAnsi="Times New Roman" w:eastAsia="宋体" w:cs="Times New Roman"/>
          <w:b/>
          <w:bCs/>
          <w:color w:val="auto"/>
          <w:sz w:val="24"/>
          <w:highlight w:val="none"/>
          <w:u w:val="none" w:color="auto"/>
          <w:lang w:val="en-US" w:eastAsia="zh-CN"/>
        </w:rPr>
        <w:t>2</w:t>
      </w:r>
      <w:r>
        <w:rPr>
          <w:rFonts w:hint="default" w:ascii="Times New Roman" w:hAnsi="Times New Roman" w:eastAsia="宋体" w:cs="Times New Roman"/>
          <w:b/>
          <w:bCs/>
          <w:color w:val="auto"/>
          <w:sz w:val="24"/>
          <w:highlight w:val="none"/>
          <w:u w:val="none" w:color="auto"/>
          <w:lang w:eastAsia="zh-CN"/>
        </w:rPr>
        <w:t>）</w:t>
      </w:r>
      <w:r>
        <w:rPr>
          <w:rFonts w:hint="default" w:ascii="Times New Roman" w:hAnsi="Times New Roman" w:eastAsia="宋体" w:cs="Times New Roman"/>
          <w:b/>
          <w:bCs/>
          <w:color w:val="auto"/>
          <w:sz w:val="24"/>
          <w:highlight w:val="none"/>
          <w:u w:val="none" w:color="auto"/>
        </w:rPr>
        <w:t>地下水化学特征</w:t>
      </w:r>
    </w:p>
    <w:p w14:paraId="4A3F2E56">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根据水文地质资料调查，区内地下水基本呈中性，个别点呈现酸性水。水的硬度较大，一般为硬水。地下水化学类型为HCO</w:t>
      </w:r>
      <w:r>
        <w:rPr>
          <w:rFonts w:hint="default" w:ascii="Times New Roman" w:hAnsi="Times New Roman" w:eastAsia="宋体" w:cs="Times New Roman"/>
          <w:color w:val="auto"/>
          <w:sz w:val="24"/>
          <w:highlight w:val="none"/>
          <w:u w:val="none" w:color="auto"/>
          <w:vertAlign w:val="subscript"/>
        </w:rPr>
        <w:t>3</w:t>
      </w:r>
      <w:r>
        <w:rPr>
          <w:rFonts w:hint="default" w:ascii="Times New Roman" w:hAnsi="Times New Roman" w:eastAsia="宋体" w:cs="Times New Roman"/>
          <w:color w:val="auto"/>
          <w:sz w:val="24"/>
          <w:highlight w:val="none"/>
          <w:u w:val="none" w:color="auto"/>
        </w:rPr>
        <w:t>-Ca、HCO</w:t>
      </w:r>
      <w:r>
        <w:rPr>
          <w:rFonts w:hint="default" w:ascii="Times New Roman" w:hAnsi="Times New Roman" w:eastAsia="宋体" w:cs="Times New Roman"/>
          <w:color w:val="auto"/>
          <w:sz w:val="24"/>
          <w:highlight w:val="none"/>
          <w:u w:val="none" w:color="auto"/>
          <w:vertAlign w:val="subscript"/>
        </w:rPr>
        <w:t>3</w:t>
      </w:r>
      <w:r>
        <w:rPr>
          <w:rFonts w:hint="default" w:ascii="Times New Roman" w:hAnsi="Times New Roman" w:eastAsia="宋体" w:cs="Times New Roman"/>
          <w:color w:val="auto"/>
          <w:sz w:val="24"/>
          <w:highlight w:val="none"/>
          <w:u w:val="none" w:color="auto"/>
        </w:rPr>
        <w:t>·Cl-Ca 型水。</w:t>
      </w:r>
    </w:p>
    <w:p w14:paraId="69370E74">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highlight w:val="none"/>
          <w:u w:val="none" w:color="auto"/>
        </w:rPr>
      </w:pPr>
      <w:r>
        <w:rPr>
          <w:rFonts w:hint="default" w:ascii="Times New Roman" w:hAnsi="Times New Roman" w:eastAsia="宋体" w:cs="Times New Roman"/>
          <w:b/>
          <w:bCs/>
          <w:color w:val="auto"/>
          <w:sz w:val="24"/>
          <w:highlight w:val="none"/>
          <w:u w:val="none" w:color="auto"/>
          <w:lang w:eastAsia="zh-CN"/>
        </w:rPr>
        <w:t>（</w:t>
      </w:r>
      <w:r>
        <w:rPr>
          <w:rFonts w:hint="default" w:ascii="Times New Roman" w:hAnsi="Times New Roman" w:eastAsia="宋体" w:cs="Times New Roman"/>
          <w:b/>
          <w:bCs/>
          <w:color w:val="auto"/>
          <w:sz w:val="24"/>
          <w:highlight w:val="none"/>
          <w:u w:val="none" w:color="auto"/>
          <w:lang w:val="en-US" w:eastAsia="zh-CN"/>
        </w:rPr>
        <w:t>3</w:t>
      </w:r>
      <w:r>
        <w:rPr>
          <w:rFonts w:hint="default" w:ascii="Times New Roman" w:hAnsi="Times New Roman" w:eastAsia="宋体" w:cs="Times New Roman"/>
          <w:b/>
          <w:bCs/>
          <w:color w:val="auto"/>
          <w:sz w:val="24"/>
          <w:highlight w:val="none"/>
          <w:u w:val="none" w:color="auto"/>
          <w:lang w:eastAsia="zh-CN"/>
        </w:rPr>
        <w:t>）</w:t>
      </w:r>
      <w:r>
        <w:rPr>
          <w:rFonts w:hint="default" w:ascii="Times New Roman" w:hAnsi="Times New Roman" w:eastAsia="宋体" w:cs="Times New Roman"/>
          <w:b/>
          <w:bCs/>
          <w:color w:val="auto"/>
          <w:sz w:val="24"/>
          <w:highlight w:val="none"/>
          <w:u w:val="none" w:color="auto"/>
        </w:rPr>
        <w:t>水文地质概况</w:t>
      </w:r>
    </w:p>
    <w:p w14:paraId="525A3EAD">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项目区地下水类型为风化裂隙潜水含水层，评价范围内地表没有地下水天然露头，上覆粘土属不透水不含水，下伏风化裂隙水水量中等，项目场地内，枯季地下水埋深约为8m至10.5m，雨季地下水埋深7m左右。区域地下水补给源主要为大气降水，地下水流向由东向西径流，以裂隙流的形式排泄于湘江。</w:t>
      </w:r>
    </w:p>
    <w:p w14:paraId="798BB858">
      <w:pPr>
        <w:pStyle w:val="61"/>
        <w:spacing w:line="240" w:lineRule="auto"/>
        <w:ind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drawing>
          <wp:inline distT="0" distB="0" distL="0" distR="0">
            <wp:extent cx="5762625" cy="6124575"/>
            <wp:effectExtent l="0" t="0" r="952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762625" cy="6124575"/>
                    </a:xfrm>
                    <a:prstGeom prst="rect">
                      <a:avLst/>
                    </a:prstGeom>
                    <a:noFill/>
                    <a:ln>
                      <a:noFill/>
                    </a:ln>
                  </pic:spPr>
                </pic:pic>
              </a:graphicData>
            </a:graphic>
          </wp:inline>
        </w:drawing>
      </w:r>
    </w:p>
    <w:p w14:paraId="2F37BEA5">
      <w:pPr>
        <w:pStyle w:val="61"/>
        <w:spacing w:line="240" w:lineRule="auto"/>
        <w:ind w:firstLine="0" w:firstLineChars="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eastAsia="宋体" w:cs="Times New Roman"/>
          <w:b/>
          <w:strike w:val="0"/>
          <w:dstrike w:val="0"/>
          <w:color w:val="auto"/>
          <w:kern w:val="2"/>
          <w:sz w:val="21"/>
          <w:szCs w:val="18"/>
          <w:highlight w:val="none"/>
          <w:u w:val="none" w:color="auto"/>
          <w:lang w:val="en-US" w:eastAsia="zh-CN" w:bidi="ar-SA"/>
        </w:rPr>
        <w:t>图7.2-6 项目所在区域水文地质图（1：50000）</w:t>
      </w:r>
    </w:p>
    <w:p w14:paraId="743F1FC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7.2.3.3地下水的补给、径流、排泄条件</w:t>
      </w:r>
    </w:p>
    <w:p w14:paraId="2596877F">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区域地下水补给主要是大气降水补给，多以径流的形式侧向补给松散岩类孔隙水，其次是上游流入补给，局部是以泉的形式出露地表。地下水排泄方式以下游河流排泄补给地表水体、蒸发为主，以及人工开采等。地下水流向主要受地形影响从地势高的地方流向地势低的地方，总体走势从西向东流入湘江。</w:t>
      </w:r>
    </w:p>
    <w:p w14:paraId="53F5C52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7.2.3.4地下水动态</w:t>
      </w:r>
    </w:p>
    <w:p w14:paraId="2BCC3656">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本区地下水位年内动态：地下水位年内变化与降水量密切相关，动态类型为降水入渗—径流—蒸发—下游排泄型，季节性变化明显。每年10月底进入秋季的影响，降雨开始减少，水位由升转降，出现单独水文年最高水位。11月至次年5月水位明显下降，出现地下水位出现年内最低水位，6月至10月进入雨季，受降水入渗补给的影响，地下水位开始明显回升，出现年内最高水位。年内山谷观测点水位变化平均在1.0m左右。</w:t>
      </w:r>
    </w:p>
    <w:p w14:paraId="5C0B1B4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7.2.3.5水资源及其开发利用状况</w:t>
      </w:r>
    </w:p>
    <w:p w14:paraId="650CF65A">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目前地区生活用水取自水厂集中供水，不开采地下水作为生活用水。</w:t>
      </w:r>
    </w:p>
    <w:p w14:paraId="718FAA2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7.2.3.6地下水影响预测</w:t>
      </w:r>
    </w:p>
    <w:p w14:paraId="55EF1D80">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w:t>
      </w:r>
      <w:r>
        <w:rPr>
          <w:rFonts w:hint="default" w:ascii="Times New Roman" w:hAnsi="Times New Roman" w:eastAsia="宋体" w:cs="Times New Roman"/>
          <w:b w:val="0"/>
          <w:bCs w:val="0"/>
          <w:color w:val="auto"/>
          <w:sz w:val="24"/>
          <w:highlight w:val="none"/>
          <w:u w:val="none" w:color="auto"/>
          <w:lang w:val="en-US" w:eastAsia="zh-CN"/>
        </w:rPr>
        <w:t>1</w:t>
      </w:r>
      <w:r>
        <w:rPr>
          <w:rFonts w:hint="default" w:ascii="Times New Roman" w:hAnsi="Times New Roman" w:eastAsia="宋体" w:cs="Times New Roman"/>
          <w:b w:val="0"/>
          <w:bCs w:val="0"/>
          <w:color w:val="auto"/>
          <w:sz w:val="24"/>
          <w:highlight w:val="none"/>
          <w:u w:val="none" w:color="auto"/>
          <w:lang w:eastAsia="zh-CN"/>
        </w:rPr>
        <w:t>）地下水污染预测情景</w:t>
      </w:r>
    </w:p>
    <w:p w14:paraId="3E7B4D91">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根据《环境影响评价技术导则地下水环境》（HJ610-2016）对地下水环境影响预测的要求，一般情况下，建设项目需对正常状况和非正常状况的情景分别进行预测。</w:t>
      </w:r>
    </w:p>
    <w:p w14:paraId="0F683C28">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①正常状况</w:t>
      </w:r>
    </w:p>
    <w:p w14:paraId="229E8FD0">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 xml:space="preserve">本项目拟从工艺装置的设计、管道设计、地面硬化等各方面对项目所在装置区域进行较为全面的防渗措施。生产车间以及危废暂存库等的地面等作业场所均采用防渗漏水泥地坪，各污水均由污水管道收集，送至污水处理设施处理，正常情况下不会发生废水渗漏影响地下水的情况。 </w:t>
      </w:r>
    </w:p>
    <w:p w14:paraId="69E8D8D5">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生产废水经过厂区废水处理站处理后纳入回用于生产，不外排，正常工况下不会对地下水环境造成污染。生活污水经化粪池处理后，经园区污水处理厂进一步处理达标后外排。由于本项目拟采取严格的防渗、防溢流、液态物料管道输送等措施，正常工况下项目污水不会进入地下对地下水造成污染。</w:t>
      </w:r>
    </w:p>
    <w:p w14:paraId="12B291D5">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危险化学品仓库将严格按照有关规范要求采取防泄漏、防溢流、防腐蚀等措施，设截污导流沟并与应急事故池连接，泄漏的液体可确保进入事故池，环境风险可控。</w:t>
      </w:r>
    </w:p>
    <w:p w14:paraId="1C36886D">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根据现场调查分析，项目地使用市政自来水，地下水现状监测结果表明主要污染物没有出现超标现象，地下水未受到影响。本项目在建设和营运期，将采取严格的地下水防渗体系，地下水的污染影响不会超过现有水平。</w:t>
      </w:r>
    </w:p>
    <w:p w14:paraId="32B33ED6">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因此，项目建设后不会对周边地下水造成明显影响，本次环评也仅对项目非正常状态下对地下水环境影响进行预测和分析。</w:t>
      </w:r>
    </w:p>
    <w:p w14:paraId="26165D1B">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②非正常状况</w:t>
      </w:r>
    </w:p>
    <w:p w14:paraId="4A47E913">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非正常工况下或事故情况下本项目对地下水的各种潜在污染源、影响途径及影响分析详见下表。</w:t>
      </w:r>
    </w:p>
    <w:p w14:paraId="21D7317B">
      <w:pPr>
        <w:pStyle w:val="32"/>
        <w:ind w:left="0" w:leftChars="0" w:firstLine="0" w:firstLineChars="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表</w:t>
      </w:r>
      <w:r>
        <w:rPr>
          <w:rFonts w:hint="default" w:ascii="Times New Roman" w:hAnsi="Times New Roman" w:cs="Times New Roman"/>
          <w:b/>
          <w:color w:val="auto"/>
          <w:sz w:val="21"/>
          <w:szCs w:val="21"/>
          <w:highlight w:val="none"/>
          <w:u w:val="none" w:color="auto"/>
          <w:lang w:val="en-US" w:eastAsia="zh-CN"/>
        </w:rPr>
        <w:t>7</w:t>
      </w:r>
      <w:r>
        <w:rPr>
          <w:rFonts w:hint="default" w:ascii="Times New Roman" w:hAnsi="Times New Roman" w:cs="Times New Roman"/>
          <w:b/>
          <w:color w:val="auto"/>
          <w:sz w:val="21"/>
          <w:szCs w:val="21"/>
          <w:highlight w:val="none"/>
          <w:u w:val="none" w:color="auto"/>
        </w:rPr>
        <w:t>.2-</w:t>
      </w:r>
      <w:r>
        <w:rPr>
          <w:rFonts w:hint="default" w:ascii="Times New Roman" w:hAnsi="Times New Roman" w:cs="Times New Roman"/>
          <w:b/>
          <w:color w:val="auto"/>
          <w:sz w:val="21"/>
          <w:szCs w:val="21"/>
          <w:highlight w:val="none"/>
          <w:u w:val="none" w:color="auto"/>
          <w:lang w:val="en-US" w:eastAsia="zh-CN"/>
        </w:rPr>
        <w:t>9</w:t>
      </w:r>
      <w:r>
        <w:rPr>
          <w:rFonts w:hint="default" w:ascii="Times New Roman" w:hAnsi="Times New Roman" w:cs="Times New Roman"/>
          <w:b/>
          <w:color w:val="auto"/>
          <w:sz w:val="21"/>
          <w:szCs w:val="21"/>
          <w:highlight w:val="none"/>
          <w:u w:val="none" w:color="auto"/>
        </w:rPr>
        <w:t>非正常工况或事故状态下本项目运行的主要地下水环境影响分析</w:t>
      </w:r>
    </w:p>
    <w:tbl>
      <w:tblPr>
        <w:tblStyle w:val="22"/>
        <w:tblW w:w="495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3535"/>
        <w:gridCol w:w="3461"/>
      </w:tblGrid>
      <w:tr w14:paraId="1D1D5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4" w:type="pct"/>
            <w:noWrap w:val="0"/>
            <w:vAlign w:val="center"/>
          </w:tcPr>
          <w:p w14:paraId="63C2DB4D">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潜在污染源</w:t>
            </w:r>
          </w:p>
        </w:tc>
        <w:tc>
          <w:tcPr>
            <w:tcW w:w="2094" w:type="pct"/>
            <w:noWrap w:val="0"/>
            <w:vAlign w:val="center"/>
          </w:tcPr>
          <w:p w14:paraId="680F2376">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潜在污染途径</w:t>
            </w:r>
          </w:p>
        </w:tc>
        <w:tc>
          <w:tcPr>
            <w:tcW w:w="2050" w:type="pct"/>
            <w:noWrap w:val="0"/>
            <w:vAlign w:val="center"/>
          </w:tcPr>
          <w:p w14:paraId="56EE8870">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影响分析</w:t>
            </w:r>
          </w:p>
        </w:tc>
      </w:tr>
      <w:tr w14:paraId="2601E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4" w:type="pct"/>
            <w:noWrap w:val="0"/>
            <w:vAlign w:val="center"/>
          </w:tcPr>
          <w:p w14:paraId="3E5EC22C">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u w:val="single" w:color="auto"/>
              </w:rPr>
            </w:pPr>
            <w:r>
              <w:rPr>
                <w:rFonts w:hint="default" w:ascii="Times New Roman" w:hAnsi="Times New Roman" w:cs="Times New Roman"/>
                <w:color w:val="auto"/>
                <w:kern w:val="0"/>
                <w:sz w:val="21"/>
                <w:szCs w:val="21"/>
                <w:highlight w:val="none"/>
                <w:u w:val="single" w:color="auto"/>
              </w:rPr>
              <w:t>电镀车间</w:t>
            </w:r>
          </w:p>
        </w:tc>
        <w:tc>
          <w:tcPr>
            <w:tcW w:w="2094" w:type="pct"/>
            <w:noWrap w:val="0"/>
            <w:vAlign w:val="center"/>
          </w:tcPr>
          <w:p w14:paraId="0139A8AD">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u w:val="single" w:color="auto"/>
              </w:rPr>
            </w:pPr>
            <w:r>
              <w:rPr>
                <w:rFonts w:hint="default" w:ascii="Times New Roman" w:hAnsi="Times New Roman" w:cs="Times New Roman"/>
                <w:color w:val="auto"/>
                <w:kern w:val="0"/>
                <w:sz w:val="21"/>
                <w:szCs w:val="21"/>
                <w:highlight w:val="none"/>
                <w:u w:val="single" w:color="auto"/>
              </w:rPr>
              <w:t>由于车间内物料泄漏地面出现裂缝或防渗措施不到位，废水、危险废物以及化学原料发生滴漏或事故泄漏时可能通过裂缝渗入地下，对地下水质造成影响。</w:t>
            </w:r>
          </w:p>
        </w:tc>
        <w:tc>
          <w:tcPr>
            <w:tcW w:w="2050" w:type="pct"/>
            <w:noWrap w:val="0"/>
            <w:vAlign w:val="center"/>
          </w:tcPr>
          <w:p w14:paraId="0AFB3AFA">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u w:val="single" w:color="auto"/>
              </w:rPr>
            </w:pPr>
            <w:r>
              <w:rPr>
                <w:rFonts w:hint="default" w:ascii="Times New Roman" w:hAnsi="Times New Roman" w:cs="Times New Roman"/>
                <w:color w:val="auto"/>
                <w:kern w:val="0"/>
                <w:sz w:val="21"/>
                <w:szCs w:val="21"/>
                <w:highlight w:val="none"/>
                <w:u w:val="single" w:color="auto"/>
              </w:rPr>
              <w:t>固态物料泄漏可及时收集清理转移，</w:t>
            </w:r>
            <w:r>
              <w:rPr>
                <w:rFonts w:hint="default" w:ascii="Times New Roman" w:hAnsi="Times New Roman" w:cs="Times New Roman"/>
                <w:color w:val="auto"/>
                <w:kern w:val="0"/>
                <w:sz w:val="21"/>
                <w:szCs w:val="21"/>
                <w:highlight w:val="none"/>
                <w:u w:val="single" w:color="auto"/>
                <w:lang w:eastAsia="zh-CN"/>
              </w:rPr>
              <w:t>本项目各生产车间电镀槽主要采用架空方式布置（槽液泄漏后能及时发现），各车间地面均进行了防腐防渗处理，同时车间设置有排水槽、车间应急池，各车间槽液泄漏后基本不会渗漏至地下污染地下水。</w:t>
            </w:r>
          </w:p>
        </w:tc>
      </w:tr>
      <w:tr w14:paraId="4038D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4" w:type="pct"/>
            <w:noWrap w:val="0"/>
            <w:vAlign w:val="center"/>
          </w:tcPr>
          <w:p w14:paraId="5C72F792">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污水处理站</w:t>
            </w:r>
          </w:p>
        </w:tc>
        <w:tc>
          <w:tcPr>
            <w:tcW w:w="2094" w:type="pct"/>
            <w:noWrap w:val="0"/>
            <w:vAlign w:val="center"/>
          </w:tcPr>
          <w:p w14:paraId="72E1D504">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污水管道或污水池防渗层出现破损导致废水泄漏，渗入地下。</w:t>
            </w:r>
          </w:p>
        </w:tc>
        <w:tc>
          <w:tcPr>
            <w:tcW w:w="2050" w:type="pct"/>
            <w:noWrap w:val="0"/>
            <w:vAlign w:val="center"/>
          </w:tcPr>
          <w:p w14:paraId="69BD3348">
            <w:pPr>
              <w:pStyle w:val="3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污水管道采用明管形式，泄漏容易发现；设置地下水监测井可以及时发现污水处理站泄漏事故，只要及时采取措施，不会造成大面积地下水污染。</w:t>
            </w:r>
          </w:p>
        </w:tc>
      </w:tr>
    </w:tbl>
    <w:p w14:paraId="4676A4FD">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由上表可见，非正常工况或事故状态下，本项目电镀车间、污水处理站可能会有少量污染物通过破损的防渗层进入地下，对地下水造成一定影响；但由于污水管道布设在地面以上，泄漏易于被发现并阻断，不会导致大量污染物进入地下。</w:t>
      </w:r>
    </w:p>
    <w:p w14:paraId="0185E941">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w:t>
      </w:r>
      <w:r>
        <w:rPr>
          <w:rFonts w:hint="default" w:ascii="Times New Roman" w:hAnsi="Times New Roman" w:eastAsia="宋体" w:cs="Times New Roman"/>
          <w:b w:val="0"/>
          <w:bCs w:val="0"/>
          <w:color w:val="auto"/>
          <w:sz w:val="24"/>
          <w:highlight w:val="none"/>
          <w:u w:val="none" w:color="auto"/>
          <w:lang w:val="en-US" w:eastAsia="zh-CN"/>
        </w:rPr>
        <w:t>2</w:t>
      </w:r>
      <w:r>
        <w:rPr>
          <w:rFonts w:hint="default" w:ascii="Times New Roman" w:hAnsi="Times New Roman" w:eastAsia="宋体" w:cs="Times New Roman"/>
          <w:b w:val="0"/>
          <w:bCs w:val="0"/>
          <w:color w:val="auto"/>
          <w:sz w:val="24"/>
          <w:highlight w:val="none"/>
          <w:u w:val="none" w:color="auto"/>
          <w:lang w:eastAsia="zh-CN"/>
        </w:rPr>
        <w:t>）预测模式及预测参数选定</w:t>
      </w:r>
    </w:p>
    <w:p w14:paraId="25F01716">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highlight w:val="none"/>
          <w:u w:val="none" w:color="auto"/>
          <w:lang w:eastAsia="zh-CN"/>
        </w:rPr>
      </w:pPr>
      <w:r>
        <w:rPr>
          <w:rFonts w:hint="default" w:ascii="Times New Roman" w:hAnsi="Times New Roman" w:eastAsia="宋体" w:cs="Times New Roman"/>
          <w:b w:val="0"/>
          <w:bCs w:val="0"/>
          <w:color w:val="auto"/>
          <w:sz w:val="24"/>
          <w:highlight w:val="none"/>
          <w:u w:val="none" w:color="auto"/>
          <w:lang w:eastAsia="zh-CN"/>
        </w:rPr>
        <w:t>本次地下水评价主要目的是针对电镀废水处理区对地下水的污染情形进行研究，主要考虑因渗漏对地下水产生的影响。污水处理区一般不会发生泄漏事故，除非发生地震等自然灾害时，才会发生瞬时泄漏，本次评价不考虑以上地震等自然灾害的极端情况，仅考虑在防渗措施正常情况下，由于施工、运营过程中存在的一些工程瑕疵以及防渗工程本身的缺陷等，导致电镀废水渗漏到地下的情况。</w:t>
      </w:r>
    </w:p>
    <w:p w14:paraId="173F459E">
      <w:pPr>
        <w:pStyle w:val="6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u w:val="none" w:color="auto"/>
          <w:lang w:eastAsia="zh-CN"/>
        </w:rPr>
      </w:pPr>
      <w:r>
        <w:rPr>
          <w:rFonts w:hint="default" w:ascii="Times New Roman" w:hAnsi="Times New Roman" w:eastAsia="宋体" w:cs="Times New Roman"/>
          <w:b w:val="0"/>
          <w:bCs w:val="0"/>
          <w:color w:val="auto"/>
          <w:sz w:val="24"/>
          <w:szCs w:val="24"/>
          <w:highlight w:val="none"/>
          <w:u w:val="none" w:color="auto"/>
          <w:lang w:eastAsia="zh-CN"/>
        </w:rPr>
        <w:t>根据《环境影响评价技术导则—地下水环境》（HJ610-2016）推荐的一维半无限长多孔介质柱体，一端为定浓度边界模型，公式如下：</w:t>
      </w:r>
    </w:p>
    <w:p w14:paraId="045D87D4">
      <w:pPr>
        <w:spacing w:line="24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position w:val="-34"/>
          <w:sz w:val="24"/>
          <w:szCs w:val="24"/>
          <w:highlight w:val="none"/>
          <w:u w:val="none" w:color="auto"/>
        </w:rPr>
        <w:object>
          <v:shape id="_x0000_i1036" o:spt="75" type="#_x0000_t75" style="height:41.25pt;width:206.25pt;" o:ole="t" fillcolor="#CCE8CF" filled="f" o:preferrelative="t" stroked="f" coordsize="21600,21600">
            <v:path/>
            <v:fill on="f" color2="#CCE8CF" focussize="0,0"/>
            <v:stroke on="f" joinstyle="miter"/>
            <v:imagedata r:id="rId48" o:title=""/>
            <o:lock v:ext="edit" aspectratio="t"/>
            <w10:wrap type="none"/>
            <w10:anchorlock/>
          </v:shape>
          <o:OLEObject Type="Embed" ProgID="Equation.3" ShapeID="_x0000_i1036" DrawAspect="Content" ObjectID="_1468075736" r:id="rId47">
            <o:LockedField>false</o:LockedField>
          </o:OLEObject>
        </w:object>
      </w:r>
    </w:p>
    <w:p w14:paraId="587FF6EC">
      <w:pPr>
        <w:spacing w:line="44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式中：</w:t>
      </w:r>
    </w:p>
    <w:p w14:paraId="40EAB33E">
      <w:pPr>
        <w:spacing w:line="44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x—距注入点的距离；m；</w:t>
      </w:r>
    </w:p>
    <w:p w14:paraId="335DDA31">
      <w:pPr>
        <w:spacing w:line="44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t—时间，d；</w:t>
      </w:r>
    </w:p>
    <w:p w14:paraId="356160A9">
      <w:pPr>
        <w:spacing w:line="44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C—t时刻x处的示踪剂浓度，mg/L；</w:t>
      </w:r>
    </w:p>
    <w:p w14:paraId="2A9D6CE9">
      <w:pPr>
        <w:spacing w:line="44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0</w:t>
      </w:r>
      <w:r>
        <w:rPr>
          <w:rFonts w:hint="default" w:ascii="Times New Roman" w:hAnsi="Times New Roman" w:eastAsia="宋体" w:cs="Times New Roman"/>
          <w:color w:val="auto"/>
          <w:sz w:val="24"/>
          <w:szCs w:val="24"/>
          <w:highlight w:val="none"/>
          <w:u w:val="none" w:color="auto"/>
        </w:rPr>
        <w:t>—注入的示踪剂浓度，mg/L；</w:t>
      </w:r>
    </w:p>
    <w:p w14:paraId="32405C73">
      <w:pPr>
        <w:spacing w:line="44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u—水渗流速度，m/d；</w:t>
      </w:r>
    </w:p>
    <w:p w14:paraId="4A30943F">
      <w:pPr>
        <w:spacing w:line="44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D</w:t>
      </w:r>
      <w:r>
        <w:rPr>
          <w:rFonts w:hint="default" w:ascii="Times New Roman" w:hAnsi="Times New Roman" w:eastAsia="宋体" w:cs="Times New Roman"/>
          <w:color w:val="auto"/>
          <w:sz w:val="24"/>
          <w:szCs w:val="24"/>
          <w:highlight w:val="none"/>
          <w:u w:val="none" w:color="auto"/>
          <w:vertAlign w:val="subscript"/>
        </w:rPr>
        <w:t>L</w:t>
      </w:r>
      <w:r>
        <w:rPr>
          <w:rFonts w:hint="default" w:ascii="Times New Roman" w:hAnsi="Times New Roman" w:eastAsia="宋体" w:cs="Times New Roman"/>
          <w:color w:val="auto"/>
          <w:sz w:val="24"/>
          <w:szCs w:val="24"/>
          <w:highlight w:val="none"/>
          <w:u w:val="none" w:color="auto"/>
        </w:rPr>
        <w:t>—纵向弥散系数，m</w:t>
      </w:r>
      <w:r>
        <w:rPr>
          <w:rFonts w:hint="default" w:ascii="Times New Roman" w:hAnsi="Times New Roman" w:eastAsia="宋体" w:cs="Times New Roman"/>
          <w:color w:val="auto"/>
          <w:sz w:val="24"/>
          <w:szCs w:val="24"/>
          <w:highlight w:val="none"/>
          <w:u w:val="none" w:color="auto"/>
          <w:vertAlign w:val="superscript"/>
        </w:rPr>
        <w:t>2</w:t>
      </w:r>
      <w:r>
        <w:rPr>
          <w:rFonts w:hint="default" w:ascii="Times New Roman" w:hAnsi="Times New Roman" w:eastAsia="宋体" w:cs="Times New Roman"/>
          <w:color w:val="auto"/>
          <w:sz w:val="24"/>
          <w:szCs w:val="24"/>
          <w:highlight w:val="none"/>
          <w:u w:val="none" w:color="auto"/>
        </w:rPr>
        <w:t>/d；erfc()—余误差函数（可查《水文地质手册》获得）。</w:t>
      </w:r>
    </w:p>
    <w:p w14:paraId="0AEA08DC">
      <w:pPr>
        <w:spacing w:line="44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①预测参数选定</w:t>
      </w:r>
    </w:p>
    <w:p w14:paraId="3748C786">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计算参数根据场地地质勘查数据并根据含水层中砂砾石颗粒大小、颗粒均匀度和排列情况类比取得的水文地质参数。</w:t>
      </w:r>
    </w:p>
    <w:p w14:paraId="65075CAB">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地下水实际流速和弥散系数的确定按下列方法取得：</w:t>
      </w:r>
    </w:p>
    <w:p w14:paraId="339C8646">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U＝K×I／n</w:t>
      </w:r>
    </w:p>
    <w:p w14:paraId="6D387605">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D＝aL×U m</w:t>
      </w:r>
    </w:p>
    <w:p w14:paraId="14DAE976">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其中：U—地下水实际流速，m/d；</w:t>
      </w:r>
    </w:p>
    <w:p w14:paraId="2E6CCF35">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K—渗透系数，m/d；</w:t>
      </w:r>
    </w:p>
    <w:p w14:paraId="5277D562">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I—水力坡度，‰；</w:t>
      </w:r>
    </w:p>
    <w:p w14:paraId="3FEFE0BE">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n—孔隙度；</w:t>
      </w:r>
    </w:p>
    <w:p w14:paraId="6BB294F5">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D—弥散系数，m</w:t>
      </w:r>
      <w:r>
        <w:rPr>
          <w:rFonts w:hint="default" w:ascii="Times New Roman" w:hAnsi="Times New Roman" w:eastAsia="宋体" w:cs="Times New Roman"/>
          <w:color w:val="auto"/>
          <w:sz w:val="24"/>
          <w:szCs w:val="24"/>
          <w:highlight w:val="none"/>
          <w:u w:val="none" w:color="auto"/>
          <w:vertAlign w:val="superscript"/>
        </w:rPr>
        <w:t>2</w:t>
      </w:r>
      <w:r>
        <w:rPr>
          <w:rFonts w:hint="default" w:ascii="Times New Roman" w:hAnsi="Times New Roman" w:eastAsia="宋体" w:cs="Times New Roman"/>
          <w:color w:val="auto"/>
          <w:sz w:val="24"/>
          <w:szCs w:val="24"/>
          <w:highlight w:val="none"/>
          <w:u w:val="none" w:color="auto"/>
        </w:rPr>
        <w:t>/d；</w:t>
      </w:r>
    </w:p>
    <w:p w14:paraId="2FE9B472">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aL—弥散度，m；</w:t>
      </w:r>
    </w:p>
    <w:p w14:paraId="0D4DE2A3">
      <w:pPr>
        <w:pStyle w:val="61"/>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m—指数。</w:t>
      </w:r>
    </w:p>
    <w:p w14:paraId="27D9A4E4">
      <w:pPr>
        <w:spacing w:line="44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项目所在区域水文地质条件参数详见下表：</w:t>
      </w:r>
    </w:p>
    <w:p w14:paraId="68593C7A">
      <w:pPr>
        <w:pStyle w:val="11"/>
        <w:spacing w:before="93" w:after="93" w:line="240" w:lineRule="auto"/>
        <w:ind w:firstLine="0"/>
        <w:jc w:val="center"/>
        <w:rPr>
          <w:rFonts w:hint="default" w:ascii="Times New Roman" w:hAnsi="Times New Roman" w:eastAsia="宋体" w:cs="Times New Roman"/>
          <w:b/>
          <w:color w:val="auto"/>
          <w:kern w:val="2"/>
          <w:sz w:val="21"/>
          <w:szCs w:val="21"/>
          <w:highlight w:val="none"/>
          <w:u w:val="none" w:color="auto"/>
          <w:lang w:val="en-US" w:eastAsia="zh-CN" w:bidi="ar-SA"/>
        </w:rPr>
      </w:pPr>
      <w:r>
        <w:rPr>
          <w:rFonts w:hint="default" w:ascii="Times New Roman" w:hAnsi="Times New Roman" w:eastAsia="宋体" w:cs="Times New Roman"/>
          <w:b/>
          <w:color w:val="auto"/>
          <w:kern w:val="2"/>
          <w:sz w:val="21"/>
          <w:szCs w:val="21"/>
          <w:highlight w:val="none"/>
          <w:u w:val="none" w:color="auto"/>
          <w:lang w:val="en-US" w:eastAsia="zh-CN" w:bidi="ar-SA"/>
        </w:rPr>
        <w:t>表7.2-10  地下水含水层参数</w:t>
      </w:r>
    </w:p>
    <w:tbl>
      <w:tblPr>
        <w:tblStyle w:val="22"/>
        <w:tblW w:w="85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108" w:type="dxa"/>
          <w:bottom w:w="85" w:type="dxa"/>
          <w:right w:w="108" w:type="dxa"/>
        </w:tblCellMar>
      </w:tblPr>
      <w:tblGrid>
        <w:gridCol w:w="2495"/>
        <w:gridCol w:w="2104"/>
        <w:gridCol w:w="2262"/>
        <w:gridCol w:w="1737"/>
      </w:tblGrid>
      <w:tr w14:paraId="457FB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356" w:hRule="atLeast"/>
          <w:jc w:val="center"/>
        </w:trPr>
        <w:tc>
          <w:tcPr>
            <w:tcW w:w="2495" w:type="dxa"/>
            <w:tcMar>
              <w:top w:w="0" w:type="dxa"/>
              <w:left w:w="108" w:type="dxa"/>
              <w:bottom w:w="0" w:type="dxa"/>
              <w:right w:w="108" w:type="dxa"/>
            </w:tcMar>
            <w:vAlign w:val="center"/>
          </w:tcPr>
          <w:p w14:paraId="04CE79F0">
            <w:pPr>
              <w:widowControl/>
              <w:spacing w:line="240" w:lineRule="auto"/>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r>
              <w:rPr>
                <w:rFonts w:hint="default" w:ascii="Times New Roman" w:hAnsi="Times New Roman" w:eastAsia="宋体" w:cs="Times New Roman"/>
                <w:b w:val="0"/>
                <w:bCs/>
                <w:color w:val="auto"/>
                <w:kern w:val="2"/>
                <w:sz w:val="21"/>
                <w:szCs w:val="21"/>
                <w:highlight w:val="none"/>
                <w:u w:val="none" w:color="auto"/>
                <w:lang w:val="en-US" w:eastAsia="zh-CN" w:bidi="ar-SA"/>
              </w:rPr>
              <w:t>/</w:t>
            </w:r>
          </w:p>
        </w:tc>
        <w:tc>
          <w:tcPr>
            <w:tcW w:w="2104" w:type="dxa"/>
            <w:tcMar>
              <w:top w:w="0" w:type="dxa"/>
              <w:left w:w="108" w:type="dxa"/>
              <w:bottom w:w="0" w:type="dxa"/>
              <w:right w:w="108" w:type="dxa"/>
            </w:tcMar>
            <w:vAlign w:val="center"/>
          </w:tcPr>
          <w:p w14:paraId="3B3AC441">
            <w:pPr>
              <w:widowControl/>
              <w:spacing w:line="240" w:lineRule="auto"/>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r>
              <w:rPr>
                <w:rFonts w:hint="default" w:ascii="Times New Roman" w:hAnsi="Times New Roman" w:eastAsia="宋体" w:cs="Times New Roman"/>
                <w:b w:val="0"/>
                <w:bCs/>
                <w:color w:val="auto"/>
                <w:kern w:val="2"/>
                <w:sz w:val="21"/>
                <w:szCs w:val="21"/>
                <w:highlight w:val="none"/>
                <w:u w:val="none" w:color="auto"/>
                <w:lang w:val="en-US" w:eastAsia="zh-CN" w:bidi="ar-SA"/>
              </w:rPr>
              <w:t>渗透系数K（m/d）</w:t>
            </w:r>
          </w:p>
        </w:tc>
        <w:tc>
          <w:tcPr>
            <w:tcW w:w="2262" w:type="dxa"/>
            <w:tcMar>
              <w:top w:w="0" w:type="dxa"/>
              <w:left w:w="108" w:type="dxa"/>
              <w:bottom w:w="0" w:type="dxa"/>
              <w:right w:w="108" w:type="dxa"/>
            </w:tcMar>
            <w:vAlign w:val="center"/>
          </w:tcPr>
          <w:p w14:paraId="712F0D8E">
            <w:pPr>
              <w:widowControl/>
              <w:spacing w:line="240" w:lineRule="auto"/>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r>
              <w:rPr>
                <w:rFonts w:hint="default" w:ascii="Times New Roman" w:hAnsi="Times New Roman" w:eastAsia="宋体" w:cs="Times New Roman"/>
                <w:b w:val="0"/>
                <w:bCs/>
                <w:color w:val="auto"/>
                <w:kern w:val="2"/>
                <w:sz w:val="21"/>
                <w:szCs w:val="21"/>
                <w:highlight w:val="none"/>
                <w:u w:val="none" w:color="auto"/>
                <w:lang w:val="en-US" w:eastAsia="zh-CN" w:bidi="ar-SA"/>
              </w:rPr>
              <w:t>水力坡度I（‰）</w:t>
            </w:r>
          </w:p>
        </w:tc>
        <w:tc>
          <w:tcPr>
            <w:tcW w:w="1737" w:type="dxa"/>
            <w:tcMar>
              <w:top w:w="0" w:type="dxa"/>
              <w:left w:w="108" w:type="dxa"/>
              <w:bottom w:w="0" w:type="dxa"/>
              <w:right w:w="108" w:type="dxa"/>
            </w:tcMar>
            <w:vAlign w:val="center"/>
          </w:tcPr>
          <w:p w14:paraId="7E5E1099">
            <w:pPr>
              <w:widowControl/>
              <w:spacing w:line="240" w:lineRule="auto"/>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r>
              <w:rPr>
                <w:rFonts w:hint="default" w:ascii="Times New Roman" w:hAnsi="Times New Roman" w:eastAsia="宋体" w:cs="Times New Roman"/>
                <w:b w:val="0"/>
                <w:bCs/>
                <w:color w:val="auto"/>
                <w:kern w:val="2"/>
                <w:sz w:val="21"/>
                <w:szCs w:val="21"/>
                <w:highlight w:val="none"/>
                <w:u w:val="none" w:color="auto"/>
                <w:lang w:val="en-US" w:eastAsia="zh-CN" w:bidi="ar-SA"/>
              </w:rPr>
              <w:t>孔隙度n</w:t>
            </w:r>
          </w:p>
        </w:tc>
      </w:tr>
      <w:tr w14:paraId="27724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108" w:type="dxa"/>
            <w:bottom w:w="85" w:type="dxa"/>
            <w:right w:w="108" w:type="dxa"/>
          </w:tblCellMar>
        </w:tblPrEx>
        <w:trPr>
          <w:trHeight w:val="365" w:hRule="atLeast"/>
          <w:jc w:val="center"/>
        </w:trPr>
        <w:tc>
          <w:tcPr>
            <w:tcW w:w="2495" w:type="dxa"/>
            <w:tcMar>
              <w:top w:w="0" w:type="dxa"/>
              <w:left w:w="108" w:type="dxa"/>
              <w:bottom w:w="0" w:type="dxa"/>
              <w:right w:w="108" w:type="dxa"/>
            </w:tcMar>
            <w:vAlign w:val="center"/>
          </w:tcPr>
          <w:p w14:paraId="45DA056E">
            <w:pPr>
              <w:widowControl/>
              <w:spacing w:line="240" w:lineRule="auto"/>
              <w:jc w:val="center"/>
              <w:rPr>
                <w:rFonts w:hint="default" w:ascii="Times New Roman" w:hAnsi="Times New Roman" w:eastAsia="宋体" w:cs="Times New Roman"/>
                <w:b w:val="0"/>
                <w:bCs/>
                <w:color w:val="auto"/>
                <w:kern w:val="0"/>
                <w:sz w:val="21"/>
                <w:szCs w:val="21"/>
                <w:highlight w:val="none"/>
                <w:u w:val="none" w:color="auto"/>
              </w:rPr>
            </w:pPr>
            <w:r>
              <w:rPr>
                <w:rFonts w:hint="default" w:ascii="Times New Roman" w:hAnsi="Times New Roman" w:eastAsia="宋体" w:cs="Times New Roman"/>
                <w:b w:val="0"/>
                <w:bCs/>
                <w:color w:val="auto"/>
                <w:kern w:val="0"/>
                <w:sz w:val="21"/>
                <w:szCs w:val="21"/>
                <w:highlight w:val="none"/>
                <w:u w:val="none" w:color="auto"/>
              </w:rPr>
              <w:t>项目建设区含水层</w:t>
            </w:r>
          </w:p>
        </w:tc>
        <w:tc>
          <w:tcPr>
            <w:tcW w:w="2104" w:type="dxa"/>
            <w:tcMar>
              <w:top w:w="0" w:type="dxa"/>
              <w:left w:w="108" w:type="dxa"/>
              <w:bottom w:w="0" w:type="dxa"/>
              <w:right w:w="108" w:type="dxa"/>
            </w:tcMar>
            <w:vAlign w:val="center"/>
          </w:tcPr>
          <w:p w14:paraId="4E109F37">
            <w:pPr>
              <w:widowControl/>
              <w:spacing w:line="240" w:lineRule="auto"/>
              <w:jc w:val="center"/>
              <w:rPr>
                <w:rFonts w:hint="default" w:ascii="Times New Roman" w:hAnsi="Times New Roman" w:eastAsia="宋体" w:cs="Times New Roman"/>
                <w:b w:val="0"/>
                <w:bCs/>
                <w:color w:val="auto"/>
                <w:kern w:val="0"/>
                <w:sz w:val="21"/>
                <w:szCs w:val="21"/>
                <w:highlight w:val="none"/>
                <w:u w:val="none" w:color="auto"/>
              </w:rPr>
            </w:pPr>
            <w:r>
              <w:rPr>
                <w:rFonts w:hint="default" w:ascii="Times New Roman" w:hAnsi="Times New Roman" w:eastAsia="宋体" w:cs="Times New Roman"/>
                <w:b w:val="0"/>
                <w:bCs/>
                <w:color w:val="auto"/>
                <w:kern w:val="0"/>
                <w:sz w:val="21"/>
                <w:szCs w:val="21"/>
                <w:highlight w:val="none"/>
                <w:u w:val="none" w:color="auto"/>
              </w:rPr>
              <w:t>0.75</w:t>
            </w:r>
          </w:p>
        </w:tc>
        <w:tc>
          <w:tcPr>
            <w:tcW w:w="2262" w:type="dxa"/>
            <w:tcMar>
              <w:top w:w="0" w:type="dxa"/>
              <w:left w:w="108" w:type="dxa"/>
              <w:bottom w:w="0" w:type="dxa"/>
              <w:right w:w="108" w:type="dxa"/>
            </w:tcMar>
            <w:vAlign w:val="center"/>
          </w:tcPr>
          <w:p w14:paraId="6EF27AAD">
            <w:pPr>
              <w:widowControl/>
              <w:spacing w:line="240" w:lineRule="auto"/>
              <w:jc w:val="center"/>
              <w:rPr>
                <w:rFonts w:hint="default" w:ascii="Times New Roman" w:hAnsi="Times New Roman" w:eastAsia="宋体" w:cs="Times New Roman"/>
                <w:b w:val="0"/>
                <w:bCs/>
                <w:color w:val="auto"/>
                <w:kern w:val="0"/>
                <w:sz w:val="21"/>
                <w:szCs w:val="21"/>
                <w:highlight w:val="none"/>
                <w:u w:val="none" w:color="auto"/>
              </w:rPr>
            </w:pPr>
            <w:r>
              <w:rPr>
                <w:rFonts w:hint="default" w:ascii="Times New Roman" w:hAnsi="Times New Roman" w:eastAsia="宋体" w:cs="Times New Roman"/>
                <w:b w:val="0"/>
                <w:bCs/>
                <w:color w:val="auto"/>
                <w:kern w:val="0"/>
                <w:sz w:val="21"/>
                <w:szCs w:val="21"/>
                <w:highlight w:val="none"/>
                <w:u w:val="none" w:color="auto"/>
              </w:rPr>
              <w:t>0.057</w:t>
            </w:r>
          </w:p>
        </w:tc>
        <w:tc>
          <w:tcPr>
            <w:tcW w:w="1737" w:type="dxa"/>
            <w:tcMar>
              <w:top w:w="0" w:type="dxa"/>
              <w:left w:w="108" w:type="dxa"/>
              <w:bottom w:w="0" w:type="dxa"/>
              <w:right w:w="108" w:type="dxa"/>
            </w:tcMar>
            <w:vAlign w:val="center"/>
          </w:tcPr>
          <w:p w14:paraId="6F29BCA7">
            <w:pPr>
              <w:widowControl/>
              <w:spacing w:line="240" w:lineRule="auto"/>
              <w:jc w:val="center"/>
              <w:rPr>
                <w:rFonts w:hint="default" w:ascii="Times New Roman" w:hAnsi="Times New Roman" w:eastAsia="宋体" w:cs="Times New Roman"/>
                <w:b w:val="0"/>
                <w:bCs/>
                <w:color w:val="auto"/>
                <w:kern w:val="0"/>
                <w:sz w:val="21"/>
                <w:szCs w:val="21"/>
                <w:highlight w:val="none"/>
                <w:u w:val="none" w:color="auto"/>
              </w:rPr>
            </w:pPr>
            <w:r>
              <w:rPr>
                <w:rFonts w:hint="default" w:ascii="Times New Roman" w:hAnsi="Times New Roman" w:eastAsia="宋体" w:cs="Times New Roman"/>
                <w:b w:val="0"/>
                <w:bCs/>
                <w:color w:val="auto"/>
                <w:kern w:val="0"/>
                <w:sz w:val="21"/>
                <w:szCs w:val="21"/>
                <w:highlight w:val="none"/>
                <w:u w:val="none" w:color="auto"/>
              </w:rPr>
              <w:t>0.30</w:t>
            </w:r>
          </w:p>
        </w:tc>
      </w:tr>
    </w:tbl>
    <w:p w14:paraId="72327488">
      <w:pPr>
        <w:pStyle w:val="11"/>
        <w:spacing w:before="93" w:after="93" w:line="240" w:lineRule="auto"/>
        <w:ind w:firstLine="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w:t>
      </w:r>
      <w:r>
        <w:rPr>
          <w:rFonts w:hint="default" w:ascii="Times New Roman" w:hAnsi="Times New Roman" w:eastAsia="宋体" w:cs="Times New Roman"/>
          <w:b/>
          <w:color w:val="auto"/>
          <w:sz w:val="21"/>
          <w:szCs w:val="21"/>
          <w:highlight w:val="none"/>
          <w:u w:val="none" w:color="auto"/>
          <w:lang w:val="en-US" w:eastAsia="zh-CN"/>
        </w:rPr>
        <w:t>7.2</w:t>
      </w:r>
      <w:r>
        <w:rPr>
          <w:rFonts w:hint="default" w:ascii="Times New Roman" w:hAnsi="Times New Roman" w:eastAsia="宋体" w:cs="Times New Roman"/>
          <w:b/>
          <w:color w:val="auto"/>
          <w:sz w:val="21"/>
          <w:szCs w:val="21"/>
          <w:highlight w:val="none"/>
          <w:u w:val="none" w:color="auto"/>
        </w:rPr>
        <w:t>-</w:t>
      </w:r>
      <w:r>
        <w:rPr>
          <w:rFonts w:hint="default" w:ascii="Times New Roman" w:hAnsi="Times New Roman" w:eastAsia="宋体" w:cs="Times New Roman"/>
          <w:b/>
          <w:color w:val="auto"/>
          <w:sz w:val="21"/>
          <w:szCs w:val="21"/>
          <w:highlight w:val="none"/>
          <w:u w:val="none" w:color="auto"/>
          <w:lang w:val="en-US" w:eastAsia="zh-CN"/>
        </w:rPr>
        <w:t>11</w:t>
      </w:r>
      <w:r>
        <w:rPr>
          <w:rFonts w:hint="default" w:ascii="Times New Roman" w:hAnsi="Times New Roman" w:eastAsia="宋体" w:cs="Times New Roman"/>
          <w:b/>
          <w:color w:val="auto"/>
          <w:sz w:val="21"/>
          <w:szCs w:val="21"/>
          <w:highlight w:val="none"/>
          <w:u w:val="none" w:color="auto"/>
        </w:rPr>
        <w:t xml:space="preserve">  含水层弥散度类比取值表</w:t>
      </w:r>
    </w:p>
    <w:tbl>
      <w:tblPr>
        <w:tblStyle w:val="22"/>
        <w:tblW w:w="86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2635"/>
        <w:gridCol w:w="1950"/>
        <w:gridCol w:w="1924"/>
        <w:gridCol w:w="2128"/>
      </w:tblGrid>
      <w:tr w14:paraId="10D29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01" w:hRule="atLeast"/>
          <w:jc w:val="center"/>
        </w:trPr>
        <w:tc>
          <w:tcPr>
            <w:tcW w:w="2635" w:type="dxa"/>
            <w:tcMar>
              <w:top w:w="0" w:type="dxa"/>
              <w:left w:w="108" w:type="dxa"/>
              <w:bottom w:w="0" w:type="dxa"/>
              <w:right w:w="108" w:type="dxa"/>
            </w:tcMar>
            <w:vAlign w:val="center"/>
          </w:tcPr>
          <w:p w14:paraId="51AB443D">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粒径变化范围（mm）</w:t>
            </w:r>
          </w:p>
        </w:tc>
        <w:tc>
          <w:tcPr>
            <w:tcW w:w="1950" w:type="dxa"/>
            <w:tcMar>
              <w:top w:w="0" w:type="dxa"/>
              <w:left w:w="108" w:type="dxa"/>
              <w:bottom w:w="0" w:type="dxa"/>
              <w:right w:w="108" w:type="dxa"/>
            </w:tcMar>
            <w:vAlign w:val="center"/>
          </w:tcPr>
          <w:p w14:paraId="6AB58E74">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均匀度系数</w:t>
            </w:r>
          </w:p>
        </w:tc>
        <w:tc>
          <w:tcPr>
            <w:tcW w:w="1924" w:type="dxa"/>
            <w:tcMar>
              <w:top w:w="0" w:type="dxa"/>
              <w:left w:w="108" w:type="dxa"/>
              <w:bottom w:w="0" w:type="dxa"/>
              <w:right w:w="108" w:type="dxa"/>
            </w:tcMar>
            <w:vAlign w:val="center"/>
          </w:tcPr>
          <w:p w14:paraId="2FECFBA8">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指数m</w:t>
            </w:r>
          </w:p>
        </w:tc>
        <w:tc>
          <w:tcPr>
            <w:tcW w:w="2128" w:type="dxa"/>
            <w:tcMar>
              <w:top w:w="0" w:type="dxa"/>
              <w:left w:w="108" w:type="dxa"/>
              <w:bottom w:w="0" w:type="dxa"/>
              <w:right w:w="108" w:type="dxa"/>
            </w:tcMar>
            <w:vAlign w:val="center"/>
          </w:tcPr>
          <w:p w14:paraId="2111EAF3">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弥散度aL（m）</w:t>
            </w:r>
          </w:p>
        </w:tc>
      </w:tr>
      <w:tr w14:paraId="3778D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9" w:hRule="atLeast"/>
          <w:jc w:val="center"/>
        </w:trPr>
        <w:tc>
          <w:tcPr>
            <w:tcW w:w="2635" w:type="dxa"/>
            <w:tcMar>
              <w:top w:w="0" w:type="dxa"/>
              <w:left w:w="108" w:type="dxa"/>
              <w:bottom w:w="0" w:type="dxa"/>
              <w:right w:w="108" w:type="dxa"/>
            </w:tcMar>
            <w:vAlign w:val="center"/>
          </w:tcPr>
          <w:p w14:paraId="706845F7">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0.4-0.7</w:t>
            </w:r>
          </w:p>
        </w:tc>
        <w:tc>
          <w:tcPr>
            <w:tcW w:w="1950" w:type="dxa"/>
            <w:tcMar>
              <w:top w:w="0" w:type="dxa"/>
              <w:left w:w="108" w:type="dxa"/>
              <w:bottom w:w="0" w:type="dxa"/>
              <w:right w:w="108" w:type="dxa"/>
            </w:tcMar>
            <w:vAlign w:val="center"/>
          </w:tcPr>
          <w:p w14:paraId="56F61650">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1.55</w:t>
            </w:r>
          </w:p>
        </w:tc>
        <w:tc>
          <w:tcPr>
            <w:tcW w:w="1924" w:type="dxa"/>
            <w:tcMar>
              <w:top w:w="0" w:type="dxa"/>
              <w:left w:w="108" w:type="dxa"/>
              <w:bottom w:w="0" w:type="dxa"/>
              <w:right w:w="108" w:type="dxa"/>
            </w:tcMar>
            <w:vAlign w:val="center"/>
          </w:tcPr>
          <w:p w14:paraId="11B12D14">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1.09</w:t>
            </w:r>
          </w:p>
        </w:tc>
        <w:tc>
          <w:tcPr>
            <w:tcW w:w="2128" w:type="dxa"/>
            <w:tcMar>
              <w:top w:w="0" w:type="dxa"/>
              <w:left w:w="108" w:type="dxa"/>
              <w:bottom w:w="0" w:type="dxa"/>
              <w:right w:w="108" w:type="dxa"/>
            </w:tcMar>
            <w:vAlign w:val="center"/>
          </w:tcPr>
          <w:p w14:paraId="5D794E1A">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3.96×10</w:t>
            </w:r>
            <w:r>
              <w:rPr>
                <w:rFonts w:hint="default" w:ascii="Times New Roman" w:hAnsi="Times New Roman" w:eastAsia="宋体" w:cs="Times New Roman"/>
                <w:color w:val="auto"/>
                <w:kern w:val="0"/>
                <w:sz w:val="21"/>
                <w:szCs w:val="21"/>
                <w:highlight w:val="none"/>
                <w:u w:val="none" w:color="auto"/>
                <w:vertAlign w:val="superscript"/>
              </w:rPr>
              <w:t>-3</w:t>
            </w:r>
          </w:p>
        </w:tc>
      </w:tr>
      <w:tr w14:paraId="20863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9" w:hRule="atLeast"/>
          <w:jc w:val="center"/>
        </w:trPr>
        <w:tc>
          <w:tcPr>
            <w:tcW w:w="2635" w:type="dxa"/>
            <w:tcMar>
              <w:top w:w="0" w:type="dxa"/>
              <w:left w:w="108" w:type="dxa"/>
              <w:bottom w:w="0" w:type="dxa"/>
              <w:right w:w="108" w:type="dxa"/>
            </w:tcMar>
            <w:vAlign w:val="center"/>
          </w:tcPr>
          <w:p w14:paraId="1E999F49">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0.5-1.5</w:t>
            </w:r>
          </w:p>
        </w:tc>
        <w:tc>
          <w:tcPr>
            <w:tcW w:w="1950" w:type="dxa"/>
            <w:tcMar>
              <w:top w:w="0" w:type="dxa"/>
              <w:left w:w="108" w:type="dxa"/>
              <w:bottom w:w="0" w:type="dxa"/>
              <w:right w:w="108" w:type="dxa"/>
            </w:tcMar>
            <w:vAlign w:val="center"/>
          </w:tcPr>
          <w:p w14:paraId="0B23C53B">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1.85</w:t>
            </w:r>
          </w:p>
        </w:tc>
        <w:tc>
          <w:tcPr>
            <w:tcW w:w="1924" w:type="dxa"/>
            <w:tcMar>
              <w:top w:w="0" w:type="dxa"/>
              <w:left w:w="108" w:type="dxa"/>
              <w:bottom w:w="0" w:type="dxa"/>
              <w:right w:w="108" w:type="dxa"/>
            </w:tcMar>
            <w:vAlign w:val="center"/>
          </w:tcPr>
          <w:p w14:paraId="7B6814B4">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1.1</w:t>
            </w:r>
          </w:p>
        </w:tc>
        <w:tc>
          <w:tcPr>
            <w:tcW w:w="2128" w:type="dxa"/>
            <w:tcMar>
              <w:top w:w="0" w:type="dxa"/>
              <w:left w:w="108" w:type="dxa"/>
              <w:bottom w:w="0" w:type="dxa"/>
              <w:right w:w="108" w:type="dxa"/>
            </w:tcMar>
            <w:vAlign w:val="center"/>
          </w:tcPr>
          <w:p w14:paraId="2A192037">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5.78×10</w:t>
            </w:r>
            <w:r>
              <w:rPr>
                <w:rFonts w:hint="default" w:ascii="Times New Roman" w:hAnsi="Times New Roman" w:eastAsia="宋体" w:cs="Times New Roman"/>
                <w:color w:val="auto"/>
                <w:kern w:val="0"/>
                <w:sz w:val="21"/>
                <w:szCs w:val="21"/>
                <w:highlight w:val="none"/>
                <w:u w:val="none" w:color="auto"/>
                <w:vertAlign w:val="superscript"/>
              </w:rPr>
              <w:t>-3</w:t>
            </w:r>
          </w:p>
        </w:tc>
      </w:tr>
      <w:tr w14:paraId="2016B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9" w:hRule="atLeast"/>
          <w:jc w:val="center"/>
        </w:trPr>
        <w:tc>
          <w:tcPr>
            <w:tcW w:w="2635" w:type="dxa"/>
            <w:tcMar>
              <w:top w:w="0" w:type="dxa"/>
              <w:left w:w="108" w:type="dxa"/>
              <w:bottom w:w="0" w:type="dxa"/>
              <w:right w:w="108" w:type="dxa"/>
            </w:tcMar>
            <w:vAlign w:val="center"/>
          </w:tcPr>
          <w:p w14:paraId="5C7CF37A">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1-2</w:t>
            </w:r>
          </w:p>
        </w:tc>
        <w:tc>
          <w:tcPr>
            <w:tcW w:w="1950" w:type="dxa"/>
            <w:tcMar>
              <w:top w:w="0" w:type="dxa"/>
              <w:left w:w="108" w:type="dxa"/>
              <w:bottom w:w="0" w:type="dxa"/>
              <w:right w:w="108" w:type="dxa"/>
            </w:tcMar>
            <w:vAlign w:val="center"/>
          </w:tcPr>
          <w:p w14:paraId="0080339C">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1.6</w:t>
            </w:r>
          </w:p>
        </w:tc>
        <w:tc>
          <w:tcPr>
            <w:tcW w:w="1924" w:type="dxa"/>
            <w:tcMar>
              <w:top w:w="0" w:type="dxa"/>
              <w:left w:w="108" w:type="dxa"/>
              <w:bottom w:w="0" w:type="dxa"/>
              <w:right w:w="108" w:type="dxa"/>
            </w:tcMar>
            <w:vAlign w:val="center"/>
          </w:tcPr>
          <w:p w14:paraId="28CBFBDF">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1.1</w:t>
            </w:r>
          </w:p>
        </w:tc>
        <w:tc>
          <w:tcPr>
            <w:tcW w:w="2128" w:type="dxa"/>
            <w:tcMar>
              <w:top w:w="0" w:type="dxa"/>
              <w:left w:w="108" w:type="dxa"/>
              <w:bottom w:w="0" w:type="dxa"/>
              <w:right w:w="108" w:type="dxa"/>
            </w:tcMar>
            <w:vAlign w:val="center"/>
          </w:tcPr>
          <w:p w14:paraId="675CAC6C">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8.80×10</w:t>
            </w:r>
            <w:r>
              <w:rPr>
                <w:rFonts w:hint="default" w:ascii="Times New Roman" w:hAnsi="Times New Roman" w:eastAsia="宋体" w:cs="Times New Roman"/>
                <w:color w:val="auto"/>
                <w:kern w:val="0"/>
                <w:sz w:val="21"/>
                <w:szCs w:val="21"/>
                <w:highlight w:val="none"/>
                <w:u w:val="none" w:color="auto"/>
                <w:vertAlign w:val="superscript"/>
              </w:rPr>
              <w:t>-3</w:t>
            </w:r>
          </w:p>
        </w:tc>
      </w:tr>
      <w:tr w14:paraId="3FB42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9" w:hRule="atLeast"/>
          <w:jc w:val="center"/>
        </w:trPr>
        <w:tc>
          <w:tcPr>
            <w:tcW w:w="2635" w:type="dxa"/>
            <w:tcMar>
              <w:top w:w="0" w:type="dxa"/>
              <w:left w:w="108" w:type="dxa"/>
              <w:bottom w:w="0" w:type="dxa"/>
              <w:right w:w="108" w:type="dxa"/>
            </w:tcMar>
            <w:vAlign w:val="center"/>
          </w:tcPr>
          <w:p w14:paraId="6E9AF8EF">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2-3</w:t>
            </w:r>
          </w:p>
        </w:tc>
        <w:tc>
          <w:tcPr>
            <w:tcW w:w="1950" w:type="dxa"/>
            <w:tcMar>
              <w:top w:w="0" w:type="dxa"/>
              <w:left w:w="108" w:type="dxa"/>
              <w:bottom w:w="0" w:type="dxa"/>
              <w:right w:w="108" w:type="dxa"/>
            </w:tcMar>
            <w:vAlign w:val="center"/>
          </w:tcPr>
          <w:p w14:paraId="16380733">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1.3</w:t>
            </w:r>
          </w:p>
        </w:tc>
        <w:tc>
          <w:tcPr>
            <w:tcW w:w="1924" w:type="dxa"/>
            <w:tcMar>
              <w:top w:w="0" w:type="dxa"/>
              <w:left w:w="108" w:type="dxa"/>
              <w:bottom w:w="0" w:type="dxa"/>
              <w:right w:w="108" w:type="dxa"/>
            </w:tcMar>
            <w:vAlign w:val="center"/>
          </w:tcPr>
          <w:p w14:paraId="4CB16474">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1.09</w:t>
            </w:r>
          </w:p>
        </w:tc>
        <w:tc>
          <w:tcPr>
            <w:tcW w:w="2128" w:type="dxa"/>
            <w:tcMar>
              <w:top w:w="0" w:type="dxa"/>
              <w:left w:w="108" w:type="dxa"/>
              <w:bottom w:w="0" w:type="dxa"/>
              <w:right w:w="108" w:type="dxa"/>
            </w:tcMar>
            <w:vAlign w:val="center"/>
          </w:tcPr>
          <w:p w14:paraId="3790903E">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1.30×10</w:t>
            </w:r>
            <w:r>
              <w:rPr>
                <w:rFonts w:hint="default" w:ascii="Times New Roman" w:hAnsi="Times New Roman" w:eastAsia="宋体" w:cs="Times New Roman"/>
                <w:color w:val="auto"/>
                <w:kern w:val="0"/>
                <w:sz w:val="21"/>
                <w:szCs w:val="21"/>
                <w:highlight w:val="none"/>
                <w:u w:val="none" w:color="auto"/>
                <w:vertAlign w:val="superscript"/>
              </w:rPr>
              <w:t>-2</w:t>
            </w:r>
          </w:p>
        </w:tc>
      </w:tr>
      <w:tr w14:paraId="639C2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9" w:hRule="atLeast"/>
          <w:jc w:val="center"/>
        </w:trPr>
        <w:tc>
          <w:tcPr>
            <w:tcW w:w="2635" w:type="dxa"/>
            <w:tcMar>
              <w:top w:w="0" w:type="dxa"/>
              <w:left w:w="108" w:type="dxa"/>
              <w:bottom w:w="0" w:type="dxa"/>
              <w:right w:w="108" w:type="dxa"/>
            </w:tcMar>
            <w:vAlign w:val="center"/>
          </w:tcPr>
          <w:p w14:paraId="6266A092">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5-7</w:t>
            </w:r>
          </w:p>
        </w:tc>
        <w:tc>
          <w:tcPr>
            <w:tcW w:w="1950" w:type="dxa"/>
            <w:tcMar>
              <w:top w:w="0" w:type="dxa"/>
              <w:left w:w="108" w:type="dxa"/>
              <w:bottom w:w="0" w:type="dxa"/>
              <w:right w:w="108" w:type="dxa"/>
            </w:tcMar>
            <w:vAlign w:val="center"/>
          </w:tcPr>
          <w:p w14:paraId="2F67F042">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1.3</w:t>
            </w:r>
          </w:p>
        </w:tc>
        <w:tc>
          <w:tcPr>
            <w:tcW w:w="1924" w:type="dxa"/>
            <w:tcMar>
              <w:top w:w="0" w:type="dxa"/>
              <w:left w:w="108" w:type="dxa"/>
              <w:bottom w:w="0" w:type="dxa"/>
              <w:right w:w="108" w:type="dxa"/>
            </w:tcMar>
            <w:vAlign w:val="center"/>
          </w:tcPr>
          <w:p w14:paraId="11609B82">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1.09</w:t>
            </w:r>
          </w:p>
        </w:tc>
        <w:tc>
          <w:tcPr>
            <w:tcW w:w="2128" w:type="dxa"/>
            <w:tcMar>
              <w:top w:w="0" w:type="dxa"/>
              <w:left w:w="108" w:type="dxa"/>
              <w:bottom w:w="0" w:type="dxa"/>
              <w:right w:w="108" w:type="dxa"/>
            </w:tcMar>
            <w:vAlign w:val="center"/>
          </w:tcPr>
          <w:p w14:paraId="09CC1FBE">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1.67×10</w:t>
            </w:r>
            <w:r>
              <w:rPr>
                <w:rFonts w:hint="default" w:ascii="Times New Roman" w:hAnsi="Times New Roman" w:eastAsia="宋体" w:cs="Times New Roman"/>
                <w:color w:val="auto"/>
                <w:kern w:val="0"/>
                <w:sz w:val="21"/>
                <w:szCs w:val="21"/>
                <w:highlight w:val="none"/>
                <w:u w:val="none" w:color="auto"/>
                <w:vertAlign w:val="superscript"/>
              </w:rPr>
              <w:t>-2</w:t>
            </w:r>
          </w:p>
        </w:tc>
      </w:tr>
      <w:tr w14:paraId="5D2C2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9" w:hRule="atLeast"/>
          <w:jc w:val="center"/>
        </w:trPr>
        <w:tc>
          <w:tcPr>
            <w:tcW w:w="2635" w:type="dxa"/>
            <w:tcMar>
              <w:top w:w="0" w:type="dxa"/>
              <w:left w:w="108" w:type="dxa"/>
              <w:bottom w:w="0" w:type="dxa"/>
              <w:right w:w="108" w:type="dxa"/>
            </w:tcMar>
            <w:vAlign w:val="center"/>
          </w:tcPr>
          <w:p w14:paraId="4845656A">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0.5-2</w:t>
            </w:r>
          </w:p>
        </w:tc>
        <w:tc>
          <w:tcPr>
            <w:tcW w:w="1950" w:type="dxa"/>
            <w:tcMar>
              <w:top w:w="0" w:type="dxa"/>
              <w:left w:w="108" w:type="dxa"/>
              <w:bottom w:w="0" w:type="dxa"/>
              <w:right w:w="108" w:type="dxa"/>
            </w:tcMar>
            <w:vAlign w:val="center"/>
          </w:tcPr>
          <w:p w14:paraId="04E96D7C">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1924" w:type="dxa"/>
            <w:tcMar>
              <w:top w:w="0" w:type="dxa"/>
              <w:left w:w="108" w:type="dxa"/>
              <w:bottom w:w="0" w:type="dxa"/>
              <w:right w:w="108" w:type="dxa"/>
            </w:tcMar>
            <w:vAlign w:val="center"/>
          </w:tcPr>
          <w:p w14:paraId="3B5F830C">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1.08</w:t>
            </w:r>
          </w:p>
        </w:tc>
        <w:tc>
          <w:tcPr>
            <w:tcW w:w="2128" w:type="dxa"/>
            <w:tcMar>
              <w:top w:w="0" w:type="dxa"/>
              <w:left w:w="108" w:type="dxa"/>
              <w:bottom w:w="0" w:type="dxa"/>
              <w:right w:w="108" w:type="dxa"/>
            </w:tcMar>
            <w:vAlign w:val="center"/>
          </w:tcPr>
          <w:p w14:paraId="237227C8">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3.11×10</w:t>
            </w:r>
            <w:r>
              <w:rPr>
                <w:rFonts w:hint="default" w:ascii="Times New Roman" w:hAnsi="Times New Roman" w:eastAsia="宋体" w:cs="Times New Roman"/>
                <w:color w:val="auto"/>
                <w:kern w:val="0"/>
                <w:sz w:val="21"/>
                <w:szCs w:val="21"/>
                <w:highlight w:val="none"/>
                <w:u w:val="none" w:color="auto"/>
                <w:vertAlign w:val="superscript"/>
              </w:rPr>
              <w:t>-3</w:t>
            </w:r>
          </w:p>
        </w:tc>
      </w:tr>
      <w:tr w14:paraId="2A7DE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9" w:hRule="atLeast"/>
          <w:jc w:val="center"/>
        </w:trPr>
        <w:tc>
          <w:tcPr>
            <w:tcW w:w="2635" w:type="dxa"/>
            <w:tcMar>
              <w:top w:w="0" w:type="dxa"/>
              <w:left w:w="108" w:type="dxa"/>
              <w:bottom w:w="0" w:type="dxa"/>
              <w:right w:w="108" w:type="dxa"/>
            </w:tcMar>
            <w:vAlign w:val="center"/>
          </w:tcPr>
          <w:p w14:paraId="2DF15010">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0.2-5</w:t>
            </w:r>
          </w:p>
        </w:tc>
        <w:tc>
          <w:tcPr>
            <w:tcW w:w="1950" w:type="dxa"/>
            <w:tcMar>
              <w:top w:w="0" w:type="dxa"/>
              <w:left w:w="108" w:type="dxa"/>
              <w:bottom w:w="0" w:type="dxa"/>
              <w:right w:w="108" w:type="dxa"/>
            </w:tcMar>
            <w:vAlign w:val="center"/>
          </w:tcPr>
          <w:p w14:paraId="125AFF1A">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1924" w:type="dxa"/>
            <w:tcMar>
              <w:top w:w="0" w:type="dxa"/>
              <w:left w:w="108" w:type="dxa"/>
              <w:bottom w:w="0" w:type="dxa"/>
              <w:right w:w="108" w:type="dxa"/>
            </w:tcMar>
            <w:vAlign w:val="center"/>
          </w:tcPr>
          <w:p w14:paraId="3C2F45F7">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1.08</w:t>
            </w:r>
          </w:p>
        </w:tc>
        <w:tc>
          <w:tcPr>
            <w:tcW w:w="2128" w:type="dxa"/>
            <w:tcMar>
              <w:top w:w="0" w:type="dxa"/>
              <w:left w:w="108" w:type="dxa"/>
              <w:bottom w:w="0" w:type="dxa"/>
              <w:right w:w="108" w:type="dxa"/>
            </w:tcMar>
            <w:vAlign w:val="center"/>
          </w:tcPr>
          <w:p w14:paraId="39CEDC58">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8.30×10</w:t>
            </w:r>
            <w:r>
              <w:rPr>
                <w:rFonts w:hint="default" w:ascii="Times New Roman" w:hAnsi="Times New Roman" w:eastAsia="宋体" w:cs="Times New Roman"/>
                <w:color w:val="auto"/>
                <w:kern w:val="0"/>
                <w:sz w:val="21"/>
                <w:szCs w:val="21"/>
                <w:highlight w:val="none"/>
                <w:u w:val="none" w:color="auto"/>
                <w:vertAlign w:val="superscript"/>
              </w:rPr>
              <w:t>-3</w:t>
            </w:r>
          </w:p>
        </w:tc>
      </w:tr>
      <w:tr w14:paraId="1FDCC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9" w:hRule="atLeast"/>
          <w:jc w:val="center"/>
        </w:trPr>
        <w:tc>
          <w:tcPr>
            <w:tcW w:w="2635" w:type="dxa"/>
            <w:tcMar>
              <w:top w:w="0" w:type="dxa"/>
              <w:left w:w="108" w:type="dxa"/>
              <w:bottom w:w="0" w:type="dxa"/>
              <w:right w:w="108" w:type="dxa"/>
            </w:tcMar>
            <w:vAlign w:val="center"/>
          </w:tcPr>
          <w:p w14:paraId="688B042B">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0.1-10</w:t>
            </w:r>
          </w:p>
        </w:tc>
        <w:tc>
          <w:tcPr>
            <w:tcW w:w="1950" w:type="dxa"/>
            <w:tcMar>
              <w:top w:w="0" w:type="dxa"/>
              <w:left w:w="108" w:type="dxa"/>
              <w:bottom w:w="0" w:type="dxa"/>
              <w:right w:w="108" w:type="dxa"/>
            </w:tcMar>
            <w:vAlign w:val="center"/>
          </w:tcPr>
          <w:p w14:paraId="5BE8C21A">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w:t>
            </w:r>
          </w:p>
        </w:tc>
        <w:tc>
          <w:tcPr>
            <w:tcW w:w="1924" w:type="dxa"/>
            <w:tcMar>
              <w:top w:w="0" w:type="dxa"/>
              <w:left w:w="108" w:type="dxa"/>
              <w:bottom w:w="0" w:type="dxa"/>
              <w:right w:w="108" w:type="dxa"/>
            </w:tcMar>
            <w:vAlign w:val="center"/>
          </w:tcPr>
          <w:p w14:paraId="4087C0C1">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1.07</w:t>
            </w:r>
          </w:p>
        </w:tc>
        <w:tc>
          <w:tcPr>
            <w:tcW w:w="2128" w:type="dxa"/>
            <w:tcMar>
              <w:top w:w="0" w:type="dxa"/>
              <w:left w:w="108" w:type="dxa"/>
              <w:bottom w:w="0" w:type="dxa"/>
              <w:right w:w="108" w:type="dxa"/>
            </w:tcMar>
            <w:vAlign w:val="center"/>
          </w:tcPr>
          <w:p w14:paraId="2AB982F7">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1.63×10</w:t>
            </w:r>
            <w:r>
              <w:rPr>
                <w:rFonts w:hint="default" w:ascii="Times New Roman" w:hAnsi="Times New Roman" w:eastAsia="宋体" w:cs="Times New Roman"/>
                <w:color w:val="auto"/>
                <w:kern w:val="0"/>
                <w:sz w:val="21"/>
                <w:szCs w:val="21"/>
                <w:highlight w:val="none"/>
                <w:u w:val="none" w:color="auto"/>
                <w:vertAlign w:val="superscript"/>
              </w:rPr>
              <w:t>-2</w:t>
            </w:r>
          </w:p>
        </w:tc>
      </w:tr>
      <w:tr w14:paraId="29264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61" w:hRule="atLeast"/>
          <w:jc w:val="center"/>
        </w:trPr>
        <w:tc>
          <w:tcPr>
            <w:tcW w:w="2635" w:type="dxa"/>
            <w:tcMar>
              <w:top w:w="0" w:type="dxa"/>
              <w:left w:w="108" w:type="dxa"/>
              <w:bottom w:w="0" w:type="dxa"/>
              <w:right w:w="108" w:type="dxa"/>
            </w:tcMar>
            <w:vAlign w:val="center"/>
          </w:tcPr>
          <w:p w14:paraId="56F853A8">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0.05-20</w:t>
            </w:r>
          </w:p>
        </w:tc>
        <w:tc>
          <w:tcPr>
            <w:tcW w:w="1950" w:type="dxa"/>
            <w:tcMar>
              <w:top w:w="0" w:type="dxa"/>
              <w:left w:w="108" w:type="dxa"/>
              <w:bottom w:w="0" w:type="dxa"/>
              <w:right w:w="108" w:type="dxa"/>
            </w:tcMar>
            <w:vAlign w:val="center"/>
          </w:tcPr>
          <w:p w14:paraId="7AB0C6EC">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20</w:t>
            </w:r>
          </w:p>
        </w:tc>
        <w:tc>
          <w:tcPr>
            <w:tcW w:w="1924" w:type="dxa"/>
            <w:tcMar>
              <w:top w:w="0" w:type="dxa"/>
              <w:left w:w="108" w:type="dxa"/>
              <w:bottom w:w="0" w:type="dxa"/>
              <w:right w:w="108" w:type="dxa"/>
            </w:tcMar>
            <w:vAlign w:val="center"/>
          </w:tcPr>
          <w:p w14:paraId="4A71690A">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1.07</w:t>
            </w:r>
          </w:p>
        </w:tc>
        <w:tc>
          <w:tcPr>
            <w:tcW w:w="2128" w:type="dxa"/>
            <w:tcMar>
              <w:top w:w="0" w:type="dxa"/>
              <w:left w:w="108" w:type="dxa"/>
              <w:bottom w:w="0" w:type="dxa"/>
              <w:right w:w="108" w:type="dxa"/>
            </w:tcMar>
            <w:vAlign w:val="center"/>
          </w:tcPr>
          <w:p w14:paraId="00935090">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7.07×10</w:t>
            </w:r>
            <w:r>
              <w:rPr>
                <w:rFonts w:hint="default" w:ascii="Times New Roman" w:hAnsi="Times New Roman" w:eastAsia="宋体" w:cs="Times New Roman"/>
                <w:color w:val="auto"/>
                <w:kern w:val="0"/>
                <w:sz w:val="21"/>
                <w:szCs w:val="21"/>
                <w:highlight w:val="none"/>
                <w:u w:val="none" w:color="auto"/>
                <w:vertAlign w:val="superscript"/>
              </w:rPr>
              <w:t>-2</w:t>
            </w:r>
          </w:p>
        </w:tc>
      </w:tr>
    </w:tbl>
    <w:p w14:paraId="4BDE14E5">
      <w:pPr>
        <w:pStyle w:val="61"/>
        <w:ind w:firstLine="48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计算参数结果见</w:t>
      </w:r>
      <w:r>
        <w:rPr>
          <w:rFonts w:hint="default" w:ascii="Times New Roman" w:hAnsi="Times New Roman" w:eastAsia="宋体" w:cs="Times New Roman"/>
          <w:color w:val="auto"/>
          <w:sz w:val="24"/>
          <w:highlight w:val="none"/>
          <w:u w:val="none" w:color="auto"/>
          <w:lang w:eastAsia="zh-CN"/>
        </w:rPr>
        <w:t>下</w:t>
      </w:r>
      <w:r>
        <w:rPr>
          <w:rFonts w:hint="default" w:ascii="Times New Roman" w:hAnsi="Times New Roman" w:eastAsia="宋体" w:cs="Times New Roman"/>
          <w:color w:val="auto"/>
          <w:sz w:val="24"/>
          <w:highlight w:val="none"/>
          <w:u w:val="none" w:color="auto"/>
        </w:rPr>
        <w:t>表。</w:t>
      </w:r>
    </w:p>
    <w:p w14:paraId="57BF451D">
      <w:pPr>
        <w:pStyle w:val="11"/>
        <w:spacing w:before="93" w:after="93" w:line="240" w:lineRule="auto"/>
        <w:ind w:firstLine="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w:t>
      </w:r>
      <w:r>
        <w:rPr>
          <w:rFonts w:hint="default" w:ascii="Times New Roman" w:hAnsi="Times New Roman" w:eastAsia="宋体" w:cs="Times New Roman"/>
          <w:b/>
          <w:color w:val="auto"/>
          <w:sz w:val="21"/>
          <w:szCs w:val="21"/>
          <w:highlight w:val="none"/>
          <w:u w:val="none" w:color="auto"/>
          <w:lang w:val="en-US" w:eastAsia="zh-CN"/>
        </w:rPr>
        <w:t>7</w:t>
      </w:r>
      <w:r>
        <w:rPr>
          <w:rFonts w:hint="default" w:ascii="Times New Roman" w:hAnsi="Times New Roman" w:eastAsia="宋体" w:cs="Times New Roman"/>
          <w:b/>
          <w:color w:val="auto"/>
          <w:sz w:val="21"/>
          <w:szCs w:val="21"/>
          <w:highlight w:val="none"/>
          <w:u w:val="none" w:color="auto"/>
        </w:rPr>
        <w:t>.</w:t>
      </w:r>
      <w:r>
        <w:rPr>
          <w:rFonts w:hint="default" w:ascii="Times New Roman" w:hAnsi="Times New Roman" w:eastAsia="宋体" w:cs="Times New Roman"/>
          <w:b/>
          <w:color w:val="auto"/>
          <w:sz w:val="21"/>
          <w:szCs w:val="21"/>
          <w:highlight w:val="none"/>
          <w:u w:val="none" w:color="auto"/>
          <w:lang w:val="en-US" w:eastAsia="zh-CN"/>
        </w:rPr>
        <w:t>2</w:t>
      </w:r>
      <w:r>
        <w:rPr>
          <w:rFonts w:hint="default" w:ascii="Times New Roman" w:hAnsi="Times New Roman" w:eastAsia="宋体" w:cs="Times New Roman"/>
          <w:b/>
          <w:color w:val="auto"/>
          <w:sz w:val="21"/>
          <w:szCs w:val="21"/>
          <w:highlight w:val="none"/>
          <w:u w:val="none" w:color="auto"/>
        </w:rPr>
        <w:t>-</w:t>
      </w:r>
      <w:r>
        <w:rPr>
          <w:rFonts w:hint="default" w:ascii="Times New Roman" w:hAnsi="Times New Roman" w:eastAsia="宋体" w:cs="Times New Roman"/>
          <w:b/>
          <w:color w:val="auto"/>
          <w:sz w:val="21"/>
          <w:szCs w:val="21"/>
          <w:highlight w:val="none"/>
          <w:u w:val="none" w:color="auto"/>
          <w:lang w:val="en-US" w:eastAsia="zh-CN"/>
        </w:rPr>
        <w:t>12</w:t>
      </w:r>
      <w:r>
        <w:rPr>
          <w:rFonts w:hint="default" w:ascii="Times New Roman" w:hAnsi="Times New Roman" w:eastAsia="宋体" w:cs="Times New Roman"/>
          <w:b/>
          <w:color w:val="auto"/>
          <w:sz w:val="21"/>
          <w:szCs w:val="21"/>
          <w:highlight w:val="none"/>
          <w:u w:val="none" w:color="auto"/>
        </w:rPr>
        <w:t xml:space="preserve">  计算参数一览表</w:t>
      </w:r>
    </w:p>
    <w:tbl>
      <w:tblPr>
        <w:tblStyle w:val="22"/>
        <w:tblW w:w="86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1990"/>
        <w:gridCol w:w="2188"/>
        <w:gridCol w:w="2190"/>
        <w:gridCol w:w="2249"/>
      </w:tblGrid>
      <w:tr w14:paraId="305A6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1990" w:type="dxa"/>
            <w:tcMar>
              <w:top w:w="0" w:type="dxa"/>
              <w:left w:w="108" w:type="dxa"/>
              <w:bottom w:w="0" w:type="dxa"/>
              <w:right w:w="108" w:type="dxa"/>
            </w:tcMar>
            <w:vAlign w:val="center"/>
          </w:tcPr>
          <w:p w14:paraId="11789D81">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参数</w:t>
            </w:r>
          </w:p>
        </w:tc>
        <w:tc>
          <w:tcPr>
            <w:tcW w:w="2188" w:type="dxa"/>
            <w:tcMar>
              <w:top w:w="0" w:type="dxa"/>
              <w:left w:w="108" w:type="dxa"/>
              <w:bottom w:w="0" w:type="dxa"/>
              <w:right w:w="108" w:type="dxa"/>
            </w:tcMar>
            <w:vAlign w:val="center"/>
          </w:tcPr>
          <w:p w14:paraId="25FCD547">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地下水实际流速U（m/d）</w:t>
            </w:r>
          </w:p>
        </w:tc>
        <w:tc>
          <w:tcPr>
            <w:tcW w:w="2190" w:type="dxa"/>
            <w:tcMar>
              <w:top w:w="0" w:type="dxa"/>
              <w:left w:w="108" w:type="dxa"/>
              <w:bottom w:w="0" w:type="dxa"/>
              <w:right w:w="108" w:type="dxa"/>
            </w:tcMar>
            <w:vAlign w:val="center"/>
          </w:tcPr>
          <w:p w14:paraId="3EDC5603">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纵向弥散系数DL（m</w:t>
            </w:r>
            <w:r>
              <w:rPr>
                <w:rFonts w:hint="default" w:ascii="Times New Roman" w:hAnsi="Times New Roman" w:eastAsia="宋体" w:cs="Times New Roman"/>
                <w:color w:val="auto"/>
                <w:kern w:val="0"/>
                <w:sz w:val="21"/>
                <w:szCs w:val="21"/>
                <w:highlight w:val="none"/>
                <w:u w:val="none" w:color="auto"/>
                <w:vertAlign w:val="superscript"/>
              </w:rPr>
              <w:t>2</w:t>
            </w:r>
            <w:r>
              <w:rPr>
                <w:rFonts w:hint="default" w:ascii="Times New Roman" w:hAnsi="Times New Roman" w:eastAsia="宋体" w:cs="Times New Roman"/>
                <w:color w:val="auto"/>
                <w:kern w:val="0"/>
                <w:sz w:val="21"/>
                <w:szCs w:val="21"/>
                <w:highlight w:val="none"/>
                <w:u w:val="none" w:color="auto"/>
              </w:rPr>
              <w:t>/d）</w:t>
            </w:r>
          </w:p>
        </w:tc>
        <w:tc>
          <w:tcPr>
            <w:tcW w:w="2249" w:type="dxa"/>
          </w:tcPr>
          <w:p w14:paraId="13149987">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横向弥散系数DT（m</w:t>
            </w:r>
            <w:r>
              <w:rPr>
                <w:rFonts w:hint="default" w:ascii="Times New Roman" w:hAnsi="Times New Roman" w:eastAsia="宋体" w:cs="Times New Roman"/>
                <w:color w:val="auto"/>
                <w:kern w:val="0"/>
                <w:sz w:val="21"/>
                <w:szCs w:val="21"/>
                <w:highlight w:val="none"/>
                <w:u w:val="none" w:color="auto"/>
                <w:vertAlign w:val="superscript"/>
              </w:rPr>
              <w:t>2</w:t>
            </w:r>
            <w:r>
              <w:rPr>
                <w:rFonts w:hint="default" w:ascii="Times New Roman" w:hAnsi="Times New Roman" w:eastAsia="宋体" w:cs="Times New Roman"/>
                <w:color w:val="auto"/>
                <w:kern w:val="0"/>
                <w:sz w:val="21"/>
                <w:szCs w:val="21"/>
                <w:highlight w:val="none"/>
                <w:u w:val="none" w:color="auto"/>
              </w:rPr>
              <w:t>/d）</w:t>
            </w:r>
          </w:p>
        </w:tc>
      </w:tr>
      <w:tr w14:paraId="76ABC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1990" w:type="dxa"/>
            <w:tcMar>
              <w:top w:w="0" w:type="dxa"/>
              <w:left w:w="108" w:type="dxa"/>
              <w:bottom w:w="0" w:type="dxa"/>
              <w:right w:w="108" w:type="dxa"/>
            </w:tcMar>
            <w:vAlign w:val="center"/>
          </w:tcPr>
          <w:p w14:paraId="530D956C">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项目建设区含水层</w:t>
            </w:r>
          </w:p>
        </w:tc>
        <w:tc>
          <w:tcPr>
            <w:tcW w:w="2188" w:type="dxa"/>
            <w:tcMar>
              <w:top w:w="0" w:type="dxa"/>
              <w:left w:w="108" w:type="dxa"/>
              <w:bottom w:w="0" w:type="dxa"/>
              <w:right w:w="108" w:type="dxa"/>
            </w:tcMar>
            <w:vAlign w:val="center"/>
          </w:tcPr>
          <w:p w14:paraId="260F8444">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0.12</w:t>
            </w:r>
          </w:p>
        </w:tc>
        <w:tc>
          <w:tcPr>
            <w:tcW w:w="2190" w:type="dxa"/>
            <w:tcMar>
              <w:top w:w="0" w:type="dxa"/>
              <w:left w:w="108" w:type="dxa"/>
              <w:bottom w:w="0" w:type="dxa"/>
              <w:right w:w="108" w:type="dxa"/>
            </w:tcMar>
            <w:vAlign w:val="center"/>
          </w:tcPr>
          <w:p w14:paraId="228EBBFE">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1.22</w:t>
            </w:r>
          </w:p>
        </w:tc>
        <w:tc>
          <w:tcPr>
            <w:tcW w:w="2249" w:type="dxa"/>
          </w:tcPr>
          <w:p w14:paraId="393A5622">
            <w:pPr>
              <w:widowControl/>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0.122</w:t>
            </w:r>
          </w:p>
        </w:tc>
      </w:tr>
    </w:tbl>
    <w:p w14:paraId="530579F6">
      <w:pPr>
        <w:pStyle w:val="61"/>
        <w:ind w:firstLine="48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非正常工况下，废水管网可能出现破损情况下发生泄漏，非正常工况地下水预测源强详见下表：</w:t>
      </w:r>
    </w:p>
    <w:p w14:paraId="2187D33E">
      <w:pPr>
        <w:pStyle w:val="11"/>
        <w:spacing w:before="93" w:after="93" w:line="240" w:lineRule="auto"/>
        <w:ind w:firstLine="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w:t>
      </w:r>
      <w:r>
        <w:rPr>
          <w:rFonts w:hint="default" w:ascii="Times New Roman" w:hAnsi="Times New Roman" w:eastAsia="宋体" w:cs="Times New Roman"/>
          <w:b/>
          <w:color w:val="auto"/>
          <w:sz w:val="21"/>
          <w:szCs w:val="21"/>
          <w:highlight w:val="none"/>
          <w:u w:val="none" w:color="auto"/>
          <w:lang w:val="en-US" w:eastAsia="zh-CN"/>
        </w:rPr>
        <w:t>7.2-13</w:t>
      </w:r>
      <w:r>
        <w:rPr>
          <w:rFonts w:hint="default" w:ascii="Times New Roman" w:hAnsi="Times New Roman" w:eastAsia="宋体" w:cs="Times New Roman"/>
          <w:b/>
          <w:color w:val="auto"/>
          <w:sz w:val="21"/>
          <w:szCs w:val="21"/>
          <w:highlight w:val="none"/>
          <w:u w:val="none" w:color="auto"/>
        </w:rPr>
        <w:t>非正常工况地下水预测源强表</w:t>
      </w:r>
    </w:p>
    <w:tbl>
      <w:tblPr>
        <w:tblStyle w:val="22"/>
        <w:tblW w:w="5044"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1843"/>
        <w:gridCol w:w="1416"/>
        <w:gridCol w:w="1230"/>
        <w:gridCol w:w="1433"/>
        <w:gridCol w:w="1433"/>
      </w:tblGrid>
      <w:tr w14:paraId="413A14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722" w:type="pct"/>
            <w:vAlign w:val="center"/>
          </w:tcPr>
          <w:p w14:paraId="4143ED0D">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情景设定</w:t>
            </w:r>
          </w:p>
        </w:tc>
        <w:tc>
          <w:tcPr>
            <w:tcW w:w="1071" w:type="pct"/>
            <w:vAlign w:val="center"/>
          </w:tcPr>
          <w:p w14:paraId="5FA5960A">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泄漏点</w:t>
            </w:r>
          </w:p>
        </w:tc>
        <w:tc>
          <w:tcPr>
            <w:tcW w:w="823" w:type="pct"/>
            <w:vAlign w:val="center"/>
          </w:tcPr>
          <w:p w14:paraId="664165D4">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特征污染物</w:t>
            </w:r>
          </w:p>
        </w:tc>
        <w:tc>
          <w:tcPr>
            <w:tcW w:w="715" w:type="pct"/>
            <w:vAlign w:val="center"/>
          </w:tcPr>
          <w:p w14:paraId="1A289D08">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产生浓度mg/L</w:t>
            </w:r>
          </w:p>
        </w:tc>
        <w:tc>
          <w:tcPr>
            <w:tcW w:w="833" w:type="pct"/>
            <w:vAlign w:val="center"/>
          </w:tcPr>
          <w:p w14:paraId="3E886692">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背景浓度mg/L</w:t>
            </w:r>
          </w:p>
        </w:tc>
        <w:tc>
          <w:tcPr>
            <w:tcW w:w="833" w:type="pct"/>
            <w:vAlign w:val="center"/>
          </w:tcPr>
          <w:p w14:paraId="5054B936">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频率</w:t>
            </w:r>
          </w:p>
        </w:tc>
      </w:tr>
      <w:tr w14:paraId="1040F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722" w:type="pct"/>
            <w:vMerge w:val="restart"/>
            <w:vAlign w:val="center"/>
          </w:tcPr>
          <w:p w14:paraId="533ABBC3">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跑冒滴漏</w:t>
            </w:r>
          </w:p>
        </w:tc>
        <w:tc>
          <w:tcPr>
            <w:tcW w:w="1071" w:type="pct"/>
            <w:vMerge w:val="restart"/>
            <w:vAlign w:val="center"/>
          </w:tcPr>
          <w:p w14:paraId="208BE104">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w:t>
            </w:r>
            <w:r>
              <w:rPr>
                <w:rFonts w:hint="default" w:ascii="Times New Roman" w:hAnsi="Times New Roman" w:eastAsia="宋体" w:cs="Times New Roman"/>
                <w:color w:val="auto"/>
                <w:sz w:val="21"/>
                <w:szCs w:val="21"/>
                <w:highlight w:val="none"/>
                <w:u w:val="none" w:color="auto"/>
                <w:lang w:eastAsia="zh-CN"/>
              </w:rPr>
              <w:t>重金属</w:t>
            </w:r>
            <w:r>
              <w:rPr>
                <w:rFonts w:hint="default" w:ascii="Times New Roman" w:hAnsi="Times New Roman" w:eastAsia="宋体" w:cs="Times New Roman"/>
                <w:color w:val="auto"/>
                <w:sz w:val="21"/>
                <w:szCs w:val="21"/>
                <w:highlight w:val="none"/>
                <w:u w:val="none" w:color="auto"/>
              </w:rPr>
              <w:t>废水管网</w:t>
            </w:r>
          </w:p>
        </w:tc>
        <w:tc>
          <w:tcPr>
            <w:tcW w:w="823" w:type="pct"/>
            <w:vAlign w:val="center"/>
          </w:tcPr>
          <w:p w14:paraId="5DC47F4C">
            <w:pPr>
              <w:pStyle w:val="10"/>
              <w:spacing w:after="0"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铜</w:t>
            </w:r>
          </w:p>
        </w:tc>
        <w:tc>
          <w:tcPr>
            <w:tcW w:w="715" w:type="pct"/>
            <w:vAlign w:val="center"/>
          </w:tcPr>
          <w:p w14:paraId="5FD9A96B">
            <w:pPr>
              <w:pStyle w:val="10"/>
              <w:spacing w:after="0"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100</w:t>
            </w:r>
          </w:p>
        </w:tc>
        <w:tc>
          <w:tcPr>
            <w:tcW w:w="833" w:type="pct"/>
            <w:vAlign w:val="center"/>
          </w:tcPr>
          <w:p w14:paraId="522B5DD3">
            <w:pPr>
              <w:pStyle w:val="10"/>
              <w:spacing w:after="0"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833" w:type="pct"/>
            <w:vAlign w:val="center"/>
          </w:tcPr>
          <w:p w14:paraId="72A88F31">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连续</w:t>
            </w:r>
          </w:p>
        </w:tc>
      </w:tr>
      <w:tr w14:paraId="3A616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722" w:type="pct"/>
            <w:vMerge w:val="continue"/>
            <w:vAlign w:val="center"/>
          </w:tcPr>
          <w:p w14:paraId="2F7255B3">
            <w:pPr>
              <w:pStyle w:val="10"/>
              <w:spacing w:after="0" w:line="240" w:lineRule="auto"/>
              <w:jc w:val="center"/>
              <w:rPr>
                <w:rFonts w:hint="default" w:ascii="Times New Roman" w:hAnsi="Times New Roman" w:eastAsia="宋体" w:cs="Times New Roman"/>
                <w:color w:val="auto"/>
                <w:sz w:val="21"/>
                <w:szCs w:val="21"/>
                <w:highlight w:val="none"/>
                <w:u w:val="none" w:color="auto"/>
              </w:rPr>
            </w:pPr>
          </w:p>
        </w:tc>
        <w:tc>
          <w:tcPr>
            <w:tcW w:w="1071" w:type="pct"/>
            <w:vMerge w:val="continue"/>
            <w:vAlign w:val="center"/>
          </w:tcPr>
          <w:p w14:paraId="17F0D1F7">
            <w:pPr>
              <w:pStyle w:val="10"/>
              <w:spacing w:after="0" w:line="240" w:lineRule="auto"/>
              <w:jc w:val="center"/>
              <w:rPr>
                <w:rFonts w:hint="default" w:ascii="Times New Roman" w:hAnsi="Times New Roman" w:eastAsia="宋体" w:cs="Times New Roman"/>
                <w:color w:val="auto"/>
                <w:sz w:val="21"/>
                <w:szCs w:val="21"/>
                <w:highlight w:val="none"/>
                <w:u w:val="none" w:color="auto"/>
              </w:rPr>
            </w:pPr>
          </w:p>
        </w:tc>
        <w:tc>
          <w:tcPr>
            <w:tcW w:w="823" w:type="pct"/>
            <w:vAlign w:val="center"/>
          </w:tcPr>
          <w:p w14:paraId="7786DFB1">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715" w:type="pct"/>
            <w:vAlign w:val="center"/>
          </w:tcPr>
          <w:p w14:paraId="296EDB36">
            <w:pPr>
              <w:pStyle w:val="10"/>
              <w:spacing w:after="0"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100</w:t>
            </w:r>
          </w:p>
        </w:tc>
        <w:tc>
          <w:tcPr>
            <w:tcW w:w="833" w:type="pct"/>
            <w:vAlign w:val="center"/>
          </w:tcPr>
          <w:p w14:paraId="2141B17E">
            <w:pPr>
              <w:pStyle w:val="10"/>
              <w:spacing w:after="0"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833" w:type="pct"/>
            <w:vAlign w:val="center"/>
          </w:tcPr>
          <w:p w14:paraId="3C56B068">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连续</w:t>
            </w:r>
          </w:p>
        </w:tc>
      </w:tr>
      <w:tr w14:paraId="4555B8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722" w:type="pct"/>
            <w:vMerge w:val="continue"/>
            <w:vAlign w:val="center"/>
          </w:tcPr>
          <w:p w14:paraId="12428336">
            <w:pPr>
              <w:pStyle w:val="10"/>
              <w:spacing w:after="0" w:line="240" w:lineRule="auto"/>
              <w:jc w:val="center"/>
              <w:rPr>
                <w:rFonts w:hint="default" w:ascii="Times New Roman" w:hAnsi="Times New Roman" w:eastAsia="宋体" w:cs="Times New Roman"/>
                <w:color w:val="auto"/>
                <w:sz w:val="21"/>
                <w:szCs w:val="21"/>
                <w:highlight w:val="none"/>
                <w:u w:val="none" w:color="auto"/>
              </w:rPr>
            </w:pPr>
          </w:p>
        </w:tc>
        <w:tc>
          <w:tcPr>
            <w:tcW w:w="1071" w:type="pct"/>
            <w:vMerge w:val="continue"/>
            <w:vAlign w:val="center"/>
          </w:tcPr>
          <w:p w14:paraId="02B48E6E">
            <w:pPr>
              <w:pStyle w:val="10"/>
              <w:spacing w:after="0" w:line="240" w:lineRule="auto"/>
              <w:jc w:val="center"/>
              <w:rPr>
                <w:rFonts w:hint="default" w:ascii="Times New Roman" w:hAnsi="Times New Roman" w:eastAsia="宋体" w:cs="Times New Roman"/>
                <w:color w:val="auto"/>
                <w:sz w:val="21"/>
                <w:szCs w:val="21"/>
                <w:highlight w:val="none"/>
                <w:u w:val="none" w:color="auto"/>
              </w:rPr>
            </w:pPr>
          </w:p>
        </w:tc>
        <w:tc>
          <w:tcPr>
            <w:tcW w:w="823" w:type="pct"/>
            <w:vAlign w:val="center"/>
          </w:tcPr>
          <w:p w14:paraId="2A8DA326">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715" w:type="pct"/>
            <w:vAlign w:val="center"/>
          </w:tcPr>
          <w:p w14:paraId="3C0030BE">
            <w:pPr>
              <w:pStyle w:val="10"/>
              <w:spacing w:after="0"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100</w:t>
            </w:r>
          </w:p>
        </w:tc>
        <w:tc>
          <w:tcPr>
            <w:tcW w:w="833" w:type="pct"/>
            <w:vAlign w:val="center"/>
          </w:tcPr>
          <w:p w14:paraId="0A0B988E">
            <w:pPr>
              <w:pStyle w:val="10"/>
              <w:spacing w:after="0"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ND</w:t>
            </w:r>
          </w:p>
        </w:tc>
        <w:tc>
          <w:tcPr>
            <w:tcW w:w="833" w:type="pct"/>
            <w:vAlign w:val="center"/>
          </w:tcPr>
          <w:p w14:paraId="3EE2B79C">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连续</w:t>
            </w:r>
          </w:p>
        </w:tc>
      </w:tr>
    </w:tbl>
    <w:p w14:paraId="3E3AC44F">
      <w:pPr>
        <w:pStyle w:val="6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②预测结果及评价</w:t>
      </w:r>
    </w:p>
    <w:p w14:paraId="66F548C9">
      <w:pPr>
        <w:pStyle w:val="6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根据预测，非正常工况下污染物在地下水含水层的迁移情况详见下表：</w:t>
      </w:r>
    </w:p>
    <w:p w14:paraId="0020974A">
      <w:pPr>
        <w:pStyle w:val="11"/>
        <w:spacing w:before="93" w:after="93" w:line="240" w:lineRule="auto"/>
        <w:ind w:firstLine="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w:t>
      </w:r>
      <w:r>
        <w:rPr>
          <w:rFonts w:hint="default" w:ascii="Times New Roman" w:hAnsi="Times New Roman" w:eastAsia="宋体" w:cs="Times New Roman"/>
          <w:b/>
          <w:color w:val="auto"/>
          <w:sz w:val="21"/>
          <w:szCs w:val="21"/>
          <w:highlight w:val="none"/>
          <w:u w:val="none" w:color="auto"/>
          <w:lang w:val="en-US" w:eastAsia="zh-CN"/>
        </w:rPr>
        <w:t xml:space="preserve">7.2-14 </w:t>
      </w:r>
      <w:r>
        <w:rPr>
          <w:rFonts w:hint="default" w:ascii="Times New Roman" w:hAnsi="Times New Roman" w:eastAsia="宋体" w:cs="Times New Roman"/>
          <w:b/>
          <w:color w:val="auto"/>
          <w:sz w:val="21"/>
          <w:szCs w:val="21"/>
          <w:highlight w:val="none"/>
          <w:u w:val="none" w:color="auto"/>
        </w:rPr>
        <w:t>非正常工况地下水污染物超标运移距离</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950"/>
        <w:gridCol w:w="1701"/>
        <w:gridCol w:w="1701"/>
        <w:gridCol w:w="1751"/>
      </w:tblGrid>
      <w:tr w14:paraId="6657A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19" w:type="dxa"/>
            <w:vMerge w:val="restart"/>
            <w:vAlign w:val="center"/>
          </w:tcPr>
          <w:p w14:paraId="7D25581A">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w:t>
            </w:r>
          </w:p>
        </w:tc>
        <w:tc>
          <w:tcPr>
            <w:tcW w:w="1950" w:type="dxa"/>
            <w:vMerge w:val="restart"/>
            <w:vAlign w:val="center"/>
          </w:tcPr>
          <w:p w14:paraId="3F7560B8">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地下水评价标准（mg/L）</w:t>
            </w:r>
          </w:p>
        </w:tc>
        <w:tc>
          <w:tcPr>
            <w:tcW w:w="5153" w:type="dxa"/>
            <w:gridSpan w:val="3"/>
            <w:vAlign w:val="center"/>
          </w:tcPr>
          <w:p w14:paraId="31C0C503">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超标运移距离（m）</w:t>
            </w:r>
          </w:p>
        </w:tc>
      </w:tr>
      <w:tr w14:paraId="44691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19" w:type="dxa"/>
            <w:vMerge w:val="continue"/>
            <w:vAlign w:val="center"/>
          </w:tcPr>
          <w:p w14:paraId="5E472878">
            <w:pPr>
              <w:pStyle w:val="10"/>
              <w:spacing w:after="0" w:line="240" w:lineRule="auto"/>
              <w:jc w:val="center"/>
              <w:rPr>
                <w:rFonts w:hint="default" w:ascii="Times New Roman" w:hAnsi="Times New Roman" w:eastAsia="宋体" w:cs="Times New Roman"/>
                <w:color w:val="auto"/>
                <w:sz w:val="21"/>
                <w:szCs w:val="21"/>
                <w:highlight w:val="none"/>
                <w:u w:val="none" w:color="auto"/>
              </w:rPr>
            </w:pPr>
          </w:p>
        </w:tc>
        <w:tc>
          <w:tcPr>
            <w:tcW w:w="1950" w:type="dxa"/>
            <w:vMerge w:val="continue"/>
            <w:vAlign w:val="center"/>
          </w:tcPr>
          <w:p w14:paraId="0B47EC5D">
            <w:pPr>
              <w:pStyle w:val="10"/>
              <w:spacing w:after="0" w:line="240" w:lineRule="auto"/>
              <w:jc w:val="center"/>
              <w:rPr>
                <w:rFonts w:hint="default" w:ascii="Times New Roman" w:hAnsi="Times New Roman" w:eastAsia="宋体" w:cs="Times New Roman"/>
                <w:color w:val="auto"/>
                <w:sz w:val="21"/>
                <w:szCs w:val="21"/>
                <w:highlight w:val="none"/>
                <w:u w:val="none" w:color="auto"/>
              </w:rPr>
            </w:pPr>
          </w:p>
        </w:tc>
        <w:tc>
          <w:tcPr>
            <w:tcW w:w="1701" w:type="dxa"/>
            <w:vAlign w:val="center"/>
          </w:tcPr>
          <w:p w14:paraId="545797FE">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100d</w:t>
            </w:r>
          </w:p>
        </w:tc>
        <w:tc>
          <w:tcPr>
            <w:tcW w:w="1701" w:type="dxa"/>
            <w:vAlign w:val="center"/>
          </w:tcPr>
          <w:p w14:paraId="32841241">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1000d</w:t>
            </w:r>
          </w:p>
        </w:tc>
        <w:tc>
          <w:tcPr>
            <w:tcW w:w="1751" w:type="dxa"/>
            <w:vAlign w:val="center"/>
          </w:tcPr>
          <w:p w14:paraId="1325D3A7">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rPr>
              <w:t xml:space="preserve"> a</w:t>
            </w:r>
          </w:p>
        </w:tc>
      </w:tr>
      <w:tr w14:paraId="30B18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19" w:type="dxa"/>
            <w:vAlign w:val="center"/>
          </w:tcPr>
          <w:p w14:paraId="769FCB3C">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铜</w:t>
            </w:r>
          </w:p>
        </w:tc>
        <w:tc>
          <w:tcPr>
            <w:tcW w:w="1950" w:type="dxa"/>
            <w:vAlign w:val="center"/>
          </w:tcPr>
          <w:p w14:paraId="5E2BF7CF">
            <w:pPr>
              <w:pStyle w:val="10"/>
              <w:spacing w:after="0"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c>
          <w:tcPr>
            <w:tcW w:w="1701" w:type="dxa"/>
            <w:vAlign w:val="center"/>
          </w:tcPr>
          <w:p w14:paraId="38AAF13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60</w:t>
            </w:r>
          </w:p>
        </w:tc>
        <w:tc>
          <w:tcPr>
            <w:tcW w:w="1701" w:type="dxa"/>
            <w:vAlign w:val="center"/>
          </w:tcPr>
          <w:p w14:paraId="6A22189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250</w:t>
            </w:r>
          </w:p>
        </w:tc>
        <w:tc>
          <w:tcPr>
            <w:tcW w:w="1751" w:type="dxa"/>
            <w:vAlign w:val="center"/>
          </w:tcPr>
          <w:p w14:paraId="5A81DA03">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390</w:t>
            </w:r>
          </w:p>
        </w:tc>
      </w:tr>
      <w:tr w14:paraId="6C82F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19" w:type="dxa"/>
            <w:vAlign w:val="center"/>
          </w:tcPr>
          <w:p w14:paraId="161BF5ED">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p>
        </w:tc>
        <w:tc>
          <w:tcPr>
            <w:tcW w:w="1950" w:type="dxa"/>
            <w:vAlign w:val="center"/>
          </w:tcPr>
          <w:p w14:paraId="78A92565">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0.02</w:t>
            </w:r>
          </w:p>
        </w:tc>
        <w:tc>
          <w:tcPr>
            <w:tcW w:w="1701" w:type="dxa"/>
            <w:vAlign w:val="center"/>
          </w:tcPr>
          <w:p w14:paraId="3800651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80</w:t>
            </w:r>
          </w:p>
        </w:tc>
        <w:tc>
          <w:tcPr>
            <w:tcW w:w="1701" w:type="dxa"/>
            <w:vAlign w:val="center"/>
          </w:tcPr>
          <w:p w14:paraId="37D6A5F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275</w:t>
            </w:r>
          </w:p>
        </w:tc>
        <w:tc>
          <w:tcPr>
            <w:tcW w:w="1751" w:type="dxa"/>
            <w:vAlign w:val="center"/>
          </w:tcPr>
          <w:p w14:paraId="57B18C9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425</w:t>
            </w:r>
          </w:p>
        </w:tc>
      </w:tr>
      <w:tr w14:paraId="30BAD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19" w:type="dxa"/>
            <w:vAlign w:val="center"/>
          </w:tcPr>
          <w:p w14:paraId="0FBAD9DA">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锌</w:t>
            </w:r>
          </w:p>
        </w:tc>
        <w:tc>
          <w:tcPr>
            <w:tcW w:w="1950" w:type="dxa"/>
            <w:vAlign w:val="center"/>
          </w:tcPr>
          <w:p w14:paraId="43481D82">
            <w:pPr>
              <w:pStyle w:val="10"/>
              <w:spacing w:after="0"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1701" w:type="dxa"/>
            <w:vAlign w:val="center"/>
          </w:tcPr>
          <w:p w14:paraId="29DBB36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60</w:t>
            </w:r>
          </w:p>
        </w:tc>
        <w:tc>
          <w:tcPr>
            <w:tcW w:w="1701" w:type="dxa"/>
            <w:vAlign w:val="center"/>
          </w:tcPr>
          <w:p w14:paraId="4725AD8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250</w:t>
            </w:r>
          </w:p>
        </w:tc>
        <w:tc>
          <w:tcPr>
            <w:tcW w:w="1751" w:type="dxa"/>
            <w:vAlign w:val="center"/>
          </w:tcPr>
          <w:p w14:paraId="0EE9AFC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390</w:t>
            </w:r>
          </w:p>
        </w:tc>
      </w:tr>
    </w:tbl>
    <w:p w14:paraId="7BB42A03">
      <w:pPr>
        <w:pStyle w:val="6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通过预测，在非正常状况下，项目区下游部分区域的地下水产生一定程度的污染影响，在非正常运营或发生风险事故时，污染物将影响下游区域。在落实好源头控制、分区防渗、污染监控等措施后，本项目产生的污染物均能得到有效处理，对地下水水质影响较小。</w:t>
      </w:r>
    </w:p>
    <w:p w14:paraId="01BEAD71">
      <w:pPr>
        <w:pStyle w:val="6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u w:val="single" w:color="auto"/>
        </w:rPr>
      </w:pPr>
      <w:r>
        <w:rPr>
          <w:rFonts w:hint="default" w:ascii="Times New Roman" w:hAnsi="Times New Roman" w:eastAsia="宋体" w:cs="Times New Roman"/>
          <w:color w:val="auto"/>
          <w:sz w:val="24"/>
          <w:highlight w:val="none"/>
          <w:u w:val="single" w:color="auto"/>
        </w:rPr>
        <w:t>本评价建议项目废水的收集、处理尽可能做到可视可监控，可有效发现废水收集或处理区域发生渗漏的问题，此外，建设单位应积极采取有效的防渗措施，定期监控，及时发现事故泄漏并采取有效的应急措施，避免泄漏持续发生。</w:t>
      </w:r>
    </w:p>
    <w:p w14:paraId="77F70452">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7.2.4运营期噪声环境影响分析</w:t>
      </w:r>
    </w:p>
    <w:p w14:paraId="7465A65E">
      <w:pPr>
        <w:pStyle w:val="61"/>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（1）噪声源及源强</w:t>
      </w:r>
    </w:p>
    <w:p w14:paraId="500FABDA">
      <w:pPr>
        <w:pStyle w:val="61"/>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项目运营期噪声主要来自</w:t>
      </w:r>
      <w:r>
        <w:rPr>
          <w:rFonts w:hint="default" w:ascii="Times New Roman" w:hAnsi="Times New Roman" w:eastAsia="宋体" w:cs="Times New Roman"/>
          <w:color w:val="auto"/>
          <w:sz w:val="24"/>
          <w:szCs w:val="24"/>
          <w:highlight w:val="none"/>
          <w:u w:val="single" w:color="auto"/>
          <w:lang w:eastAsia="zh-CN"/>
        </w:rPr>
        <w:t>液压机</w:t>
      </w:r>
      <w:r>
        <w:rPr>
          <w:rFonts w:hint="default" w:ascii="Times New Roman" w:hAnsi="Times New Roman" w:eastAsia="宋体" w:cs="Times New Roman"/>
          <w:color w:val="auto"/>
          <w:sz w:val="24"/>
          <w:szCs w:val="24"/>
          <w:highlight w:val="none"/>
          <w:u w:val="single" w:color="auto"/>
        </w:rPr>
        <w:t>、风机和</w:t>
      </w:r>
      <w:r>
        <w:rPr>
          <w:rFonts w:hint="default" w:ascii="Times New Roman" w:hAnsi="Times New Roman" w:eastAsia="宋体" w:cs="Times New Roman"/>
          <w:color w:val="auto"/>
          <w:sz w:val="24"/>
          <w:szCs w:val="24"/>
          <w:highlight w:val="none"/>
          <w:u w:val="single" w:color="auto"/>
          <w:lang w:eastAsia="zh-CN"/>
        </w:rPr>
        <w:t>磨床</w:t>
      </w:r>
      <w:r>
        <w:rPr>
          <w:rFonts w:hint="default" w:ascii="Times New Roman" w:hAnsi="Times New Roman" w:eastAsia="宋体" w:cs="Times New Roman"/>
          <w:color w:val="auto"/>
          <w:sz w:val="24"/>
          <w:szCs w:val="24"/>
          <w:highlight w:val="none"/>
          <w:u w:val="single" w:color="auto"/>
        </w:rPr>
        <w:t>等，噪声源强详见工程分析。</w:t>
      </w:r>
    </w:p>
    <w:p w14:paraId="692D9996">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（2）预测模式</w:t>
      </w:r>
    </w:p>
    <w:p w14:paraId="475C78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固定声源的噪声向周围传播过程中，会发生反射、折射、衍射、吸收等现象。 因此，随传播距离的增加而产生的衰减量并不按简单的几何规律计算。根据《环境影响评价技术导则-声环境》(HJ2.4-2021)对室内声源的预测方法，声源位于室内，室内声源可采用等效室外声源声功率级法进行计算。</w:t>
      </w:r>
    </w:p>
    <w:p w14:paraId="06C84E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①计算某一室内声源靠近围护结构处产生的倍频带声压级：</w:t>
      </w:r>
    </w:p>
    <w:p w14:paraId="6ECB52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cs="Times New Roman"/>
          <w:color w:val="auto"/>
          <w:sz w:val="24"/>
          <w:szCs w:val="24"/>
          <w:u w:val="single" w:color="auto"/>
        </w:rPr>
        <w:drawing>
          <wp:inline distT="0" distB="0" distL="114300" distR="114300">
            <wp:extent cx="2933700" cy="564515"/>
            <wp:effectExtent l="0" t="0" r="0"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9"/>
                    <a:stretch>
                      <a:fillRect/>
                    </a:stretch>
                  </pic:blipFill>
                  <pic:spPr>
                    <a:xfrm>
                      <a:off x="0" y="0"/>
                      <a:ext cx="2933700" cy="564515"/>
                    </a:xfrm>
                    <a:prstGeom prst="rect">
                      <a:avLst/>
                    </a:prstGeom>
                    <a:noFill/>
                    <a:ln>
                      <a:noFill/>
                    </a:ln>
                  </pic:spPr>
                </pic:pic>
              </a:graphicData>
            </a:graphic>
          </wp:inline>
        </w:drawing>
      </w:r>
    </w:p>
    <w:p w14:paraId="77FE5B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式中：Q——指向性因数：通常对无指向性声源，当声源放在房间中心时， Q=1 ；当放在一面墙的中心时，Q=2；当放在两面墙夹角时，Q=4；当放在三面墙夹角处时，Q=8；</w:t>
      </w:r>
    </w:p>
    <w:p w14:paraId="39CF92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R——房间常数：R=Sα/(1-α)；</w:t>
      </w:r>
    </w:p>
    <w:p w14:paraId="03FBDB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S 为房间内表面面积，m</w:t>
      </w:r>
      <w:r>
        <w:rPr>
          <w:rFonts w:hint="default" w:ascii="Times New Roman" w:hAnsi="Times New Roman" w:eastAsia="宋体" w:cs="Times New Roman"/>
          <w:color w:val="auto"/>
          <w:sz w:val="24"/>
          <w:szCs w:val="24"/>
          <w:u w:val="single" w:color="auto"/>
          <w:vertAlign w:val="superscript"/>
          <w:lang w:eastAsia="zh-CN"/>
        </w:rPr>
        <w:t>2</w:t>
      </w:r>
      <w:r>
        <w:rPr>
          <w:rFonts w:hint="default" w:ascii="Times New Roman" w:hAnsi="Times New Roman" w:eastAsia="宋体" w:cs="Times New Roman"/>
          <w:color w:val="auto"/>
          <w:sz w:val="24"/>
          <w:szCs w:val="24"/>
          <w:u w:val="single" w:color="auto"/>
          <w:lang w:eastAsia="zh-CN"/>
        </w:rPr>
        <w:t>；</w:t>
      </w:r>
    </w:p>
    <w:p w14:paraId="7C9B53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α为平均吸声系数；</w:t>
      </w:r>
    </w:p>
    <w:p w14:paraId="75404B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val="en-US" w:eastAsia="zh-CN"/>
        </w:rPr>
        <w:t>r</w:t>
      </w:r>
      <w:r>
        <w:rPr>
          <w:rFonts w:hint="default" w:ascii="Times New Roman" w:hAnsi="Times New Roman" w:eastAsia="宋体" w:cs="Times New Roman"/>
          <w:color w:val="auto"/>
          <w:sz w:val="24"/>
          <w:szCs w:val="24"/>
          <w:u w:val="single" w:color="auto"/>
          <w:lang w:eastAsia="zh-CN"/>
        </w:rPr>
        <w:t>——声源到靠近围护结构某点处的距离，m。</w:t>
      </w:r>
    </w:p>
    <w:p w14:paraId="2E9F30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②计算出所有室内声源在围护结构处产生的i 倍频带叠加声压级：</w:t>
      </w:r>
    </w:p>
    <w:p w14:paraId="402D9F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Times New Roman" w:hAnsi="Times New Roman" w:cs="Times New Roman"/>
          <w:color w:val="auto"/>
          <w:sz w:val="24"/>
          <w:szCs w:val="24"/>
          <w:u w:val="single" w:color="auto"/>
        </w:rPr>
      </w:pPr>
      <w:r>
        <w:rPr>
          <w:rFonts w:hint="default" w:ascii="Times New Roman" w:hAnsi="Times New Roman" w:cs="Times New Roman"/>
          <w:color w:val="auto"/>
          <w:position w:val="-32"/>
          <w:sz w:val="24"/>
          <w:szCs w:val="24"/>
          <w:u w:val="single" w:color="auto"/>
        </w:rPr>
        <w:object>
          <v:shape id="_x0000_i1037" o:spt="75" type="#_x0000_t75" style="height:47.75pt;width:189.05pt;" o:ole="t" filled="f" o:preferrelative="t" stroked="f" coordsize="21600,21600">
            <v:path/>
            <v:fill on="f" focussize="0,0"/>
            <v:stroke on="f"/>
            <v:imagedata r:id="rId51" o:title=""/>
            <o:lock v:ext="edit" aspectratio="t"/>
            <w10:wrap type="none"/>
            <w10:anchorlock/>
          </v:shape>
          <o:OLEObject Type="Embed" ProgID="Equation.KSEE3" ShapeID="_x0000_i1037" DrawAspect="Content" ObjectID="_1468075737" r:id="rId50">
            <o:LockedField>false</o:LockedField>
          </o:OLEObject>
        </w:object>
      </w:r>
    </w:p>
    <w:p w14:paraId="25A30C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式中：Lpli(T)——靠近围护结构处室内N个声源i倍频带的叠加声压级， dB；</w:t>
      </w:r>
    </w:p>
    <w:p w14:paraId="0DBA35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Lplij——室内j 声源 i 倍频带的声压级， dB；</w:t>
      </w:r>
    </w:p>
    <w:p w14:paraId="232969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③在室内近似为扩散声场地，按下式计算出靠近室外围护结构处的声压级：</w:t>
      </w:r>
    </w:p>
    <w:p w14:paraId="4182B0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position w:val="-14"/>
          <w:sz w:val="24"/>
          <w:szCs w:val="24"/>
          <w:u w:val="single" w:color="auto"/>
          <w:lang w:eastAsia="zh-CN"/>
        </w:rPr>
        <w:object>
          <v:shape id="_x0000_i1038" o:spt="75" type="#_x0000_t75" style="height:28.3pt;width:190.6pt;" o:ole="t" filled="f" o:preferrelative="t" stroked="f" coordsize="21600,21600">
            <v:path/>
            <v:fill on="f" focussize="0,0"/>
            <v:stroke on="f"/>
            <v:imagedata r:id="rId53" o:title=""/>
            <o:lock v:ext="edit" aspectratio="t"/>
            <w10:wrap type="none"/>
            <w10:anchorlock/>
          </v:shape>
          <o:OLEObject Type="Embed" ProgID="Equation.KSEE3" ShapeID="_x0000_i1038" DrawAspect="Content" ObjectID="_1468075738" r:id="rId52">
            <o:LockedField>false</o:LockedField>
          </o:OLEObject>
        </w:object>
      </w:r>
    </w:p>
    <w:p w14:paraId="319361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式中：Lp2i(T)——靠近围护结构处室外N个声源i倍频带的叠加声压级， dB；</w:t>
      </w:r>
    </w:p>
    <w:p w14:paraId="3EEB54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TLi—— 围护结构 i 倍频带的隔声量， ；</w:t>
      </w:r>
    </w:p>
    <w:p w14:paraId="7E95ED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④将室内声源的声压级和透过面积换算成等效的室外声源，计算出中心位置位于透声面积(S)处的等效声源的倍频带声功率级。</w:t>
      </w:r>
    </w:p>
    <w:p w14:paraId="2E54D9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position w:val="-12"/>
          <w:sz w:val="24"/>
          <w:szCs w:val="24"/>
          <w:u w:val="single" w:color="auto"/>
          <w:lang w:eastAsia="zh-CN"/>
        </w:rPr>
        <w:object>
          <v:shape id="_x0000_i1039" o:spt="75" type="#_x0000_t75" style="height:24.4pt;width:141pt;" o:ole="t" filled="f" o:preferrelative="t" stroked="f" coordsize="21600,21600">
            <v:path/>
            <v:fill on="f" focussize="0,0"/>
            <v:stroke on="f"/>
            <v:imagedata r:id="rId55" o:title=""/>
            <o:lock v:ext="edit" aspectratio="t"/>
            <w10:wrap type="none"/>
            <w10:anchorlock/>
          </v:shape>
          <o:OLEObject Type="Embed" ProgID="Equation.KSEE3" ShapeID="_x0000_i1039" DrawAspect="Content" ObjectID="_1468075739" r:id="rId54">
            <o:LockedField>false</o:LockedField>
          </o:OLEObject>
        </w:object>
      </w:r>
    </w:p>
    <w:p w14:paraId="009F73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⑤按室外声源预测方法计算预测点处的 A 声级。</w:t>
      </w:r>
    </w:p>
    <w:p w14:paraId="32FA87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设第i个室内声源在预测点产生的A声级为LAi，在T时间内该声源工作时间为ti；第j个等效室外声源在预测点产生的A声级为LAj，在T时间内该声源工作时间为tj，则拟建工程声源对预测点产生的贡献值(Leqg )为：</w:t>
      </w:r>
    </w:p>
    <w:p w14:paraId="4B986C2B">
      <w:pPr>
        <w:keepNext w:val="0"/>
        <w:keepLines w:val="0"/>
        <w:pageBreakBefore w:val="0"/>
        <w:widowControl w:val="0"/>
        <w:tabs>
          <w:tab w:val="left" w:pos="2303"/>
        </w:tabs>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cs="Times New Roman"/>
          <w:color w:val="auto"/>
          <w:position w:val="-32"/>
          <w:sz w:val="24"/>
          <w:szCs w:val="24"/>
          <w:u w:val="single" w:color="auto"/>
        </w:rPr>
        <w:object>
          <v:shape id="_x0000_i1040" o:spt="75" type="#_x0000_t75" style="height:48.65pt;width:261.1pt;" o:ole="t" filled="f" o:preferrelative="t" stroked="f" coordsize="21600,21600">
            <v:path/>
            <v:fill on="f" focussize="0,0"/>
            <v:stroke on="f"/>
            <v:imagedata r:id="rId57" o:title=""/>
            <o:lock v:ext="edit" aspectratio="t"/>
            <w10:wrap type="none"/>
            <w10:anchorlock/>
          </v:shape>
          <o:OLEObject Type="Embed" ProgID="Equation.KSEE3" ShapeID="_x0000_i1040" DrawAspect="Content" ObjectID="_1468075740" r:id="rId56">
            <o:LockedField>false</o:LockedField>
          </o:OLEObject>
        </w:object>
      </w:r>
    </w:p>
    <w:p w14:paraId="49F7C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式中：</w:t>
      </w:r>
      <w:r>
        <w:rPr>
          <w:rFonts w:hint="default" w:ascii="Times New Roman" w:hAnsi="Times New Roman" w:eastAsia="宋体" w:cs="Times New Roman"/>
          <w:color w:val="auto"/>
          <w:sz w:val="24"/>
          <w:szCs w:val="24"/>
          <w:u w:val="single" w:color="auto"/>
          <w:lang w:val="en-US" w:eastAsia="zh-CN"/>
        </w:rPr>
        <w:t xml:space="preserve">Leqg——建设项目声源在预测点产生的噪声贡献值，dB； </w:t>
      </w:r>
    </w:p>
    <w:p w14:paraId="290FC7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val="en-US" w:eastAsia="zh-CN"/>
        </w:rPr>
        <w:t xml:space="preserve">T ——用于计算等效声级的时间，s； </w:t>
      </w:r>
    </w:p>
    <w:p w14:paraId="333F83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val="en-US" w:eastAsia="zh-CN"/>
        </w:rPr>
        <w:t xml:space="preserve">N ——室外声源个数； </w:t>
      </w:r>
    </w:p>
    <w:p w14:paraId="3B979C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val="en-US" w:eastAsia="zh-CN"/>
        </w:rPr>
        <w:t xml:space="preserve">ti ——在 T 时间内 i 声源工作时间，s； </w:t>
      </w:r>
    </w:p>
    <w:p w14:paraId="36548E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val="en-US" w:eastAsia="zh-CN"/>
        </w:rPr>
        <w:t xml:space="preserve">M ——等效室外声源个数； </w:t>
      </w:r>
    </w:p>
    <w:p w14:paraId="10341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val="en-US" w:eastAsia="zh-CN"/>
        </w:rPr>
        <w:t>t j ——在 T 时间内 j 声源工作时间，s。</w:t>
      </w:r>
    </w:p>
    <w:p w14:paraId="78424F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⑥预测点的预测等效声级(Leq )计算：</w:t>
      </w:r>
    </w:p>
    <w:p w14:paraId="126CAC7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position w:val="-14"/>
          <w:sz w:val="24"/>
          <w:szCs w:val="24"/>
          <w:u w:val="single" w:color="auto"/>
          <w:lang w:eastAsia="zh-CN"/>
        </w:rPr>
        <w:object>
          <v:shape id="_x0000_i1041" o:spt="75" type="#_x0000_t75" style="height:33.65pt;width:219.45pt;" o:ole="t" filled="f" o:preferrelative="t" stroked="f" coordsize="21600,21600">
            <v:path/>
            <v:fill on="f" focussize="0,0"/>
            <v:stroke on="f"/>
            <v:imagedata r:id="rId59" o:title=""/>
            <o:lock v:ext="edit" aspectratio="t"/>
            <w10:wrap type="none"/>
            <w10:anchorlock/>
          </v:shape>
          <o:OLEObject Type="Embed" ProgID="Equation.KSEE3" ShapeID="_x0000_i1041" DrawAspect="Content" ObjectID="_1468075741" r:id="rId58">
            <o:LockedField>false</o:LockedField>
          </o:OLEObject>
        </w:object>
      </w:r>
    </w:p>
    <w:p w14:paraId="1D5747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 xml:space="preserve">式中：Leq——建设项目声源在预测点的等效声级贡献量，dB(A)； </w:t>
      </w:r>
    </w:p>
    <w:p w14:paraId="3E8511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Leqb——预测点背景值， dB(A)；</w:t>
      </w:r>
    </w:p>
    <w:p w14:paraId="0E56B5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本次评墙体的隔声量取</w:t>
      </w:r>
      <w:r>
        <w:rPr>
          <w:rFonts w:hint="default" w:ascii="Times New Roman" w:hAnsi="Times New Roman" w:cs="Times New Roman"/>
          <w:color w:val="auto"/>
          <w:sz w:val="24"/>
          <w:szCs w:val="24"/>
          <w:u w:val="single" w:color="auto"/>
          <w:lang w:val="en-US" w:eastAsia="zh-CN"/>
        </w:rPr>
        <w:t>30</w:t>
      </w:r>
      <w:r>
        <w:rPr>
          <w:rFonts w:hint="default" w:ascii="Times New Roman" w:hAnsi="Times New Roman" w:eastAsia="宋体" w:cs="Times New Roman"/>
          <w:color w:val="auto"/>
          <w:sz w:val="24"/>
          <w:szCs w:val="24"/>
          <w:u w:val="single" w:color="auto"/>
          <w:lang w:eastAsia="zh-CN"/>
        </w:rPr>
        <w:t>dB(A)进行分析，项目的基础减震效果在5-25dB(A)之间，本次评价以5dB(A)进行考虑。</w:t>
      </w:r>
    </w:p>
    <w:p w14:paraId="1485B7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cs="Times New Roman"/>
          <w:color w:val="auto"/>
          <w:sz w:val="24"/>
          <w:szCs w:val="24"/>
          <w:u w:val="single" w:color="auto"/>
          <w:lang w:val="en-US" w:eastAsia="zh-CN"/>
        </w:rPr>
        <w:t>（3）</w:t>
      </w:r>
      <w:r>
        <w:rPr>
          <w:rFonts w:hint="default" w:ascii="Times New Roman" w:hAnsi="Times New Roman" w:eastAsia="宋体" w:cs="Times New Roman"/>
          <w:color w:val="auto"/>
          <w:sz w:val="24"/>
          <w:szCs w:val="24"/>
          <w:u w:val="single" w:color="auto"/>
          <w:lang w:eastAsia="zh-CN"/>
        </w:rPr>
        <w:t>预测参数</w:t>
      </w:r>
    </w:p>
    <w:p w14:paraId="386F1276">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项目噪声环境影响预测基础数据见下表。</w:t>
      </w:r>
    </w:p>
    <w:p w14:paraId="55413138">
      <w:pPr>
        <w:pStyle w:val="21"/>
        <w:keepNext w:val="0"/>
        <w:keepLines w:val="0"/>
        <w:pageBreakBefore w:val="0"/>
        <w:widowControl w:val="0"/>
        <w:kinsoku/>
        <w:wordWrap/>
        <w:overflowPunct/>
        <w:topLinePunct w:val="0"/>
        <w:autoSpaceDE/>
        <w:autoSpaceDN/>
        <w:bidi w:val="0"/>
        <w:adjustRightInd/>
        <w:ind w:firstLine="0" w:firstLineChars="0"/>
        <w:jc w:val="center"/>
        <w:textAlignment w:val="auto"/>
        <w:outlineLvl w:val="9"/>
        <w:rPr>
          <w:rFonts w:hint="default" w:ascii="Times New Roman" w:hAnsi="Times New Roman" w:eastAsia="宋体" w:cs="Times New Roman"/>
          <w:b/>
          <w:bCs/>
          <w:color w:val="auto"/>
          <w:u w:val="single" w:color="auto"/>
          <w:lang w:eastAsia="zh-CN"/>
        </w:rPr>
      </w:pPr>
      <w:r>
        <w:rPr>
          <w:rFonts w:hint="default" w:ascii="Times New Roman" w:hAnsi="Times New Roman" w:eastAsia="宋体" w:cs="Times New Roman"/>
          <w:b/>
          <w:color w:val="auto"/>
          <w:sz w:val="21"/>
          <w:szCs w:val="21"/>
          <w:u w:val="single" w:color="auto"/>
          <w:lang w:val="en-US" w:eastAsia="zh-CN" w:bidi="ar-SA"/>
        </w:rPr>
        <w:t>表7.2-15 项目噪声环境影响预测基础数据表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2791"/>
        <w:gridCol w:w="2130"/>
        <w:gridCol w:w="2131"/>
      </w:tblGrid>
      <w:tr w14:paraId="58D73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861" w:type="pct"/>
            <w:noWrap w:val="0"/>
            <w:vAlign w:val="center"/>
          </w:tcPr>
          <w:p w14:paraId="6DB86AFC">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bookmarkStart w:id="76" w:name="PT_4"/>
            <w:r>
              <w:rPr>
                <w:rFonts w:hint="default" w:ascii="Times New Roman" w:hAnsi="Times New Roman" w:eastAsia="宋体" w:cs="Times New Roman"/>
                <w:snapToGrid/>
                <w:color w:val="auto"/>
                <w:kern w:val="0"/>
                <w:sz w:val="21"/>
                <w:szCs w:val="21"/>
                <w:u w:val="single" w:color="auto"/>
                <w:lang w:val="en-US" w:bidi="ar-SA"/>
              </w:rPr>
              <w:t>序号</w:t>
            </w:r>
          </w:p>
        </w:tc>
        <w:tc>
          <w:tcPr>
            <w:tcW w:w="1638" w:type="pct"/>
            <w:noWrap w:val="0"/>
            <w:vAlign w:val="center"/>
          </w:tcPr>
          <w:p w14:paraId="32341F33">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名称</w:t>
            </w:r>
          </w:p>
        </w:tc>
        <w:tc>
          <w:tcPr>
            <w:tcW w:w="1250" w:type="pct"/>
            <w:noWrap w:val="0"/>
            <w:vAlign w:val="center"/>
          </w:tcPr>
          <w:p w14:paraId="7A5CE953">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单位</w:t>
            </w:r>
          </w:p>
        </w:tc>
        <w:tc>
          <w:tcPr>
            <w:tcW w:w="1250" w:type="pct"/>
            <w:noWrap w:val="0"/>
            <w:vAlign w:val="center"/>
          </w:tcPr>
          <w:p w14:paraId="54BC183E">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数据</w:t>
            </w:r>
          </w:p>
          <w:bookmarkEnd w:id="76"/>
        </w:tc>
      </w:tr>
      <w:tr w14:paraId="408E2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1" w:type="pct"/>
            <w:shd w:val="clear" w:color="auto" w:fill="FFFFFF"/>
            <w:noWrap w:val="0"/>
            <w:vAlign w:val="center"/>
          </w:tcPr>
          <w:p w14:paraId="6F641CB2">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1</w:t>
            </w:r>
          </w:p>
        </w:tc>
        <w:tc>
          <w:tcPr>
            <w:tcW w:w="1638" w:type="pct"/>
            <w:shd w:val="clear" w:color="auto" w:fill="FFFFFF"/>
            <w:noWrap w:val="0"/>
            <w:vAlign w:val="center"/>
          </w:tcPr>
          <w:p w14:paraId="42D76DD1">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年平均风速</w:t>
            </w:r>
          </w:p>
        </w:tc>
        <w:tc>
          <w:tcPr>
            <w:tcW w:w="1250" w:type="pct"/>
            <w:shd w:val="clear" w:color="auto" w:fill="FFFFFF"/>
            <w:noWrap w:val="0"/>
            <w:vAlign w:val="center"/>
          </w:tcPr>
          <w:p w14:paraId="0CE34D10">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m/s</w:t>
            </w:r>
          </w:p>
        </w:tc>
        <w:tc>
          <w:tcPr>
            <w:tcW w:w="1250" w:type="pct"/>
            <w:shd w:val="clear" w:color="auto" w:fill="FFFFFF"/>
            <w:noWrap w:val="0"/>
            <w:vAlign w:val="center"/>
          </w:tcPr>
          <w:p w14:paraId="420E712A">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eastAsia="zh-CN" w:bidi="ar-SA"/>
              </w:rPr>
            </w:pPr>
            <w:r>
              <w:rPr>
                <w:rFonts w:hint="default" w:ascii="Times New Roman" w:hAnsi="Times New Roman" w:cs="Times New Roman"/>
                <w:snapToGrid/>
                <w:color w:val="auto"/>
                <w:kern w:val="0"/>
                <w:sz w:val="21"/>
                <w:szCs w:val="21"/>
                <w:u w:val="single" w:color="auto"/>
                <w:lang w:val="en-US" w:eastAsia="zh-CN" w:bidi="ar-SA"/>
              </w:rPr>
              <w:t>2</w:t>
            </w:r>
          </w:p>
        </w:tc>
      </w:tr>
      <w:tr w14:paraId="52A85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1" w:type="pct"/>
            <w:shd w:val="clear" w:color="auto" w:fill="FFFFFF"/>
            <w:noWrap w:val="0"/>
            <w:vAlign w:val="center"/>
          </w:tcPr>
          <w:p w14:paraId="206BE436">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2</w:t>
            </w:r>
          </w:p>
        </w:tc>
        <w:tc>
          <w:tcPr>
            <w:tcW w:w="1638" w:type="pct"/>
            <w:shd w:val="clear" w:color="auto" w:fill="FFFFFF"/>
            <w:noWrap w:val="0"/>
            <w:vAlign w:val="center"/>
          </w:tcPr>
          <w:p w14:paraId="28407396">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主导风向</w:t>
            </w:r>
          </w:p>
        </w:tc>
        <w:tc>
          <w:tcPr>
            <w:tcW w:w="1250" w:type="pct"/>
            <w:shd w:val="clear" w:color="auto" w:fill="FFFFFF"/>
            <w:noWrap w:val="0"/>
            <w:vAlign w:val="center"/>
          </w:tcPr>
          <w:p w14:paraId="10CBC3F4">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w:t>
            </w:r>
          </w:p>
        </w:tc>
        <w:tc>
          <w:tcPr>
            <w:tcW w:w="1250" w:type="pct"/>
            <w:shd w:val="clear" w:color="auto" w:fill="FFFFFF"/>
            <w:noWrap w:val="0"/>
            <w:vAlign w:val="center"/>
          </w:tcPr>
          <w:p w14:paraId="45EF3791">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eastAsia="zh-CN" w:bidi="ar-SA"/>
              </w:rPr>
            </w:pPr>
            <w:r>
              <w:rPr>
                <w:rFonts w:hint="default" w:ascii="Times New Roman" w:hAnsi="Times New Roman" w:cs="Times New Roman"/>
                <w:snapToGrid/>
                <w:color w:val="auto"/>
                <w:kern w:val="0"/>
                <w:sz w:val="21"/>
                <w:szCs w:val="21"/>
                <w:u w:val="single" w:color="auto"/>
                <w:lang w:val="en-US" w:eastAsia="zh-CN" w:bidi="ar-SA"/>
              </w:rPr>
              <w:t>东</w:t>
            </w:r>
            <w:r>
              <w:rPr>
                <w:rFonts w:hint="default" w:ascii="Times New Roman" w:hAnsi="Times New Roman" w:eastAsia="宋体" w:cs="Times New Roman"/>
                <w:snapToGrid/>
                <w:color w:val="auto"/>
                <w:kern w:val="0"/>
                <w:sz w:val="21"/>
                <w:szCs w:val="21"/>
                <w:u w:val="single" w:color="auto"/>
                <w:lang w:val="en-US" w:eastAsia="zh-CN" w:bidi="ar-SA"/>
              </w:rPr>
              <w:t>北风</w:t>
            </w:r>
          </w:p>
        </w:tc>
      </w:tr>
      <w:tr w14:paraId="1E3E6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1" w:type="pct"/>
            <w:shd w:val="clear" w:color="auto" w:fill="FFFFFF"/>
            <w:noWrap w:val="0"/>
            <w:vAlign w:val="center"/>
          </w:tcPr>
          <w:p w14:paraId="00072EA0">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3</w:t>
            </w:r>
          </w:p>
        </w:tc>
        <w:tc>
          <w:tcPr>
            <w:tcW w:w="1638" w:type="pct"/>
            <w:shd w:val="clear" w:color="auto" w:fill="FFFFFF"/>
            <w:noWrap w:val="0"/>
            <w:vAlign w:val="center"/>
          </w:tcPr>
          <w:p w14:paraId="6089424A">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年平均气温</w:t>
            </w:r>
          </w:p>
        </w:tc>
        <w:tc>
          <w:tcPr>
            <w:tcW w:w="1250" w:type="pct"/>
            <w:shd w:val="clear" w:color="auto" w:fill="FFFFFF"/>
            <w:noWrap w:val="0"/>
            <w:vAlign w:val="center"/>
          </w:tcPr>
          <w:p w14:paraId="17397943">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w:t>
            </w:r>
          </w:p>
        </w:tc>
        <w:tc>
          <w:tcPr>
            <w:tcW w:w="1250" w:type="pct"/>
            <w:shd w:val="clear" w:color="auto" w:fill="FFFFFF"/>
            <w:noWrap w:val="0"/>
            <w:vAlign w:val="center"/>
          </w:tcPr>
          <w:p w14:paraId="598375DF">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eastAsia="zh-CN" w:bidi="ar-SA"/>
              </w:rPr>
            </w:pPr>
            <w:r>
              <w:rPr>
                <w:rFonts w:hint="default" w:ascii="Times New Roman" w:hAnsi="Times New Roman" w:cs="Times New Roman"/>
                <w:snapToGrid/>
                <w:color w:val="auto"/>
                <w:kern w:val="0"/>
                <w:sz w:val="21"/>
                <w:szCs w:val="21"/>
                <w:u w:val="single" w:color="auto"/>
                <w:lang w:val="en-US" w:eastAsia="zh-CN" w:bidi="ar-SA"/>
              </w:rPr>
              <w:t>17.8</w:t>
            </w:r>
          </w:p>
        </w:tc>
      </w:tr>
      <w:tr w14:paraId="52B3D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1" w:type="pct"/>
            <w:shd w:val="clear" w:color="auto" w:fill="FFFFFF"/>
            <w:noWrap w:val="0"/>
            <w:vAlign w:val="center"/>
          </w:tcPr>
          <w:p w14:paraId="27EF2BA7">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4</w:t>
            </w:r>
          </w:p>
        </w:tc>
        <w:tc>
          <w:tcPr>
            <w:tcW w:w="1638" w:type="pct"/>
            <w:shd w:val="clear" w:color="auto" w:fill="FFFFFF"/>
            <w:noWrap w:val="0"/>
            <w:vAlign w:val="center"/>
          </w:tcPr>
          <w:p w14:paraId="3E967AC6">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年平均相对湿度</w:t>
            </w:r>
          </w:p>
        </w:tc>
        <w:tc>
          <w:tcPr>
            <w:tcW w:w="1250" w:type="pct"/>
            <w:shd w:val="clear" w:color="auto" w:fill="FFFFFF"/>
            <w:noWrap w:val="0"/>
            <w:vAlign w:val="center"/>
          </w:tcPr>
          <w:p w14:paraId="2EB963A5">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w:t>
            </w:r>
          </w:p>
        </w:tc>
        <w:tc>
          <w:tcPr>
            <w:tcW w:w="1250" w:type="pct"/>
            <w:shd w:val="clear" w:color="auto" w:fill="FFFFFF"/>
            <w:noWrap w:val="0"/>
            <w:vAlign w:val="center"/>
          </w:tcPr>
          <w:p w14:paraId="6FFBC5AF">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eastAsia="zh-CN" w:bidi="ar-SA"/>
              </w:rPr>
            </w:pPr>
            <w:r>
              <w:rPr>
                <w:rFonts w:hint="default" w:ascii="Times New Roman" w:hAnsi="Times New Roman" w:cs="Times New Roman"/>
                <w:snapToGrid/>
                <w:color w:val="auto"/>
                <w:kern w:val="0"/>
                <w:sz w:val="21"/>
                <w:szCs w:val="21"/>
                <w:u w:val="single" w:color="auto"/>
                <w:lang w:val="en-US" w:eastAsia="zh-CN" w:bidi="ar-SA"/>
              </w:rPr>
              <w:t>78</w:t>
            </w:r>
          </w:p>
        </w:tc>
      </w:tr>
      <w:tr w14:paraId="35A6D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861" w:type="pct"/>
            <w:shd w:val="clear" w:color="auto" w:fill="FFFFFF"/>
            <w:noWrap w:val="0"/>
            <w:vAlign w:val="center"/>
          </w:tcPr>
          <w:p w14:paraId="0F2E5E0C">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5</w:t>
            </w:r>
          </w:p>
        </w:tc>
        <w:tc>
          <w:tcPr>
            <w:tcW w:w="1638" w:type="pct"/>
            <w:shd w:val="clear" w:color="auto" w:fill="FFFFFF"/>
            <w:noWrap w:val="0"/>
            <w:vAlign w:val="center"/>
          </w:tcPr>
          <w:p w14:paraId="2D4A0534">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大气压强</w:t>
            </w:r>
          </w:p>
        </w:tc>
        <w:tc>
          <w:tcPr>
            <w:tcW w:w="1250" w:type="pct"/>
            <w:shd w:val="clear" w:color="auto" w:fill="FFFFFF"/>
            <w:noWrap w:val="0"/>
            <w:vAlign w:val="center"/>
          </w:tcPr>
          <w:p w14:paraId="73B93A4D">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atm</w:t>
            </w:r>
          </w:p>
        </w:tc>
        <w:tc>
          <w:tcPr>
            <w:tcW w:w="1250" w:type="pct"/>
            <w:shd w:val="clear" w:color="auto" w:fill="FFFFFF"/>
            <w:noWrap w:val="0"/>
            <w:vAlign w:val="center"/>
          </w:tcPr>
          <w:p w14:paraId="2320936B">
            <w:pPr>
              <w:pStyle w:val="67"/>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snapToGrid/>
                <w:color w:val="auto"/>
                <w:kern w:val="0"/>
                <w:sz w:val="21"/>
                <w:szCs w:val="21"/>
                <w:u w:val="single" w:color="auto"/>
                <w:lang w:val="en-US" w:bidi="ar-SA"/>
              </w:rPr>
            </w:pPr>
            <w:r>
              <w:rPr>
                <w:rFonts w:hint="default" w:ascii="Times New Roman" w:hAnsi="Times New Roman" w:eastAsia="宋体" w:cs="Times New Roman"/>
                <w:snapToGrid/>
                <w:color w:val="auto"/>
                <w:kern w:val="0"/>
                <w:sz w:val="21"/>
                <w:szCs w:val="21"/>
                <w:u w:val="single" w:color="auto"/>
                <w:lang w:val="en-US" w:bidi="ar-SA"/>
              </w:rPr>
              <w:t>1</w:t>
            </w:r>
          </w:p>
        </w:tc>
      </w:tr>
    </w:tbl>
    <w:p w14:paraId="5DCC4D5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color w:val="auto"/>
          <w:kern w:val="2"/>
          <w:sz w:val="24"/>
          <w:szCs w:val="22"/>
          <w:u w:val="single" w:color="auto"/>
          <w:lang w:val="en-US" w:eastAsia="zh-CN" w:bidi="ar-SA"/>
        </w:rPr>
      </w:pPr>
      <w:r>
        <w:rPr>
          <w:rFonts w:hint="default" w:ascii="Times New Roman" w:hAnsi="Times New Roman" w:eastAsia="宋体" w:cs="Times New Roman"/>
          <w:color w:val="auto"/>
          <w:kern w:val="2"/>
          <w:sz w:val="24"/>
          <w:szCs w:val="22"/>
          <w:u w:val="single" w:color="auto"/>
          <w:lang w:val="en-US" w:eastAsia="zh-CN" w:bidi="ar-SA"/>
        </w:rPr>
        <w:t>声源和预测点间的地形、高差、障碍物、树林、灌木等的分布情况以及地面覆盖情况（如草地、水面、水泥地面、土质地面等）根据现场踏勘、项目</w:t>
      </w:r>
      <w:r>
        <w:rPr>
          <w:rFonts w:hint="eastAsia" w:ascii="Times New Roman" w:hAnsi="Times New Roman" w:eastAsia="宋体" w:cs="Times New Roman"/>
          <w:color w:val="auto"/>
          <w:kern w:val="2"/>
          <w:sz w:val="24"/>
          <w:szCs w:val="22"/>
          <w:u w:val="single" w:color="auto"/>
          <w:lang w:val="en-US" w:eastAsia="zh-CN" w:bidi="ar-SA"/>
        </w:rPr>
        <w:t>总平面图</w:t>
      </w:r>
      <w:r>
        <w:rPr>
          <w:rFonts w:hint="default" w:ascii="Times New Roman" w:hAnsi="Times New Roman" w:eastAsia="宋体" w:cs="Times New Roman"/>
          <w:color w:val="auto"/>
          <w:kern w:val="2"/>
          <w:sz w:val="24"/>
          <w:szCs w:val="22"/>
          <w:u w:val="single" w:color="auto"/>
          <w:lang w:val="en-US" w:eastAsia="zh-CN" w:bidi="ar-SA"/>
        </w:rPr>
        <w:t>等，并结合卫星图片地理信息数据确定，数据精度为10m。</w:t>
      </w:r>
    </w:p>
    <w:p w14:paraId="336BF25E">
      <w:pPr>
        <w:pStyle w:val="21"/>
        <w:keepNext w:val="0"/>
        <w:keepLines w:val="0"/>
        <w:pageBreakBefore w:val="0"/>
        <w:widowControl w:val="0"/>
        <w:kinsoku/>
        <w:wordWrap/>
        <w:overflowPunct/>
        <w:topLinePunct w:val="0"/>
        <w:autoSpaceDE/>
        <w:autoSpaceDN/>
        <w:bidi w:val="0"/>
        <w:adjustRightInd/>
        <w:ind w:firstLine="0" w:firstLineChars="0"/>
        <w:jc w:val="center"/>
        <w:textAlignment w:val="auto"/>
        <w:outlineLvl w:val="9"/>
        <w:rPr>
          <w:rFonts w:hint="default" w:ascii="Times New Roman" w:hAnsi="Times New Roman" w:eastAsia="宋体" w:cs="Times New Roman"/>
          <w:b/>
          <w:color w:val="auto"/>
          <w:sz w:val="21"/>
          <w:szCs w:val="21"/>
          <w:u w:val="single" w:color="auto"/>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5A71902">
      <w:pPr>
        <w:pStyle w:val="21"/>
        <w:keepNext w:val="0"/>
        <w:keepLines w:val="0"/>
        <w:pageBreakBefore w:val="0"/>
        <w:widowControl w:val="0"/>
        <w:kinsoku/>
        <w:wordWrap/>
        <w:overflowPunct/>
        <w:topLinePunct w:val="0"/>
        <w:autoSpaceDE/>
        <w:autoSpaceDN/>
        <w:bidi w:val="0"/>
        <w:adjustRightInd/>
        <w:ind w:firstLine="0" w:firstLineChars="0"/>
        <w:jc w:val="center"/>
        <w:textAlignment w:val="auto"/>
        <w:outlineLvl w:val="9"/>
        <w:rPr>
          <w:rFonts w:hint="default" w:ascii="Times New Roman" w:hAnsi="Times New Roman" w:eastAsia="宋体" w:cs="Times New Roman"/>
          <w:b/>
          <w:color w:val="auto"/>
          <w:sz w:val="21"/>
          <w:szCs w:val="21"/>
          <w:u w:val="single" w:color="auto"/>
          <w:lang w:val="en-US" w:eastAsia="zh-CN" w:bidi="ar-SA"/>
        </w:rPr>
      </w:pPr>
      <w:r>
        <w:rPr>
          <w:rFonts w:hint="default" w:ascii="Times New Roman" w:hAnsi="Times New Roman" w:eastAsia="宋体" w:cs="Times New Roman"/>
          <w:b/>
          <w:color w:val="auto"/>
          <w:sz w:val="21"/>
          <w:szCs w:val="21"/>
          <w:u w:val="single" w:color="auto"/>
          <w:lang w:val="en-US" w:eastAsia="zh-CN" w:bidi="ar-SA"/>
        </w:rPr>
        <w:t>表</w:t>
      </w:r>
      <w:r>
        <w:rPr>
          <w:rFonts w:hint="default" w:ascii="Times New Roman" w:hAnsi="Times New Roman" w:cs="Times New Roman"/>
          <w:b/>
          <w:color w:val="auto"/>
          <w:sz w:val="21"/>
          <w:szCs w:val="21"/>
          <w:u w:val="single" w:color="auto"/>
          <w:lang w:val="en-US" w:eastAsia="zh-CN" w:bidi="ar-SA"/>
        </w:rPr>
        <w:t xml:space="preserve">7.2-16  </w:t>
      </w:r>
      <w:r>
        <w:rPr>
          <w:rFonts w:hint="default" w:ascii="Times New Roman" w:hAnsi="Times New Roman" w:eastAsia="宋体" w:cs="Times New Roman"/>
          <w:b/>
          <w:color w:val="auto"/>
          <w:sz w:val="21"/>
          <w:szCs w:val="21"/>
          <w:u w:val="single" w:color="auto"/>
          <w:lang w:val="en-US" w:eastAsia="zh-CN" w:bidi="ar-SA"/>
        </w:rPr>
        <w:t>工业企业噪声源强调查清单（室内</w:t>
      </w:r>
      <w:r>
        <w:rPr>
          <w:rFonts w:hint="default" w:ascii="Times New Roman" w:hAnsi="Times New Roman" w:cs="Times New Roman"/>
          <w:b/>
          <w:color w:val="auto"/>
          <w:sz w:val="21"/>
          <w:szCs w:val="21"/>
          <w:u w:val="single" w:color="auto"/>
          <w:lang w:val="en-US" w:eastAsia="zh-CN" w:bidi="ar-SA"/>
        </w:rPr>
        <w:t>点</w:t>
      </w:r>
      <w:r>
        <w:rPr>
          <w:rFonts w:hint="default" w:ascii="Times New Roman" w:hAnsi="Times New Roman" w:eastAsia="宋体" w:cs="Times New Roman"/>
          <w:b/>
          <w:color w:val="auto"/>
          <w:sz w:val="21"/>
          <w:szCs w:val="21"/>
          <w:u w:val="single" w:color="auto"/>
          <w:lang w:val="en-US" w:eastAsia="zh-CN" w:bidi="ar-SA"/>
        </w:rPr>
        <w:t>声源</w:t>
      </w:r>
      <w:r>
        <w:rPr>
          <w:rFonts w:hint="default" w:ascii="Times New Roman" w:hAnsi="Times New Roman" w:cs="Times New Roman"/>
          <w:b/>
          <w:color w:val="auto"/>
          <w:sz w:val="21"/>
          <w:szCs w:val="21"/>
          <w:u w:val="single" w:color="auto"/>
          <w:lang w:val="en-US" w:eastAsia="zh-CN" w:bidi="ar-SA"/>
        </w:rPr>
        <w:t>组</w:t>
      </w:r>
      <w:r>
        <w:rPr>
          <w:rFonts w:hint="default" w:ascii="Times New Roman" w:hAnsi="Times New Roman" w:eastAsia="宋体" w:cs="Times New Roman"/>
          <w:b/>
          <w:color w:val="auto"/>
          <w:sz w:val="21"/>
          <w:szCs w:val="21"/>
          <w:u w:val="single" w:color="auto"/>
          <w:lang w:val="en-US" w:eastAsia="zh-CN" w:bidi="ar-SA"/>
        </w:rPr>
        <w:t>）</w:t>
      </w:r>
    </w:p>
    <w:p w14:paraId="6D67AFA9">
      <w:pPr>
        <w:pStyle w:val="10"/>
        <w:rPr>
          <w:rFonts w:hint="default" w:ascii="Times New Roman" w:hAnsi="Times New Roman" w:eastAsia="宋体" w:cs="Times New Roman"/>
          <w:color w:val="auto"/>
          <w:sz w:val="24"/>
          <w:szCs w:val="24"/>
          <w:u w:val="single" w:color="auto"/>
          <w:lang w:val="en-US" w:eastAsia="zh-CN"/>
        </w:rPr>
      </w:pPr>
    </w:p>
    <w:tbl>
      <w:tblPr>
        <w:tblStyle w:val="22"/>
        <w:tblW w:w="160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3"/>
        <w:gridCol w:w="915"/>
        <w:gridCol w:w="1095"/>
        <w:gridCol w:w="690"/>
        <w:gridCol w:w="1245"/>
        <w:gridCol w:w="1275"/>
        <w:gridCol w:w="945"/>
        <w:gridCol w:w="630"/>
        <w:gridCol w:w="630"/>
        <w:gridCol w:w="630"/>
        <w:gridCol w:w="1590"/>
        <w:gridCol w:w="1725"/>
        <w:gridCol w:w="750"/>
        <w:gridCol w:w="1170"/>
        <w:gridCol w:w="1117"/>
        <w:gridCol w:w="1117"/>
      </w:tblGrid>
      <w:tr w14:paraId="5288A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573" w:type="dxa"/>
            <w:vMerge w:val="restart"/>
            <w:vAlign w:val="center"/>
          </w:tcPr>
          <w:p w14:paraId="7CF3E481">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序号</w:t>
            </w:r>
          </w:p>
        </w:tc>
        <w:tc>
          <w:tcPr>
            <w:tcW w:w="915" w:type="dxa"/>
            <w:vMerge w:val="restart"/>
            <w:vAlign w:val="center"/>
          </w:tcPr>
          <w:p w14:paraId="1FACA399">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建筑物名称</w:t>
            </w:r>
          </w:p>
        </w:tc>
        <w:tc>
          <w:tcPr>
            <w:tcW w:w="1095" w:type="dxa"/>
            <w:vMerge w:val="restart"/>
            <w:vAlign w:val="center"/>
          </w:tcPr>
          <w:p w14:paraId="3961D725">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声源名称</w:t>
            </w:r>
          </w:p>
        </w:tc>
        <w:tc>
          <w:tcPr>
            <w:tcW w:w="690" w:type="dxa"/>
            <w:vMerge w:val="restart"/>
            <w:vAlign w:val="center"/>
          </w:tcPr>
          <w:p w14:paraId="438021A5">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型号</w:t>
            </w:r>
          </w:p>
        </w:tc>
        <w:tc>
          <w:tcPr>
            <w:tcW w:w="2520" w:type="dxa"/>
            <w:gridSpan w:val="2"/>
            <w:vAlign w:val="center"/>
          </w:tcPr>
          <w:p w14:paraId="2ED04BC9">
            <w:pPr>
              <w:jc w:val="center"/>
              <w:rPr>
                <w:rFonts w:hint="default" w:ascii="Times New Roman" w:hAnsi="Times New Roman" w:cs="Times New Roman" w:eastAsiaTheme="minorEastAsia"/>
                <w:color w:val="auto"/>
                <w:sz w:val="21"/>
                <w:szCs w:val="21"/>
                <w:u w:val="single" w:color="auto"/>
                <w:lang w:eastAsia="zh-CN"/>
              </w:rPr>
            </w:pPr>
            <w:r>
              <w:rPr>
                <w:rFonts w:hint="default" w:ascii="Times New Roman" w:hAnsi="Times New Roman" w:cs="Times New Roman" w:eastAsiaTheme="minorEastAsia"/>
                <w:b/>
                <w:color w:val="auto"/>
                <w:sz w:val="21"/>
                <w:szCs w:val="21"/>
                <w:u w:val="single" w:color="auto"/>
                <w:lang w:eastAsia="zh-CN"/>
              </w:rPr>
              <w:t>声源源强（任选一种）</w:t>
            </w:r>
          </w:p>
        </w:tc>
        <w:tc>
          <w:tcPr>
            <w:tcW w:w="945" w:type="dxa"/>
            <w:vMerge w:val="restart"/>
            <w:vAlign w:val="center"/>
          </w:tcPr>
          <w:p w14:paraId="475FB238">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声源控制措施</w:t>
            </w:r>
          </w:p>
        </w:tc>
        <w:tc>
          <w:tcPr>
            <w:tcW w:w="1890" w:type="dxa"/>
            <w:gridSpan w:val="3"/>
            <w:vAlign w:val="center"/>
          </w:tcPr>
          <w:p w14:paraId="40F83B87">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空间相对位置/m</w:t>
            </w:r>
          </w:p>
        </w:tc>
        <w:tc>
          <w:tcPr>
            <w:tcW w:w="1590" w:type="dxa"/>
            <w:vMerge w:val="restart"/>
            <w:vAlign w:val="center"/>
          </w:tcPr>
          <w:p w14:paraId="58C606D6">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距室内边界距离/m</w:t>
            </w:r>
          </w:p>
        </w:tc>
        <w:tc>
          <w:tcPr>
            <w:tcW w:w="1725" w:type="dxa"/>
            <w:vMerge w:val="restart"/>
            <w:vAlign w:val="center"/>
          </w:tcPr>
          <w:p w14:paraId="08932E70">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室内边界声级/dB(A)</w:t>
            </w:r>
          </w:p>
        </w:tc>
        <w:tc>
          <w:tcPr>
            <w:tcW w:w="750" w:type="dxa"/>
            <w:vMerge w:val="restart"/>
            <w:vAlign w:val="center"/>
          </w:tcPr>
          <w:p w14:paraId="1E054F05">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运行时段</w:t>
            </w:r>
          </w:p>
        </w:tc>
        <w:tc>
          <w:tcPr>
            <w:tcW w:w="1170" w:type="dxa"/>
            <w:vMerge w:val="restart"/>
            <w:vAlign w:val="center"/>
          </w:tcPr>
          <w:p w14:paraId="5F2E4C95">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建筑物插入损失 / dB(A)</w:t>
            </w:r>
          </w:p>
        </w:tc>
        <w:tc>
          <w:tcPr>
            <w:tcW w:w="2234" w:type="dxa"/>
            <w:gridSpan w:val="2"/>
            <w:vAlign w:val="center"/>
          </w:tcPr>
          <w:p w14:paraId="43B835C1">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b/>
                <w:color w:val="auto"/>
                <w:sz w:val="21"/>
                <w:szCs w:val="21"/>
                <w:u w:val="single" w:color="auto"/>
              </w:rPr>
              <w:t>建筑物外噪声</w:t>
            </w:r>
          </w:p>
        </w:tc>
      </w:tr>
      <w:tr w14:paraId="0C135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vMerge w:val="continue"/>
            <w:shd w:val="clear" w:color="auto" w:fill="FFFFFF"/>
            <w:vAlign w:val="center"/>
          </w:tcPr>
          <w:p w14:paraId="725D0CCF">
            <w:pPr>
              <w:jc w:val="center"/>
              <w:rPr>
                <w:rFonts w:hint="default" w:ascii="Times New Roman" w:hAnsi="Times New Roman" w:cs="Times New Roman" w:eastAsiaTheme="minorEastAsia"/>
                <w:color w:val="auto"/>
                <w:sz w:val="21"/>
                <w:szCs w:val="21"/>
                <w:u w:val="single" w:color="auto"/>
              </w:rPr>
            </w:pPr>
          </w:p>
        </w:tc>
        <w:tc>
          <w:tcPr>
            <w:tcW w:w="915" w:type="dxa"/>
            <w:vMerge w:val="continue"/>
            <w:shd w:val="clear" w:color="auto" w:fill="FFFFFF"/>
            <w:vAlign w:val="center"/>
          </w:tcPr>
          <w:p w14:paraId="1C541E62">
            <w:pPr>
              <w:jc w:val="center"/>
              <w:rPr>
                <w:rFonts w:hint="default" w:ascii="Times New Roman" w:hAnsi="Times New Roman" w:cs="Times New Roman" w:eastAsiaTheme="minorEastAsia"/>
                <w:color w:val="auto"/>
                <w:sz w:val="21"/>
                <w:szCs w:val="21"/>
                <w:u w:val="single" w:color="auto"/>
              </w:rPr>
            </w:pPr>
          </w:p>
        </w:tc>
        <w:tc>
          <w:tcPr>
            <w:tcW w:w="1095" w:type="dxa"/>
            <w:vMerge w:val="continue"/>
            <w:shd w:val="clear" w:color="auto" w:fill="FFFFFF"/>
            <w:vAlign w:val="center"/>
          </w:tcPr>
          <w:p w14:paraId="2C9A9517">
            <w:pPr>
              <w:jc w:val="center"/>
              <w:rPr>
                <w:rFonts w:hint="default" w:ascii="Times New Roman" w:hAnsi="Times New Roman" w:cs="Times New Roman" w:eastAsiaTheme="minorEastAsia"/>
                <w:color w:val="auto"/>
                <w:sz w:val="21"/>
                <w:szCs w:val="21"/>
                <w:u w:val="single" w:color="auto"/>
              </w:rPr>
            </w:pPr>
          </w:p>
        </w:tc>
        <w:tc>
          <w:tcPr>
            <w:tcW w:w="690" w:type="dxa"/>
            <w:vMerge w:val="continue"/>
            <w:shd w:val="clear" w:color="auto" w:fill="FFFFFF"/>
            <w:vAlign w:val="center"/>
          </w:tcPr>
          <w:p w14:paraId="5ED983C8">
            <w:pPr>
              <w:jc w:val="center"/>
              <w:rPr>
                <w:rFonts w:hint="default" w:ascii="Times New Roman" w:hAnsi="Times New Roman" w:cs="Times New Roman" w:eastAsiaTheme="minorEastAsia"/>
                <w:color w:val="auto"/>
                <w:sz w:val="21"/>
                <w:szCs w:val="21"/>
                <w:u w:val="single" w:color="auto"/>
              </w:rPr>
            </w:pPr>
          </w:p>
        </w:tc>
        <w:tc>
          <w:tcPr>
            <w:tcW w:w="1245" w:type="dxa"/>
            <w:shd w:val="clear" w:color="auto" w:fill="FFFFFF"/>
            <w:vAlign w:val="center"/>
          </w:tcPr>
          <w:p w14:paraId="6811613D">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color w:val="auto"/>
                <w:sz w:val="21"/>
                <w:szCs w:val="21"/>
                <w:u w:val="single" w:color="auto"/>
              </w:rPr>
              <w:t>（声压级/距声源距离）/（dB(A)/m）</w:t>
            </w:r>
          </w:p>
        </w:tc>
        <w:tc>
          <w:tcPr>
            <w:tcW w:w="1275" w:type="dxa"/>
            <w:shd w:val="clear" w:color="auto" w:fill="FFFFFF"/>
            <w:vAlign w:val="center"/>
          </w:tcPr>
          <w:p w14:paraId="440359F2">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color w:val="auto"/>
                <w:sz w:val="21"/>
                <w:szCs w:val="21"/>
                <w:u w:val="single" w:color="auto"/>
              </w:rPr>
              <w:t>声功率级/dB(A)</w:t>
            </w:r>
          </w:p>
        </w:tc>
        <w:tc>
          <w:tcPr>
            <w:tcW w:w="945" w:type="dxa"/>
            <w:vMerge w:val="continue"/>
            <w:shd w:val="clear" w:color="auto" w:fill="FFFFFF"/>
            <w:vAlign w:val="center"/>
          </w:tcPr>
          <w:p w14:paraId="5DDDDDBB">
            <w:pPr>
              <w:jc w:val="center"/>
              <w:rPr>
                <w:rFonts w:hint="default" w:ascii="Times New Roman" w:hAnsi="Times New Roman" w:cs="Times New Roman" w:eastAsiaTheme="minorEastAsia"/>
                <w:color w:val="auto"/>
                <w:sz w:val="21"/>
                <w:szCs w:val="21"/>
                <w:u w:val="single" w:color="auto"/>
              </w:rPr>
            </w:pPr>
          </w:p>
        </w:tc>
        <w:tc>
          <w:tcPr>
            <w:tcW w:w="630" w:type="dxa"/>
            <w:shd w:val="clear" w:color="auto" w:fill="FFFFFF"/>
            <w:vAlign w:val="center"/>
          </w:tcPr>
          <w:p w14:paraId="0952CF39">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color w:val="auto"/>
                <w:sz w:val="21"/>
                <w:szCs w:val="21"/>
                <w:u w:val="single" w:color="auto"/>
              </w:rPr>
              <w:t>X</w:t>
            </w:r>
          </w:p>
        </w:tc>
        <w:tc>
          <w:tcPr>
            <w:tcW w:w="630" w:type="dxa"/>
            <w:shd w:val="clear" w:color="auto" w:fill="FFFFFF"/>
            <w:vAlign w:val="center"/>
          </w:tcPr>
          <w:p w14:paraId="07389C27">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color w:val="auto"/>
                <w:sz w:val="21"/>
                <w:szCs w:val="21"/>
                <w:u w:val="single" w:color="auto"/>
              </w:rPr>
              <w:t>Y</w:t>
            </w:r>
          </w:p>
        </w:tc>
        <w:tc>
          <w:tcPr>
            <w:tcW w:w="630" w:type="dxa"/>
            <w:shd w:val="clear" w:color="auto" w:fill="FFFFFF"/>
            <w:vAlign w:val="center"/>
          </w:tcPr>
          <w:p w14:paraId="50BBBBA4">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color w:val="auto"/>
                <w:sz w:val="21"/>
                <w:szCs w:val="21"/>
                <w:u w:val="single" w:color="auto"/>
              </w:rPr>
              <w:t>Z</w:t>
            </w:r>
          </w:p>
        </w:tc>
        <w:tc>
          <w:tcPr>
            <w:tcW w:w="1590" w:type="dxa"/>
            <w:vMerge w:val="continue"/>
            <w:shd w:val="clear" w:color="auto" w:fill="FFFFFF"/>
            <w:vAlign w:val="center"/>
          </w:tcPr>
          <w:p w14:paraId="6B549E4B">
            <w:pPr>
              <w:jc w:val="center"/>
              <w:rPr>
                <w:rFonts w:hint="default" w:ascii="Times New Roman" w:hAnsi="Times New Roman" w:cs="Times New Roman" w:eastAsiaTheme="minorEastAsia"/>
                <w:color w:val="auto"/>
                <w:sz w:val="21"/>
                <w:szCs w:val="21"/>
                <w:u w:val="single" w:color="auto"/>
              </w:rPr>
            </w:pPr>
          </w:p>
        </w:tc>
        <w:tc>
          <w:tcPr>
            <w:tcW w:w="1725" w:type="dxa"/>
            <w:vMerge w:val="continue"/>
            <w:shd w:val="clear" w:color="auto" w:fill="FFFFFF"/>
            <w:vAlign w:val="center"/>
          </w:tcPr>
          <w:p w14:paraId="56A5961D">
            <w:pPr>
              <w:jc w:val="center"/>
              <w:rPr>
                <w:rFonts w:hint="default" w:ascii="Times New Roman" w:hAnsi="Times New Roman" w:cs="Times New Roman" w:eastAsiaTheme="minorEastAsia"/>
                <w:color w:val="auto"/>
                <w:sz w:val="21"/>
                <w:szCs w:val="21"/>
                <w:u w:val="single" w:color="auto"/>
              </w:rPr>
            </w:pPr>
          </w:p>
        </w:tc>
        <w:tc>
          <w:tcPr>
            <w:tcW w:w="750" w:type="dxa"/>
            <w:vMerge w:val="continue"/>
            <w:shd w:val="clear" w:color="auto" w:fill="FFFFFF"/>
            <w:vAlign w:val="center"/>
          </w:tcPr>
          <w:p w14:paraId="209CDD03">
            <w:pPr>
              <w:jc w:val="center"/>
              <w:rPr>
                <w:rFonts w:hint="default" w:ascii="Times New Roman" w:hAnsi="Times New Roman" w:cs="Times New Roman" w:eastAsiaTheme="minorEastAsia"/>
                <w:color w:val="auto"/>
                <w:sz w:val="21"/>
                <w:szCs w:val="21"/>
                <w:u w:val="single" w:color="auto"/>
              </w:rPr>
            </w:pPr>
          </w:p>
        </w:tc>
        <w:tc>
          <w:tcPr>
            <w:tcW w:w="1170" w:type="dxa"/>
            <w:vMerge w:val="continue"/>
            <w:shd w:val="clear" w:color="auto" w:fill="FFFFFF"/>
            <w:vAlign w:val="center"/>
          </w:tcPr>
          <w:p w14:paraId="3B4C0900">
            <w:pPr>
              <w:jc w:val="center"/>
              <w:rPr>
                <w:rFonts w:hint="default" w:ascii="Times New Roman" w:hAnsi="Times New Roman" w:cs="Times New Roman" w:eastAsiaTheme="minorEastAsia"/>
                <w:color w:val="auto"/>
                <w:sz w:val="21"/>
                <w:szCs w:val="21"/>
                <w:u w:val="single" w:color="auto"/>
              </w:rPr>
            </w:pPr>
          </w:p>
        </w:tc>
        <w:tc>
          <w:tcPr>
            <w:tcW w:w="1117" w:type="dxa"/>
            <w:shd w:val="clear" w:color="auto" w:fill="FFFFFF"/>
            <w:vAlign w:val="center"/>
          </w:tcPr>
          <w:p w14:paraId="54394A15">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color w:val="auto"/>
                <w:sz w:val="21"/>
                <w:szCs w:val="21"/>
                <w:u w:val="single" w:color="auto"/>
              </w:rPr>
              <w:t>声压级/dB(A)</w:t>
            </w:r>
          </w:p>
        </w:tc>
        <w:tc>
          <w:tcPr>
            <w:tcW w:w="1117" w:type="dxa"/>
            <w:shd w:val="clear" w:color="auto" w:fill="FFFFFF"/>
            <w:vAlign w:val="center"/>
          </w:tcPr>
          <w:p w14:paraId="1D300C15">
            <w:pPr>
              <w:jc w:val="center"/>
              <w:rPr>
                <w:rFonts w:hint="default" w:ascii="Times New Roman" w:hAnsi="Times New Roman" w:cs="Times New Roman" w:eastAsiaTheme="minorEastAsia"/>
                <w:color w:val="auto"/>
                <w:sz w:val="21"/>
                <w:szCs w:val="21"/>
                <w:u w:val="single" w:color="auto"/>
              </w:rPr>
            </w:pPr>
            <w:r>
              <w:rPr>
                <w:rFonts w:hint="default" w:ascii="Times New Roman" w:hAnsi="Times New Roman" w:cs="Times New Roman" w:eastAsiaTheme="minorEastAsia"/>
                <w:color w:val="auto"/>
                <w:sz w:val="21"/>
                <w:szCs w:val="21"/>
                <w:u w:val="single" w:color="auto"/>
              </w:rPr>
              <w:t>建筑物外距离</w:t>
            </w:r>
          </w:p>
        </w:tc>
      </w:tr>
      <w:tr w14:paraId="365D4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573" w:type="dxa"/>
            <w:shd w:val="clear" w:color="auto" w:fill="FFFFFF"/>
            <w:vAlign w:val="center"/>
          </w:tcPr>
          <w:p w14:paraId="709883FB">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1</w:t>
            </w:r>
          </w:p>
        </w:tc>
        <w:tc>
          <w:tcPr>
            <w:tcW w:w="915" w:type="dxa"/>
            <w:shd w:val="clear" w:color="auto" w:fill="FFFFFF"/>
            <w:vAlign w:val="center"/>
          </w:tcPr>
          <w:p w14:paraId="7963A039">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昂拓-声屏障1#</w:t>
            </w:r>
          </w:p>
        </w:tc>
        <w:tc>
          <w:tcPr>
            <w:tcW w:w="1095" w:type="dxa"/>
            <w:shd w:val="clear" w:color="auto" w:fill="FFFFFF"/>
            <w:vAlign w:val="center"/>
          </w:tcPr>
          <w:p w14:paraId="27A27CFA">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液压机</w:t>
            </w:r>
          </w:p>
        </w:tc>
        <w:tc>
          <w:tcPr>
            <w:tcW w:w="690" w:type="dxa"/>
            <w:shd w:val="clear" w:color="auto" w:fill="FFFFFF"/>
            <w:vAlign w:val="center"/>
          </w:tcPr>
          <w:p w14:paraId="5C209377">
            <w:pPr>
              <w:rPr>
                <w:rFonts w:hint="default" w:ascii="Times New Roman" w:hAnsi="Times New Roman" w:cs="Times New Roman"/>
                <w:color w:val="auto"/>
                <w:u w:val="single" w:color="auto"/>
              </w:rPr>
            </w:pPr>
          </w:p>
        </w:tc>
        <w:tc>
          <w:tcPr>
            <w:tcW w:w="1245" w:type="dxa"/>
            <w:shd w:val="clear" w:color="auto" w:fill="FFFFFF"/>
            <w:vAlign w:val="center"/>
          </w:tcPr>
          <w:p w14:paraId="5E647401">
            <w:pPr>
              <w:rPr>
                <w:rFonts w:hint="default" w:ascii="Times New Roman" w:hAnsi="Times New Roman" w:cs="Times New Roman"/>
                <w:color w:val="auto"/>
                <w:u w:val="single" w:color="auto"/>
              </w:rPr>
            </w:pPr>
          </w:p>
        </w:tc>
        <w:tc>
          <w:tcPr>
            <w:tcW w:w="1275" w:type="dxa"/>
            <w:shd w:val="clear" w:color="auto" w:fill="FFFFFF"/>
            <w:vAlign w:val="center"/>
          </w:tcPr>
          <w:p w14:paraId="71B772CA">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83.45</w:t>
            </w:r>
          </w:p>
        </w:tc>
        <w:tc>
          <w:tcPr>
            <w:tcW w:w="945" w:type="dxa"/>
            <w:shd w:val="clear" w:color="auto" w:fill="FFFFFF"/>
            <w:vAlign w:val="center"/>
          </w:tcPr>
          <w:p w14:paraId="432AB705">
            <w:pPr>
              <w:rPr>
                <w:rFonts w:hint="default" w:ascii="Times New Roman" w:hAnsi="Times New Roman" w:cs="Times New Roman"/>
                <w:color w:val="auto"/>
                <w:u w:val="single" w:color="auto"/>
              </w:rPr>
            </w:pPr>
          </w:p>
        </w:tc>
        <w:tc>
          <w:tcPr>
            <w:tcW w:w="630" w:type="dxa"/>
            <w:shd w:val="clear" w:color="auto" w:fill="FFFFFF"/>
            <w:vAlign w:val="center"/>
          </w:tcPr>
          <w:p w14:paraId="7B1678A6">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-11.2</w:t>
            </w:r>
          </w:p>
        </w:tc>
        <w:tc>
          <w:tcPr>
            <w:tcW w:w="630" w:type="dxa"/>
            <w:shd w:val="clear" w:color="auto" w:fill="FFFFFF"/>
            <w:vAlign w:val="center"/>
          </w:tcPr>
          <w:p w14:paraId="4EB4AA41">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22.8</w:t>
            </w:r>
          </w:p>
        </w:tc>
        <w:tc>
          <w:tcPr>
            <w:tcW w:w="630" w:type="dxa"/>
            <w:shd w:val="clear" w:color="auto" w:fill="FFFFFF"/>
            <w:vAlign w:val="center"/>
          </w:tcPr>
          <w:p w14:paraId="57456FB0">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64.4</w:t>
            </w:r>
          </w:p>
        </w:tc>
        <w:tc>
          <w:tcPr>
            <w:tcW w:w="1590" w:type="dxa"/>
            <w:shd w:val="clear" w:color="auto" w:fill="FFFFFF"/>
            <w:vAlign w:val="center"/>
          </w:tcPr>
          <w:p w14:paraId="67B2E976">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声屏障-1(有窗户)：79.1</w:t>
            </w:r>
          </w:p>
          <w:p w14:paraId="26B9AE0D">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声屏障-2(门-2)：53.1</w:t>
            </w:r>
          </w:p>
          <w:p w14:paraId="40D241F4">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声屏障-3(窗户-1)：21.0</w:t>
            </w:r>
          </w:p>
          <w:p w14:paraId="390AA9D1">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声屏障-4：14.3</w:t>
            </w:r>
          </w:p>
          <w:p w14:paraId="58E2FAC6">
            <w:pPr>
              <w:rPr>
                <w:rFonts w:hint="default" w:ascii="Times New Roman" w:hAnsi="Times New Roman" w:cs="Times New Roman"/>
                <w:color w:val="auto"/>
                <w:u w:val="single" w:color="auto"/>
              </w:rPr>
            </w:pPr>
          </w:p>
        </w:tc>
        <w:tc>
          <w:tcPr>
            <w:tcW w:w="1725" w:type="dxa"/>
            <w:shd w:val="clear" w:color="auto" w:fill="FFFFFF"/>
            <w:vAlign w:val="center"/>
          </w:tcPr>
          <w:p w14:paraId="531D889D">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声屏障-1(有窗户)：79.5</w:t>
            </w:r>
          </w:p>
          <w:p w14:paraId="62C05972">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声屏障-2(门-2)：79.5</w:t>
            </w:r>
          </w:p>
          <w:p w14:paraId="04A2598C">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声屏障-3(窗户-1)：79.5</w:t>
            </w:r>
          </w:p>
          <w:p w14:paraId="52DE43FE">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声屏障-4：79.5</w:t>
            </w:r>
          </w:p>
          <w:p w14:paraId="43958DCD">
            <w:pPr>
              <w:rPr>
                <w:rFonts w:hint="default" w:ascii="Times New Roman" w:hAnsi="Times New Roman" w:cs="Times New Roman"/>
                <w:color w:val="auto"/>
                <w:u w:val="single" w:color="auto"/>
              </w:rPr>
            </w:pPr>
          </w:p>
        </w:tc>
        <w:tc>
          <w:tcPr>
            <w:tcW w:w="750" w:type="dxa"/>
            <w:shd w:val="clear" w:color="auto" w:fill="FFFFFF"/>
            <w:vAlign w:val="center"/>
          </w:tcPr>
          <w:p w14:paraId="201C43D6">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无</w:t>
            </w:r>
          </w:p>
        </w:tc>
        <w:tc>
          <w:tcPr>
            <w:tcW w:w="1170" w:type="dxa"/>
            <w:shd w:val="clear" w:color="auto" w:fill="FFFFFF"/>
            <w:vAlign w:val="center"/>
          </w:tcPr>
          <w:p w14:paraId="3BD606AB">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声屏障-1(有窗户)：16.0</w:t>
            </w:r>
          </w:p>
          <w:p w14:paraId="08EE21BA">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声屏障-2(门-2)：21.0</w:t>
            </w:r>
          </w:p>
          <w:p w14:paraId="7F1E0F9D">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声屏障-3(窗户-1)：26.0</w:t>
            </w:r>
          </w:p>
          <w:p w14:paraId="7F723A61">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声屏障-4：26.0</w:t>
            </w:r>
          </w:p>
          <w:p w14:paraId="63D7A5B0">
            <w:pPr>
              <w:rPr>
                <w:rFonts w:hint="default" w:ascii="Times New Roman" w:hAnsi="Times New Roman" w:cs="Times New Roman"/>
                <w:color w:val="auto"/>
                <w:u w:val="single" w:color="auto"/>
              </w:rPr>
            </w:pPr>
          </w:p>
        </w:tc>
        <w:tc>
          <w:tcPr>
            <w:tcW w:w="1117" w:type="dxa"/>
            <w:shd w:val="clear" w:color="auto" w:fill="FFFFFF"/>
            <w:vAlign w:val="center"/>
          </w:tcPr>
          <w:p w14:paraId="4A41963C">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声屏障-1(有窗户)：63.5</w:t>
            </w:r>
          </w:p>
          <w:p w14:paraId="664E0BE7">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声屏障-2(门-2)：58.5</w:t>
            </w:r>
          </w:p>
          <w:p w14:paraId="26ED7886">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声屏障-3(窗户-1)：53.5</w:t>
            </w:r>
          </w:p>
          <w:p w14:paraId="526B416F">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声屏障-4：53.5</w:t>
            </w:r>
          </w:p>
          <w:p w14:paraId="0781DDEC">
            <w:pPr>
              <w:rPr>
                <w:rFonts w:hint="default" w:ascii="Times New Roman" w:hAnsi="Times New Roman" w:cs="Times New Roman"/>
                <w:color w:val="auto"/>
                <w:u w:val="single" w:color="auto"/>
              </w:rPr>
            </w:pPr>
          </w:p>
        </w:tc>
        <w:tc>
          <w:tcPr>
            <w:tcW w:w="1117" w:type="dxa"/>
            <w:shd w:val="clear" w:color="auto" w:fill="FFFFFF"/>
            <w:vAlign w:val="center"/>
          </w:tcPr>
          <w:p w14:paraId="6F6A61FF">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1</w:t>
            </w:r>
          </w:p>
        </w:tc>
      </w:tr>
      <w:tr w14:paraId="00730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573" w:type="dxa"/>
            <w:shd w:val="clear" w:color="auto" w:fill="FFFFFF"/>
            <w:vAlign w:val="center"/>
          </w:tcPr>
          <w:p w14:paraId="70722C95">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2</w:t>
            </w:r>
          </w:p>
        </w:tc>
        <w:tc>
          <w:tcPr>
            <w:tcW w:w="915" w:type="dxa"/>
            <w:shd w:val="clear" w:color="auto" w:fill="FFFFFF"/>
            <w:vAlign w:val="center"/>
          </w:tcPr>
          <w:p w14:paraId="6C3AB0DC">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昂拓-声屏障1#</w:t>
            </w:r>
          </w:p>
        </w:tc>
        <w:tc>
          <w:tcPr>
            <w:tcW w:w="1095" w:type="dxa"/>
            <w:shd w:val="clear" w:color="auto" w:fill="FFFFFF"/>
            <w:vAlign w:val="center"/>
          </w:tcPr>
          <w:p w14:paraId="651FF8E6">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风机</w:t>
            </w:r>
          </w:p>
        </w:tc>
        <w:tc>
          <w:tcPr>
            <w:tcW w:w="690" w:type="dxa"/>
            <w:shd w:val="clear" w:color="auto" w:fill="FFFFFF"/>
            <w:vAlign w:val="center"/>
          </w:tcPr>
          <w:p w14:paraId="68B39BE5">
            <w:pPr>
              <w:rPr>
                <w:rFonts w:hint="default" w:ascii="Times New Roman" w:hAnsi="Times New Roman" w:cs="Times New Roman"/>
                <w:color w:val="auto"/>
                <w:u w:val="single" w:color="auto"/>
              </w:rPr>
            </w:pPr>
          </w:p>
        </w:tc>
        <w:tc>
          <w:tcPr>
            <w:tcW w:w="1245" w:type="dxa"/>
            <w:shd w:val="clear" w:color="auto" w:fill="FFFFFF"/>
            <w:vAlign w:val="center"/>
          </w:tcPr>
          <w:p w14:paraId="16F5BC5D">
            <w:pPr>
              <w:rPr>
                <w:rFonts w:hint="default" w:ascii="Times New Roman" w:hAnsi="Times New Roman" w:cs="Times New Roman"/>
                <w:color w:val="auto"/>
                <w:u w:val="single" w:color="auto"/>
              </w:rPr>
            </w:pPr>
          </w:p>
        </w:tc>
        <w:tc>
          <w:tcPr>
            <w:tcW w:w="1275" w:type="dxa"/>
            <w:shd w:val="clear" w:color="auto" w:fill="FFFFFF"/>
            <w:vAlign w:val="center"/>
          </w:tcPr>
          <w:p w14:paraId="7C5F835B">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88.45</w:t>
            </w:r>
          </w:p>
        </w:tc>
        <w:tc>
          <w:tcPr>
            <w:tcW w:w="945" w:type="dxa"/>
            <w:shd w:val="clear" w:color="auto" w:fill="FFFFFF"/>
            <w:vAlign w:val="center"/>
          </w:tcPr>
          <w:p w14:paraId="22C6CB75">
            <w:pPr>
              <w:rPr>
                <w:rFonts w:hint="default" w:ascii="Times New Roman" w:hAnsi="Times New Roman" w:cs="Times New Roman"/>
                <w:color w:val="auto"/>
                <w:u w:val="single" w:color="auto"/>
              </w:rPr>
            </w:pPr>
          </w:p>
        </w:tc>
        <w:tc>
          <w:tcPr>
            <w:tcW w:w="630" w:type="dxa"/>
            <w:shd w:val="clear" w:color="auto" w:fill="FFFFFF"/>
            <w:vAlign w:val="center"/>
          </w:tcPr>
          <w:p w14:paraId="102AB2DD">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-1.1</w:t>
            </w:r>
          </w:p>
        </w:tc>
        <w:tc>
          <w:tcPr>
            <w:tcW w:w="630" w:type="dxa"/>
            <w:shd w:val="clear" w:color="auto" w:fill="FFFFFF"/>
            <w:vAlign w:val="center"/>
          </w:tcPr>
          <w:p w14:paraId="79039B74">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7.1</w:t>
            </w:r>
          </w:p>
        </w:tc>
        <w:tc>
          <w:tcPr>
            <w:tcW w:w="630" w:type="dxa"/>
            <w:shd w:val="clear" w:color="auto" w:fill="FFFFFF"/>
            <w:vAlign w:val="center"/>
          </w:tcPr>
          <w:p w14:paraId="3ADCC012">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64.6</w:t>
            </w:r>
          </w:p>
        </w:tc>
        <w:tc>
          <w:tcPr>
            <w:tcW w:w="1590" w:type="dxa"/>
            <w:shd w:val="clear" w:color="auto" w:fill="FFFFFF"/>
            <w:vAlign w:val="center"/>
          </w:tcPr>
          <w:p w14:paraId="512EC556">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声屏障-1(有窗户)：94.20</w:t>
            </w:r>
          </w:p>
          <w:p w14:paraId="20F6A1A2">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声屏障-2(门-2)：59.72</w:t>
            </w:r>
          </w:p>
          <w:p w14:paraId="10868931">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声屏障-3(窗户-1)：3.06</w:t>
            </w:r>
          </w:p>
          <w:p w14:paraId="1F186BF7">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声屏障-4：24.40</w:t>
            </w:r>
          </w:p>
        </w:tc>
        <w:tc>
          <w:tcPr>
            <w:tcW w:w="1725" w:type="dxa"/>
            <w:shd w:val="clear" w:color="auto" w:fill="FFFFFF"/>
            <w:vAlign w:val="center"/>
          </w:tcPr>
          <w:p w14:paraId="70DB3B58">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声屏障-1(有窗户)：63.22</w:t>
            </w:r>
          </w:p>
          <w:p w14:paraId="6C29E890">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声屏障-2(门-2)：63.24</w:t>
            </w:r>
          </w:p>
          <w:p w14:paraId="1218380B">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声屏障-3(窗户-1)：69.05</w:t>
            </w:r>
          </w:p>
          <w:p w14:paraId="5ED67A3D">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声屏障-4：63.40</w:t>
            </w:r>
          </w:p>
        </w:tc>
        <w:tc>
          <w:tcPr>
            <w:tcW w:w="750" w:type="dxa"/>
            <w:shd w:val="clear" w:color="auto" w:fill="FFFFFF"/>
            <w:vAlign w:val="center"/>
          </w:tcPr>
          <w:p w14:paraId="57D8B3A2">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无</w:t>
            </w:r>
          </w:p>
        </w:tc>
        <w:tc>
          <w:tcPr>
            <w:tcW w:w="1170" w:type="dxa"/>
            <w:shd w:val="clear" w:color="auto" w:fill="FFFFFF"/>
            <w:vAlign w:val="center"/>
          </w:tcPr>
          <w:p w14:paraId="3BBE0C47">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声屏障-1(有窗户)：16.00</w:t>
            </w:r>
          </w:p>
          <w:p w14:paraId="58CCCEC7">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声屏障-2(门-2)：21.00</w:t>
            </w:r>
          </w:p>
          <w:p w14:paraId="204E14D6">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声屏障-3(窗户-1)：26.00</w:t>
            </w:r>
          </w:p>
          <w:p w14:paraId="7679C880">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声屏障-4：26.00</w:t>
            </w:r>
          </w:p>
        </w:tc>
        <w:tc>
          <w:tcPr>
            <w:tcW w:w="1117" w:type="dxa"/>
            <w:shd w:val="clear" w:color="auto" w:fill="FFFFFF"/>
            <w:vAlign w:val="center"/>
          </w:tcPr>
          <w:p w14:paraId="0113C8F7">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声屏障-1(有窗户)：47.22</w:t>
            </w:r>
          </w:p>
          <w:p w14:paraId="65677230">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声屏障-2(门-2)：42.24</w:t>
            </w:r>
          </w:p>
          <w:p w14:paraId="125F8E98">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声屏障-3(窗户-1)：43.05</w:t>
            </w:r>
          </w:p>
          <w:p w14:paraId="6B67F5E2">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声屏障-4：37.40</w:t>
            </w:r>
          </w:p>
        </w:tc>
        <w:tc>
          <w:tcPr>
            <w:tcW w:w="1117" w:type="dxa"/>
            <w:shd w:val="clear" w:color="auto" w:fill="FFFFFF"/>
            <w:vAlign w:val="center"/>
          </w:tcPr>
          <w:p w14:paraId="2B62CC7A">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1</w:t>
            </w:r>
          </w:p>
        </w:tc>
      </w:tr>
      <w:tr w14:paraId="59266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573" w:type="dxa"/>
            <w:shd w:val="clear" w:color="auto" w:fill="FFFFFF"/>
            <w:vAlign w:val="center"/>
          </w:tcPr>
          <w:p w14:paraId="73B48B07">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3</w:t>
            </w:r>
          </w:p>
        </w:tc>
        <w:tc>
          <w:tcPr>
            <w:tcW w:w="915" w:type="dxa"/>
            <w:shd w:val="clear" w:color="auto" w:fill="FFFFFF"/>
            <w:vAlign w:val="center"/>
          </w:tcPr>
          <w:p w14:paraId="7D3ED8D0">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昂拓-声屏障1#</w:t>
            </w:r>
          </w:p>
        </w:tc>
        <w:tc>
          <w:tcPr>
            <w:tcW w:w="1095" w:type="dxa"/>
            <w:shd w:val="clear" w:color="auto" w:fill="FFFFFF"/>
            <w:vAlign w:val="center"/>
          </w:tcPr>
          <w:p w14:paraId="2813F3F4">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数控车床</w:t>
            </w:r>
          </w:p>
        </w:tc>
        <w:tc>
          <w:tcPr>
            <w:tcW w:w="690" w:type="dxa"/>
            <w:shd w:val="clear" w:color="auto" w:fill="FFFFFF"/>
            <w:vAlign w:val="center"/>
          </w:tcPr>
          <w:p w14:paraId="6C2A35EB">
            <w:pPr>
              <w:rPr>
                <w:rFonts w:hint="default" w:ascii="Times New Roman" w:hAnsi="Times New Roman" w:cs="Times New Roman"/>
                <w:color w:val="auto"/>
                <w:u w:val="single" w:color="auto"/>
              </w:rPr>
            </w:pPr>
          </w:p>
        </w:tc>
        <w:tc>
          <w:tcPr>
            <w:tcW w:w="1245" w:type="dxa"/>
            <w:shd w:val="clear" w:color="auto" w:fill="FFFFFF"/>
            <w:vAlign w:val="center"/>
          </w:tcPr>
          <w:p w14:paraId="444C1BF2">
            <w:pPr>
              <w:rPr>
                <w:rFonts w:hint="default" w:ascii="Times New Roman" w:hAnsi="Times New Roman" w:cs="Times New Roman"/>
                <w:color w:val="auto"/>
                <w:u w:val="single" w:color="auto"/>
              </w:rPr>
            </w:pPr>
          </w:p>
        </w:tc>
        <w:tc>
          <w:tcPr>
            <w:tcW w:w="1275" w:type="dxa"/>
            <w:shd w:val="clear" w:color="auto" w:fill="FFFFFF"/>
            <w:vAlign w:val="center"/>
          </w:tcPr>
          <w:p w14:paraId="282C02F1">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86.99</w:t>
            </w:r>
          </w:p>
        </w:tc>
        <w:tc>
          <w:tcPr>
            <w:tcW w:w="945" w:type="dxa"/>
            <w:shd w:val="clear" w:color="auto" w:fill="FFFFFF"/>
            <w:vAlign w:val="center"/>
          </w:tcPr>
          <w:p w14:paraId="4479BE01">
            <w:pPr>
              <w:rPr>
                <w:rFonts w:hint="default" w:ascii="Times New Roman" w:hAnsi="Times New Roman" w:cs="Times New Roman"/>
                <w:color w:val="auto"/>
                <w:u w:val="single" w:color="auto"/>
              </w:rPr>
            </w:pPr>
          </w:p>
        </w:tc>
        <w:tc>
          <w:tcPr>
            <w:tcW w:w="630" w:type="dxa"/>
            <w:shd w:val="clear" w:color="auto" w:fill="FFFFFF"/>
            <w:vAlign w:val="center"/>
          </w:tcPr>
          <w:p w14:paraId="4CDF2590">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-1.9</w:t>
            </w:r>
          </w:p>
        </w:tc>
        <w:tc>
          <w:tcPr>
            <w:tcW w:w="630" w:type="dxa"/>
            <w:shd w:val="clear" w:color="auto" w:fill="FFFFFF"/>
            <w:vAlign w:val="center"/>
          </w:tcPr>
          <w:p w14:paraId="71D7D37E">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41.1</w:t>
            </w:r>
          </w:p>
        </w:tc>
        <w:tc>
          <w:tcPr>
            <w:tcW w:w="630" w:type="dxa"/>
            <w:shd w:val="clear" w:color="auto" w:fill="FFFFFF"/>
            <w:vAlign w:val="center"/>
          </w:tcPr>
          <w:p w14:paraId="1A332045">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63.7</w:t>
            </w:r>
          </w:p>
        </w:tc>
        <w:tc>
          <w:tcPr>
            <w:tcW w:w="1590" w:type="dxa"/>
            <w:shd w:val="clear" w:color="auto" w:fill="FFFFFF"/>
            <w:vAlign w:val="center"/>
          </w:tcPr>
          <w:p w14:paraId="7C7775B4">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声屏障-1(有窗户)：60.20</w:t>
            </w:r>
          </w:p>
          <w:p w14:paraId="29A81528">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声屏障-2(门-2)：34.31</w:t>
            </w:r>
          </w:p>
          <w:p w14:paraId="5FA6C5FF">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声屏障-3(窗户-1)：37.00</w:t>
            </w:r>
          </w:p>
          <w:p w14:paraId="3817ECDD">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声屏障-4：23.60</w:t>
            </w:r>
          </w:p>
        </w:tc>
        <w:tc>
          <w:tcPr>
            <w:tcW w:w="1725" w:type="dxa"/>
            <w:shd w:val="clear" w:color="auto" w:fill="FFFFFF"/>
            <w:vAlign w:val="center"/>
          </w:tcPr>
          <w:p w14:paraId="0BEF0471">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声屏障-1(有窗户)：61.78</w:t>
            </w:r>
          </w:p>
          <w:p w14:paraId="11598CBC">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声屏障-2(门-2)：61.84</w:t>
            </w:r>
          </w:p>
          <w:p w14:paraId="4504032C">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声屏障-3(窗户-1)：61.83</w:t>
            </w:r>
          </w:p>
          <w:p w14:paraId="1FD06A44">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声屏障-4：61.95</w:t>
            </w:r>
          </w:p>
        </w:tc>
        <w:tc>
          <w:tcPr>
            <w:tcW w:w="750" w:type="dxa"/>
            <w:shd w:val="clear" w:color="auto" w:fill="FFFFFF"/>
            <w:vAlign w:val="center"/>
          </w:tcPr>
          <w:p w14:paraId="39824BD3">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无</w:t>
            </w:r>
          </w:p>
        </w:tc>
        <w:tc>
          <w:tcPr>
            <w:tcW w:w="1170" w:type="dxa"/>
            <w:shd w:val="clear" w:color="auto" w:fill="FFFFFF"/>
            <w:vAlign w:val="center"/>
          </w:tcPr>
          <w:p w14:paraId="1AE231DB">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声屏障-1(有窗户)：16.00</w:t>
            </w:r>
          </w:p>
          <w:p w14:paraId="55596753">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声屏障-2(门-2)：21.00</w:t>
            </w:r>
          </w:p>
          <w:p w14:paraId="37A16901">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声屏障-3(窗户-1)：26.00</w:t>
            </w:r>
          </w:p>
          <w:p w14:paraId="4DA31249">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声屏障-4：26.00</w:t>
            </w:r>
          </w:p>
        </w:tc>
        <w:tc>
          <w:tcPr>
            <w:tcW w:w="1117" w:type="dxa"/>
            <w:shd w:val="clear" w:color="auto" w:fill="FFFFFF"/>
            <w:vAlign w:val="center"/>
          </w:tcPr>
          <w:p w14:paraId="1CFC4529">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声屏障-1(有窗户)：45.78</w:t>
            </w:r>
          </w:p>
          <w:p w14:paraId="4F944E6A">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声屏障-2(门-2)：40.84</w:t>
            </w:r>
          </w:p>
          <w:p w14:paraId="0A776BD4">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声屏障-3(窗户-1)：35.83</w:t>
            </w:r>
          </w:p>
          <w:p w14:paraId="2A6A71A7">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声屏障-4：35.95</w:t>
            </w:r>
          </w:p>
        </w:tc>
        <w:tc>
          <w:tcPr>
            <w:tcW w:w="1117" w:type="dxa"/>
            <w:shd w:val="clear" w:color="auto" w:fill="FFFFFF"/>
            <w:vAlign w:val="center"/>
          </w:tcPr>
          <w:p w14:paraId="43B4E32B">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1</w:t>
            </w:r>
          </w:p>
        </w:tc>
      </w:tr>
      <w:tr w14:paraId="35ECF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573" w:type="dxa"/>
            <w:shd w:val="clear" w:color="auto" w:fill="FFFFFF"/>
            <w:vAlign w:val="center"/>
          </w:tcPr>
          <w:p w14:paraId="41E4A94A">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4</w:t>
            </w:r>
          </w:p>
        </w:tc>
        <w:tc>
          <w:tcPr>
            <w:tcW w:w="915" w:type="dxa"/>
            <w:shd w:val="clear" w:color="auto" w:fill="FFFFFF"/>
            <w:vAlign w:val="center"/>
          </w:tcPr>
          <w:p w14:paraId="27AD3097">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昂拓-声屏障2#</w:t>
            </w:r>
          </w:p>
        </w:tc>
        <w:tc>
          <w:tcPr>
            <w:tcW w:w="1095" w:type="dxa"/>
            <w:shd w:val="clear" w:color="auto" w:fill="FFFFFF"/>
            <w:vAlign w:val="center"/>
          </w:tcPr>
          <w:p w14:paraId="4F6F718D">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磨床</w:t>
            </w:r>
          </w:p>
        </w:tc>
        <w:tc>
          <w:tcPr>
            <w:tcW w:w="690" w:type="dxa"/>
            <w:shd w:val="clear" w:color="auto" w:fill="FFFFFF"/>
            <w:vAlign w:val="center"/>
          </w:tcPr>
          <w:p w14:paraId="08C3C713">
            <w:pPr>
              <w:rPr>
                <w:rFonts w:hint="default" w:ascii="Times New Roman" w:hAnsi="Times New Roman" w:cs="Times New Roman"/>
                <w:color w:val="auto"/>
                <w:u w:val="single" w:color="auto"/>
              </w:rPr>
            </w:pPr>
          </w:p>
        </w:tc>
        <w:tc>
          <w:tcPr>
            <w:tcW w:w="1245" w:type="dxa"/>
            <w:shd w:val="clear" w:color="auto" w:fill="FFFFFF"/>
            <w:vAlign w:val="center"/>
          </w:tcPr>
          <w:p w14:paraId="39121070">
            <w:pPr>
              <w:rPr>
                <w:rFonts w:hint="default" w:ascii="Times New Roman" w:hAnsi="Times New Roman" w:cs="Times New Roman"/>
                <w:color w:val="auto"/>
                <w:u w:val="single" w:color="auto"/>
              </w:rPr>
            </w:pPr>
          </w:p>
        </w:tc>
        <w:tc>
          <w:tcPr>
            <w:tcW w:w="1275" w:type="dxa"/>
            <w:shd w:val="clear" w:color="auto" w:fill="FFFFFF"/>
            <w:vAlign w:val="center"/>
          </w:tcPr>
          <w:p w14:paraId="05C01087">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84.47</w:t>
            </w:r>
          </w:p>
        </w:tc>
        <w:tc>
          <w:tcPr>
            <w:tcW w:w="945" w:type="dxa"/>
            <w:shd w:val="clear" w:color="auto" w:fill="FFFFFF"/>
            <w:vAlign w:val="center"/>
          </w:tcPr>
          <w:p w14:paraId="4F919E94">
            <w:pPr>
              <w:rPr>
                <w:rFonts w:hint="default" w:ascii="Times New Roman" w:hAnsi="Times New Roman" w:cs="Times New Roman"/>
                <w:color w:val="auto"/>
                <w:u w:val="single" w:color="auto"/>
              </w:rPr>
            </w:pPr>
          </w:p>
        </w:tc>
        <w:tc>
          <w:tcPr>
            <w:tcW w:w="630" w:type="dxa"/>
            <w:shd w:val="clear" w:color="auto" w:fill="FFFFFF"/>
            <w:vAlign w:val="center"/>
          </w:tcPr>
          <w:p w14:paraId="7F2B9084">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-2.4</w:t>
            </w:r>
          </w:p>
        </w:tc>
        <w:tc>
          <w:tcPr>
            <w:tcW w:w="630" w:type="dxa"/>
            <w:shd w:val="clear" w:color="auto" w:fill="FFFFFF"/>
            <w:vAlign w:val="center"/>
          </w:tcPr>
          <w:p w14:paraId="1F0DDE6D">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-68.3</w:t>
            </w:r>
          </w:p>
        </w:tc>
        <w:tc>
          <w:tcPr>
            <w:tcW w:w="630" w:type="dxa"/>
            <w:shd w:val="clear" w:color="auto" w:fill="FFFFFF"/>
            <w:vAlign w:val="center"/>
          </w:tcPr>
          <w:p w14:paraId="21B49829">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64.7</w:t>
            </w:r>
          </w:p>
        </w:tc>
        <w:tc>
          <w:tcPr>
            <w:tcW w:w="1590" w:type="dxa"/>
            <w:shd w:val="clear" w:color="auto" w:fill="FFFFFF"/>
            <w:vAlign w:val="center"/>
          </w:tcPr>
          <w:p w14:paraId="22D21685">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声屏障-1(有窗户)：41.8</w:t>
            </w:r>
          </w:p>
          <w:p w14:paraId="7140A933">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声屏障-2(门-1)：27.3</w:t>
            </w:r>
          </w:p>
          <w:p w14:paraId="437504A4">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声屏障-3(窗户-2)：50.0</w:t>
            </w:r>
          </w:p>
          <w:p w14:paraId="3D329DE4">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声屏障-4：22.1</w:t>
            </w:r>
          </w:p>
          <w:p w14:paraId="20490F37">
            <w:pPr>
              <w:rPr>
                <w:rFonts w:hint="default" w:ascii="Times New Roman" w:hAnsi="Times New Roman" w:cs="Times New Roman"/>
                <w:color w:val="auto"/>
                <w:u w:val="single" w:color="auto"/>
              </w:rPr>
            </w:pPr>
          </w:p>
        </w:tc>
        <w:tc>
          <w:tcPr>
            <w:tcW w:w="1725" w:type="dxa"/>
            <w:shd w:val="clear" w:color="auto" w:fill="FFFFFF"/>
            <w:vAlign w:val="center"/>
          </w:tcPr>
          <w:p w14:paraId="1AA5085E">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声屏障-1(有窗户)：80.5</w:t>
            </w:r>
          </w:p>
          <w:p w14:paraId="7558659B">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声屏障-2(门-1)：80.5</w:t>
            </w:r>
          </w:p>
          <w:p w14:paraId="6DC28F79">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声屏障-3(窗户-2)：80.5</w:t>
            </w:r>
          </w:p>
          <w:p w14:paraId="390FDCED">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声屏障-4：80.5</w:t>
            </w:r>
          </w:p>
          <w:p w14:paraId="11750BB6">
            <w:pPr>
              <w:rPr>
                <w:rFonts w:hint="default" w:ascii="Times New Roman" w:hAnsi="Times New Roman" w:cs="Times New Roman"/>
                <w:color w:val="auto"/>
                <w:u w:val="single" w:color="auto"/>
              </w:rPr>
            </w:pPr>
          </w:p>
        </w:tc>
        <w:tc>
          <w:tcPr>
            <w:tcW w:w="750" w:type="dxa"/>
            <w:shd w:val="clear" w:color="auto" w:fill="FFFFFF"/>
            <w:vAlign w:val="center"/>
          </w:tcPr>
          <w:p w14:paraId="6F0BA32E">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无</w:t>
            </w:r>
          </w:p>
        </w:tc>
        <w:tc>
          <w:tcPr>
            <w:tcW w:w="1170" w:type="dxa"/>
            <w:shd w:val="clear" w:color="auto" w:fill="FFFFFF"/>
            <w:vAlign w:val="center"/>
          </w:tcPr>
          <w:p w14:paraId="4FD5298B">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声屏障-1(有窗户)：26.0</w:t>
            </w:r>
          </w:p>
          <w:p w14:paraId="7A298271">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声屏障-2(门-1)：21.0</w:t>
            </w:r>
          </w:p>
          <w:p w14:paraId="1A261C8A">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声屏障-3(窗户-2)：26.0</w:t>
            </w:r>
          </w:p>
          <w:p w14:paraId="2DF5BED0">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声屏障-4：26.0</w:t>
            </w:r>
          </w:p>
          <w:p w14:paraId="41DBBDE0">
            <w:pPr>
              <w:rPr>
                <w:rFonts w:hint="default" w:ascii="Times New Roman" w:hAnsi="Times New Roman" w:cs="Times New Roman"/>
                <w:color w:val="auto"/>
                <w:u w:val="single" w:color="auto"/>
              </w:rPr>
            </w:pPr>
          </w:p>
        </w:tc>
        <w:tc>
          <w:tcPr>
            <w:tcW w:w="1117" w:type="dxa"/>
            <w:shd w:val="clear" w:color="auto" w:fill="FFFFFF"/>
            <w:vAlign w:val="center"/>
          </w:tcPr>
          <w:p w14:paraId="2E30D2B8">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声屏障-1(有窗户)：54.5</w:t>
            </w:r>
          </w:p>
          <w:p w14:paraId="33F52B09">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声屏障-2(门-1)：59.5</w:t>
            </w:r>
          </w:p>
          <w:p w14:paraId="50A7039B">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声屏障-3(窗户-2)：54.5</w:t>
            </w:r>
          </w:p>
          <w:p w14:paraId="7F97FC9F">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声屏障-4：54.5</w:t>
            </w:r>
          </w:p>
          <w:p w14:paraId="77982809">
            <w:pPr>
              <w:rPr>
                <w:rFonts w:hint="default" w:ascii="Times New Roman" w:hAnsi="Times New Roman" w:cs="Times New Roman"/>
                <w:color w:val="auto"/>
                <w:u w:val="single" w:color="auto"/>
              </w:rPr>
            </w:pPr>
          </w:p>
        </w:tc>
        <w:tc>
          <w:tcPr>
            <w:tcW w:w="1117" w:type="dxa"/>
            <w:shd w:val="clear" w:color="auto" w:fill="FFFFFF"/>
            <w:vAlign w:val="center"/>
          </w:tcPr>
          <w:p w14:paraId="34BF32E3">
            <w:pPr>
              <w:rPr>
                <w:rFonts w:hint="default" w:ascii="Times New Roman" w:hAnsi="Times New Roman" w:cs="Times New Roman"/>
                <w:color w:val="auto"/>
                <w:u w:val="single" w:color="auto"/>
              </w:rPr>
            </w:pPr>
            <w:r>
              <w:rPr>
                <w:rFonts w:hint="default" w:ascii="Times New Roman" w:hAnsi="Times New Roman" w:eastAsia="Arial" w:cs="Times New Roman"/>
                <w:color w:val="auto"/>
                <w:sz w:val="20"/>
                <w:u w:val="single" w:color="auto"/>
              </w:rPr>
              <w:t>1</w:t>
            </w:r>
          </w:p>
        </w:tc>
      </w:tr>
    </w:tbl>
    <w:p w14:paraId="1E139F3B">
      <w:pPr>
        <w:rPr>
          <w:rFonts w:hint="default" w:ascii="Times New Roman" w:hAnsi="Times New Roman" w:cs="Times New Roman"/>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6D277CA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（4）预测结果</w:t>
      </w:r>
    </w:p>
    <w:p w14:paraId="45D81B3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通过预测模型计算，项目厂界噪声预测结果与达标分析见下表。</w:t>
      </w:r>
    </w:p>
    <w:p w14:paraId="260B26F4">
      <w:pPr>
        <w:pStyle w:val="21"/>
        <w:keepNext w:val="0"/>
        <w:keepLines w:val="0"/>
        <w:pageBreakBefore w:val="0"/>
        <w:widowControl w:val="0"/>
        <w:kinsoku/>
        <w:wordWrap/>
        <w:overflowPunct/>
        <w:topLinePunct w:val="0"/>
        <w:autoSpaceDE/>
        <w:autoSpaceDN/>
        <w:bidi w:val="0"/>
        <w:adjustRightInd/>
        <w:ind w:firstLine="0" w:firstLineChars="0"/>
        <w:jc w:val="center"/>
        <w:textAlignment w:val="auto"/>
        <w:outlineLvl w:val="9"/>
        <w:rPr>
          <w:rFonts w:hint="default" w:ascii="Times New Roman" w:hAnsi="Times New Roman" w:eastAsia="宋体" w:cs="Times New Roman"/>
          <w:b/>
          <w:color w:val="auto"/>
          <w:sz w:val="21"/>
          <w:szCs w:val="21"/>
          <w:u w:val="single" w:color="auto"/>
          <w:lang w:val="en-US" w:eastAsia="zh-CN" w:bidi="ar-SA"/>
        </w:rPr>
      </w:pPr>
      <w:r>
        <w:rPr>
          <w:rFonts w:hint="default" w:ascii="Times New Roman" w:hAnsi="Times New Roman" w:eastAsia="宋体" w:cs="Times New Roman"/>
          <w:b/>
          <w:color w:val="auto"/>
          <w:sz w:val="21"/>
          <w:szCs w:val="21"/>
          <w:u w:val="single" w:color="auto"/>
          <w:lang w:val="en-US" w:eastAsia="zh-CN" w:bidi="ar-SA"/>
        </w:rPr>
        <w:t>表</w:t>
      </w:r>
      <w:r>
        <w:rPr>
          <w:rFonts w:hint="default" w:ascii="Times New Roman" w:hAnsi="Times New Roman" w:cs="Times New Roman"/>
          <w:b/>
          <w:color w:val="auto"/>
          <w:sz w:val="21"/>
          <w:szCs w:val="21"/>
          <w:u w:val="single" w:color="auto"/>
          <w:lang w:val="en-US" w:eastAsia="zh-CN" w:bidi="ar-SA"/>
        </w:rPr>
        <w:t>7.2-17</w:t>
      </w:r>
      <w:r>
        <w:rPr>
          <w:rFonts w:hint="default" w:ascii="Times New Roman" w:hAnsi="Times New Roman" w:eastAsia="宋体" w:cs="Times New Roman"/>
          <w:b/>
          <w:color w:val="auto"/>
          <w:sz w:val="21"/>
          <w:szCs w:val="21"/>
          <w:u w:val="single" w:color="auto"/>
          <w:lang w:val="en-US" w:eastAsia="zh-CN" w:bidi="ar-SA"/>
        </w:rPr>
        <w:t xml:space="preserve">  厂界噪声预测结果与达标分析表</w:t>
      </w:r>
      <w:bookmarkStart w:id="77" w:name="PT_7"/>
    </w:p>
    <w:bookmarkEnd w:id="77"/>
    <w:tbl>
      <w:tblPr>
        <w:tblStyle w:val="22"/>
        <w:tblW w:w="85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14:paraId="0B976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vAlign w:val="center"/>
          </w:tcPr>
          <w:p w14:paraId="7444F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预测方位</w:t>
            </w:r>
          </w:p>
        </w:tc>
        <w:tc>
          <w:tcPr>
            <w:tcW w:w="2409" w:type="dxa"/>
            <w:gridSpan w:val="3"/>
            <w:vAlign w:val="center"/>
          </w:tcPr>
          <w:p w14:paraId="07396C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空间相对位置/m</w:t>
            </w:r>
          </w:p>
        </w:tc>
        <w:tc>
          <w:tcPr>
            <w:tcW w:w="993" w:type="dxa"/>
            <w:vMerge w:val="restart"/>
            <w:vAlign w:val="center"/>
          </w:tcPr>
          <w:p w14:paraId="6991DC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时段</w:t>
            </w:r>
          </w:p>
        </w:tc>
        <w:tc>
          <w:tcPr>
            <w:tcW w:w="1417" w:type="dxa"/>
            <w:vMerge w:val="restart"/>
            <w:vAlign w:val="center"/>
          </w:tcPr>
          <w:p w14:paraId="26B3EE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预测值（dB(A)）</w:t>
            </w:r>
          </w:p>
        </w:tc>
        <w:tc>
          <w:tcPr>
            <w:tcW w:w="1418" w:type="dxa"/>
            <w:vMerge w:val="restart"/>
            <w:vAlign w:val="center"/>
          </w:tcPr>
          <w:p w14:paraId="645EB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标准限值（dB(A)）</w:t>
            </w:r>
          </w:p>
        </w:tc>
        <w:tc>
          <w:tcPr>
            <w:tcW w:w="1188" w:type="dxa"/>
            <w:vMerge w:val="restart"/>
            <w:vAlign w:val="center"/>
          </w:tcPr>
          <w:p w14:paraId="3C81CA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达标情况</w:t>
            </w:r>
          </w:p>
        </w:tc>
      </w:tr>
      <w:tr w14:paraId="7DDFB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shd w:val="clear" w:color="auto" w:fill="FFFFFF"/>
            <w:vAlign w:val="center"/>
          </w:tcPr>
          <w:p w14:paraId="236406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p>
        </w:tc>
        <w:tc>
          <w:tcPr>
            <w:tcW w:w="803" w:type="dxa"/>
            <w:shd w:val="clear" w:color="auto" w:fill="FFFFFF"/>
            <w:vAlign w:val="center"/>
          </w:tcPr>
          <w:p w14:paraId="13EC5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X</w:t>
            </w:r>
          </w:p>
        </w:tc>
        <w:tc>
          <w:tcPr>
            <w:tcW w:w="803" w:type="dxa"/>
            <w:shd w:val="clear" w:color="auto" w:fill="FFFFFF"/>
            <w:vAlign w:val="center"/>
          </w:tcPr>
          <w:p w14:paraId="5CE61C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Y</w:t>
            </w:r>
          </w:p>
        </w:tc>
        <w:tc>
          <w:tcPr>
            <w:tcW w:w="803" w:type="dxa"/>
            <w:shd w:val="clear" w:color="auto" w:fill="FFFFFF"/>
            <w:vAlign w:val="center"/>
          </w:tcPr>
          <w:p w14:paraId="599BBE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Z</w:t>
            </w:r>
          </w:p>
        </w:tc>
        <w:tc>
          <w:tcPr>
            <w:tcW w:w="993" w:type="dxa"/>
            <w:vMerge w:val="continue"/>
            <w:shd w:val="clear" w:color="auto" w:fill="FFFFFF"/>
            <w:vAlign w:val="center"/>
          </w:tcPr>
          <w:p w14:paraId="144221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p>
        </w:tc>
        <w:tc>
          <w:tcPr>
            <w:tcW w:w="1417" w:type="dxa"/>
            <w:vMerge w:val="continue"/>
            <w:shd w:val="clear" w:color="auto" w:fill="FFFFFF"/>
            <w:vAlign w:val="center"/>
          </w:tcPr>
          <w:p w14:paraId="7DB7B9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p>
        </w:tc>
        <w:tc>
          <w:tcPr>
            <w:tcW w:w="1418" w:type="dxa"/>
            <w:vMerge w:val="continue"/>
            <w:shd w:val="clear" w:color="auto" w:fill="FFFFFF"/>
            <w:vAlign w:val="center"/>
          </w:tcPr>
          <w:p w14:paraId="14E30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p>
        </w:tc>
        <w:tc>
          <w:tcPr>
            <w:tcW w:w="1188" w:type="dxa"/>
            <w:vMerge w:val="continue"/>
            <w:shd w:val="clear" w:color="auto" w:fill="FFFFFF"/>
            <w:vAlign w:val="center"/>
          </w:tcPr>
          <w:p w14:paraId="0952A0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p>
        </w:tc>
      </w:tr>
      <w:tr w14:paraId="248E3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3E2E84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东侧</w:t>
            </w:r>
          </w:p>
        </w:tc>
        <w:tc>
          <w:tcPr>
            <w:tcW w:w="803" w:type="dxa"/>
            <w:shd w:val="clear" w:color="auto" w:fill="FFFFFF"/>
            <w:vAlign w:val="center"/>
          </w:tcPr>
          <w:p w14:paraId="01B28A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35.1</w:t>
            </w:r>
          </w:p>
        </w:tc>
        <w:tc>
          <w:tcPr>
            <w:tcW w:w="803" w:type="dxa"/>
            <w:shd w:val="clear" w:color="auto" w:fill="FFFFFF"/>
            <w:vAlign w:val="center"/>
          </w:tcPr>
          <w:p w14:paraId="561E4E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1.9</w:t>
            </w:r>
          </w:p>
        </w:tc>
        <w:tc>
          <w:tcPr>
            <w:tcW w:w="803" w:type="dxa"/>
            <w:shd w:val="clear" w:color="auto" w:fill="FFFFFF"/>
            <w:vAlign w:val="center"/>
          </w:tcPr>
          <w:p w14:paraId="4909A8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64.2</w:t>
            </w:r>
          </w:p>
        </w:tc>
        <w:tc>
          <w:tcPr>
            <w:tcW w:w="993" w:type="dxa"/>
            <w:shd w:val="clear" w:color="auto" w:fill="FFFFFF"/>
            <w:vAlign w:val="center"/>
          </w:tcPr>
          <w:p w14:paraId="6B8221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昼间</w:t>
            </w:r>
          </w:p>
        </w:tc>
        <w:tc>
          <w:tcPr>
            <w:tcW w:w="1417" w:type="dxa"/>
            <w:shd w:val="clear" w:color="auto" w:fill="FFFFFF"/>
            <w:vAlign w:val="center"/>
          </w:tcPr>
          <w:p w14:paraId="680E0D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48.7</w:t>
            </w:r>
          </w:p>
        </w:tc>
        <w:tc>
          <w:tcPr>
            <w:tcW w:w="1418" w:type="dxa"/>
            <w:shd w:val="clear" w:color="auto" w:fill="FFFFFF"/>
            <w:vAlign w:val="center"/>
          </w:tcPr>
          <w:p w14:paraId="0D7FC5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w:t>
            </w:r>
          </w:p>
        </w:tc>
        <w:tc>
          <w:tcPr>
            <w:tcW w:w="1188" w:type="dxa"/>
            <w:shd w:val="clear" w:color="auto" w:fill="FFFFFF"/>
            <w:vAlign w:val="center"/>
          </w:tcPr>
          <w:p w14:paraId="6C7BC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达标</w:t>
            </w:r>
          </w:p>
        </w:tc>
      </w:tr>
      <w:tr w14:paraId="41D63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780992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803" w:type="dxa"/>
            <w:shd w:val="clear" w:color="auto" w:fill="FFFFFF"/>
            <w:vAlign w:val="center"/>
          </w:tcPr>
          <w:p w14:paraId="2C2D1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35.1</w:t>
            </w:r>
          </w:p>
        </w:tc>
        <w:tc>
          <w:tcPr>
            <w:tcW w:w="803" w:type="dxa"/>
            <w:shd w:val="clear" w:color="auto" w:fill="FFFFFF"/>
            <w:vAlign w:val="center"/>
          </w:tcPr>
          <w:p w14:paraId="4839D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1.9</w:t>
            </w:r>
          </w:p>
        </w:tc>
        <w:tc>
          <w:tcPr>
            <w:tcW w:w="803" w:type="dxa"/>
            <w:shd w:val="clear" w:color="auto" w:fill="FFFFFF"/>
            <w:vAlign w:val="center"/>
          </w:tcPr>
          <w:p w14:paraId="1C1216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64.2</w:t>
            </w:r>
          </w:p>
        </w:tc>
        <w:tc>
          <w:tcPr>
            <w:tcW w:w="993" w:type="dxa"/>
            <w:shd w:val="clear" w:color="auto" w:fill="FFFFFF"/>
            <w:vAlign w:val="center"/>
          </w:tcPr>
          <w:p w14:paraId="414AD4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夜间</w:t>
            </w:r>
          </w:p>
        </w:tc>
        <w:tc>
          <w:tcPr>
            <w:tcW w:w="1417" w:type="dxa"/>
            <w:shd w:val="clear" w:color="auto" w:fill="FFFFFF"/>
            <w:vAlign w:val="center"/>
          </w:tcPr>
          <w:p w14:paraId="5E8B7D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48.7</w:t>
            </w:r>
          </w:p>
        </w:tc>
        <w:tc>
          <w:tcPr>
            <w:tcW w:w="1418" w:type="dxa"/>
            <w:shd w:val="clear" w:color="auto" w:fill="FFFFFF"/>
            <w:vAlign w:val="center"/>
          </w:tcPr>
          <w:p w14:paraId="674B48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55</w:t>
            </w:r>
          </w:p>
        </w:tc>
        <w:tc>
          <w:tcPr>
            <w:tcW w:w="1188" w:type="dxa"/>
            <w:shd w:val="clear" w:color="auto" w:fill="FFFFFF"/>
            <w:vAlign w:val="center"/>
          </w:tcPr>
          <w:p w14:paraId="5D2714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达标</w:t>
            </w:r>
          </w:p>
        </w:tc>
      </w:tr>
      <w:tr w14:paraId="1E6D0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08F9A1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南侧</w:t>
            </w:r>
          </w:p>
        </w:tc>
        <w:tc>
          <w:tcPr>
            <w:tcW w:w="803" w:type="dxa"/>
            <w:shd w:val="clear" w:color="auto" w:fill="FFFFFF"/>
            <w:vAlign w:val="center"/>
          </w:tcPr>
          <w:p w14:paraId="10FB88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-32.9</w:t>
            </w:r>
          </w:p>
        </w:tc>
        <w:tc>
          <w:tcPr>
            <w:tcW w:w="803" w:type="dxa"/>
            <w:shd w:val="clear" w:color="auto" w:fill="FFFFFF"/>
            <w:vAlign w:val="center"/>
          </w:tcPr>
          <w:p w14:paraId="60157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-69.7</w:t>
            </w:r>
          </w:p>
        </w:tc>
        <w:tc>
          <w:tcPr>
            <w:tcW w:w="803" w:type="dxa"/>
            <w:shd w:val="clear" w:color="auto" w:fill="FFFFFF"/>
            <w:vAlign w:val="center"/>
          </w:tcPr>
          <w:p w14:paraId="16D1C9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65.3</w:t>
            </w:r>
          </w:p>
        </w:tc>
        <w:tc>
          <w:tcPr>
            <w:tcW w:w="993" w:type="dxa"/>
            <w:shd w:val="clear" w:color="auto" w:fill="FFFFFF"/>
            <w:vAlign w:val="center"/>
          </w:tcPr>
          <w:p w14:paraId="36D816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昼间</w:t>
            </w:r>
          </w:p>
        </w:tc>
        <w:tc>
          <w:tcPr>
            <w:tcW w:w="1417" w:type="dxa"/>
            <w:shd w:val="clear" w:color="auto" w:fill="FFFFFF"/>
            <w:vAlign w:val="center"/>
          </w:tcPr>
          <w:p w14:paraId="0AEEA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41.7</w:t>
            </w:r>
          </w:p>
        </w:tc>
        <w:tc>
          <w:tcPr>
            <w:tcW w:w="1418" w:type="dxa"/>
            <w:shd w:val="clear" w:color="auto" w:fill="FFFFFF"/>
            <w:vAlign w:val="center"/>
          </w:tcPr>
          <w:p w14:paraId="354A93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w:t>
            </w:r>
          </w:p>
        </w:tc>
        <w:tc>
          <w:tcPr>
            <w:tcW w:w="1188" w:type="dxa"/>
            <w:shd w:val="clear" w:color="auto" w:fill="FFFFFF"/>
            <w:vAlign w:val="center"/>
          </w:tcPr>
          <w:p w14:paraId="466E4A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达标</w:t>
            </w:r>
          </w:p>
        </w:tc>
      </w:tr>
      <w:tr w14:paraId="11466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3C70F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803" w:type="dxa"/>
            <w:shd w:val="clear" w:color="auto" w:fill="FFFFFF"/>
            <w:vAlign w:val="center"/>
          </w:tcPr>
          <w:p w14:paraId="5CE47A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-32.9</w:t>
            </w:r>
          </w:p>
        </w:tc>
        <w:tc>
          <w:tcPr>
            <w:tcW w:w="803" w:type="dxa"/>
            <w:shd w:val="clear" w:color="auto" w:fill="FFFFFF"/>
            <w:vAlign w:val="center"/>
          </w:tcPr>
          <w:p w14:paraId="3C241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-69.7</w:t>
            </w:r>
          </w:p>
        </w:tc>
        <w:tc>
          <w:tcPr>
            <w:tcW w:w="803" w:type="dxa"/>
            <w:shd w:val="clear" w:color="auto" w:fill="FFFFFF"/>
            <w:vAlign w:val="center"/>
          </w:tcPr>
          <w:p w14:paraId="06D061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65.3</w:t>
            </w:r>
          </w:p>
        </w:tc>
        <w:tc>
          <w:tcPr>
            <w:tcW w:w="993" w:type="dxa"/>
            <w:shd w:val="clear" w:color="auto" w:fill="FFFFFF"/>
            <w:vAlign w:val="center"/>
          </w:tcPr>
          <w:p w14:paraId="4BFE00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夜间</w:t>
            </w:r>
          </w:p>
        </w:tc>
        <w:tc>
          <w:tcPr>
            <w:tcW w:w="1417" w:type="dxa"/>
            <w:shd w:val="clear" w:color="auto" w:fill="FFFFFF"/>
            <w:vAlign w:val="center"/>
          </w:tcPr>
          <w:p w14:paraId="4A1EF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41.7</w:t>
            </w:r>
          </w:p>
        </w:tc>
        <w:tc>
          <w:tcPr>
            <w:tcW w:w="1418" w:type="dxa"/>
            <w:shd w:val="clear" w:color="auto" w:fill="FFFFFF"/>
            <w:vAlign w:val="center"/>
          </w:tcPr>
          <w:p w14:paraId="5F1EF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55</w:t>
            </w:r>
          </w:p>
        </w:tc>
        <w:tc>
          <w:tcPr>
            <w:tcW w:w="1188" w:type="dxa"/>
            <w:shd w:val="clear" w:color="auto" w:fill="FFFFFF"/>
            <w:vAlign w:val="center"/>
          </w:tcPr>
          <w:p w14:paraId="5B7C4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达标</w:t>
            </w:r>
          </w:p>
        </w:tc>
      </w:tr>
      <w:tr w14:paraId="397A3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65F21E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西侧</w:t>
            </w:r>
          </w:p>
        </w:tc>
        <w:tc>
          <w:tcPr>
            <w:tcW w:w="803" w:type="dxa"/>
            <w:shd w:val="clear" w:color="auto" w:fill="FFFFFF"/>
            <w:vAlign w:val="center"/>
          </w:tcPr>
          <w:p w14:paraId="3FCEF4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-32.9</w:t>
            </w:r>
          </w:p>
        </w:tc>
        <w:tc>
          <w:tcPr>
            <w:tcW w:w="803" w:type="dxa"/>
            <w:shd w:val="clear" w:color="auto" w:fill="FFFFFF"/>
            <w:vAlign w:val="center"/>
          </w:tcPr>
          <w:p w14:paraId="15138F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2.3</w:t>
            </w:r>
          </w:p>
        </w:tc>
        <w:tc>
          <w:tcPr>
            <w:tcW w:w="803" w:type="dxa"/>
            <w:shd w:val="clear" w:color="auto" w:fill="FFFFFF"/>
            <w:vAlign w:val="center"/>
          </w:tcPr>
          <w:p w14:paraId="58B135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w:t>
            </w:r>
          </w:p>
        </w:tc>
        <w:tc>
          <w:tcPr>
            <w:tcW w:w="993" w:type="dxa"/>
            <w:shd w:val="clear" w:color="auto" w:fill="FFFFFF"/>
            <w:vAlign w:val="center"/>
          </w:tcPr>
          <w:p w14:paraId="21E4ED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昼间</w:t>
            </w:r>
          </w:p>
        </w:tc>
        <w:tc>
          <w:tcPr>
            <w:tcW w:w="1417" w:type="dxa"/>
            <w:shd w:val="clear" w:color="auto" w:fill="FFFFFF"/>
            <w:vAlign w:val="center"/>
          </w:tcPr>
          <w:p w14:paraId="3F81E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48.9</w:t>
            </w:r>
          </w:p>
        </w:tc>
        <w:tc>
          <w:tcPr>
            <w:tcW w:w="1418" w:type="dxa"/>
            <w:shd w:val="clear" w:color="auto" w:fill="FFFFFF"/>
            <w:vAlign w:val="center"/>
          </w:tcPr>
          <w:p w14:paraId="3E9CCE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w:t>
            </w:r>
          </w:p>
        </w:tc>
        <w:tc>
          <w:tcPr>
            <w:tcW w:w="1188" w:type="dxa"/>
            <w:shd w:val="clear" w:color="auto" w:fill="FFFFFF"/>
            <w:vAlign w:val="center"/>
          </w:tcPr>
          <w:p w14:paraId="5F54D5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达标</w:t>
            </w:r>
          </w:p>
        </w:tc>
      </w:tr>
      <w:tr w14:paraId="4F7D2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66CC9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803" w:type="dxa"/>
            <w:shd w:val="clear" w:color="auto" w:fill="FFFFFF"/>
            <w:vAlign w:val="center"/>
          </w:tcPr>
          <w:p w14:paraId="706128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-32.9</w:t>
            </w:r>
          </w:p>
        </w:tc>
        <w:tc>
          <w:tcPr>
            <w:tcW w:w="803" w:type="dxa"/>
            <w:shd w:val="clear" w:color="auto" w:fill="FFFFFF"/>
            <w:vAlign w:val="center"/>
          </w:tcPr>
          <w:p w14:paraId="0207CB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2.3</w:t>
            </w:r>
          </w:p>
        </w:tc>
        <w:tc>
          <w:tcPr>
            <w:tcW w:w="803" w:type="dxa"/>
            <w:shd w:val="clear" w:color="auto" w:fill="FFFFFF"/>
            <w:vAlign w:val="center"/>
          </w:tcPr>
          <w:p w14:paraId="46B065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65</w:t>
            </w:r>
          </w:p>
        </w:tc>
        <w:tc>
          <w:tcPr>
            <w:tcW w:w="993" w:type="dxa"/>
            <w:shd w:val="clear" w:color="auto" w:fill="FFFFFF"/>
            <w:vAlign w:val="center"/>
          </w:tcPr>
          <w:p w14:paraId="47FC8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夜间</w:t>
            </w:r>
          </w:p>
        </w:tc>
        <w:tc>
          <w:tcPr>
            <w:tcW w:w="1417" w:type="dxa"/>
            <w:shd w:val="clear" w:color="auto" w:fill="FFFFFF"/>
            <w:vAlign w:val="center"/>
          </w:tcPr>
          <w:p w14:paraId="63458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48.9</w:t>
            </w:r>
          </w:p>
        </w:tc>
        <w:tc>
          <w:tcPr>
            <w:tcW w:w="1418" w:type="dxa"/>
            <w:shd w:val="clear" w:color="auto" w:fill="FFFFFF"/>
            <w:vAlign w:val="center"/>
          </w:tcPr>
          <w:p w14:paraId="17A89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55</w:t>
            </w:r>
          </w:p>
        </w:tc>
        <w:tc>
          <w:tcPr>
            <w:tcW w:w="1188" w:type="dxa"/>
            <w:shd w:val="clear" w:color="auto" w:fill="FFFFFF"/>
            <w:vAlign w:val="center"/>
          </w:tcPr>
          <w:p w14:paraId="788A2E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达标</w:t>
            </w:r>
          </w:p>
        </w:tc>
      </w:tr>
      <w:tr w14:paraId="102E0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7BEB84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北侧</w:t>
            </w:r>
          </w:p>
        </w:tc>
        <w:tc>
          <w:tcPr>
            <w:tcW w:w="803" w:type="dxa"/>
            <w:shd w:val="clear" w:color="auto" w:fill="FFFFFF"/>
            <w:vAlign w:val="center"/>
          </w:tcPr>
          <w:p w14:paraId="3E221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-32.9</w:t>
            </w:r>
          </w:p>
        </w:tc>
        <w:tc>
          <w:tcPr>
            <w:tcW w:w="803" w:type="dxa"/>
            <w:shd w:val="clear" w:color="auto" w:fill="FFFFFF"/>
            <w:vAlign w:val="center"/>
          </w:tcPr>
          <w:p w14:paraId="3CAD78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26.3</w:t>
            </w:r>
          </w:p>
        </w:tc>
        <w:tc>
          <w:tcPr>
            <w:tcW w:w="803" w:type="dxa"/>
            <w:shd w:val="clear" w:color="auto" w:fill="FFFFFF"/>
            <w:vAlign w:val="center"/>
          </w:tcPr>
          <w:p w14:paraId="0B3E45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64.3</w:t>
            </w:r>
          </w:p>
        </w:tc>
        <w:tc>
          <w:tcPr>
            <w:tcW w:w="993" w:type="dxa"/>
            <w:shd w:val="clear" w:color="auto" w:fill="FFFFFF"/>
            <w:vAlign w:val="center"/>
          </w:tcPr>
          <w:p w14:paraId="4C1C9B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昼间</w:t>
            </w:r>
          </w:p>
        </w:tc>
        <w:tc>
          <w:tcPr>
            <w:tcW w:w="1417" w:type="dxa"/>
            <w:shd w:val="clear" w:color="auto" w:fill="FFFFFF"/>
            <w:vAlign w:val="center"/>
          </w:tcPr>
          <w:p w14:paraId="06E0EC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48.1</w:t>
            </w:r>
          </w:p>
        </w:tc>
        <w:tc>
          <w:tcPr>
            <w:tcW w:w="1418" w:type="dxa"/>
            <w:shd w:val="clear" w:color="auto" w:fill="FFFFFF"/>
            <w:vAlign w:val="center"/>
          </w:tcPr>
          <w:p w14:paraId="47CAD3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1188" w:type="dxa"/>
            <w:shd w:val="clear" w:color="auto" w:fill="FFFFFF"/>
            <w:vAlign w:val="center"/>
          </w:tcPr>
          <w:p w14:paraId="4288F1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达标</w:t>
            </w:r>
          </w:p>
        </w:tc>
      </w:tr>
      <w:tr w14:paraId="20713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74291C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803" w:type="dxa"/>
            <w:shd w:val="clear" w:color="auto" w:fill="FFFFFF"/>
            <w:vAlign w:val="center"/>
          </w:tcPr>
          <w:p w14:paraId="034C4D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-32.9</w:t>
            </w:r>
          </w:p>
        </w:tc>
        <w:tc>
          <w:tcPr>
            <w:tcW w:w="803" w:type="dxa"/>
            <w:shd w:val="clear" w:color="auto" w:fill="FFFFFF"/>
            <w:vAlign w:val="center"/>
          </w:tcPr>
          <w:p w14:paraId="0B4EA9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26.3</w:t>
            </w:r>
          </w:p>
        </w:tc>
        <w:tc>
          <w:tcPr>
            <w:tcW w:w="803" w:type="dxa"/>
            <w:shd w:val="clear" w:color="auto" w:fill="FFFFFF"/>
            <w:vAlign w:val="center"/>
          </w:tcPr>
          <w:p w14:paraId="52DEA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64.3</w:t>
            </w:r>
          </w:p>
        </w:tc>
        <w:tc>
          <w:tcPr>
            <w:tcW w:w="993" w:type="dxa"/>
            <w:shd w:val="clear" w:color="auto" w:fill="FFFFFF"/>
            <w:vAlign w:val="center"/>
          </w:tcPr>
          <w:p w14:paraId="001F19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夜间</w:t>
            </w:r>
          </w:p>
        </w:tc>
        <w:tc>
          <w:tcPr>
            <w:tcW w:w="1417" w:type="dxa"/>
            <w:shd w:val="clear" w:color="auto" w:fill="FFFFFF"/>
            <w:vAlign w:val="center"/>
          </w:tcPr>
          <w:p w14:paraId="007ED6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48.1</w:t>
            </w:r>
          </w:p>
        </w:tc>
        <w:tc>
          <w:tcPr>
            <w:tcW w:w="1418" w:type="dxa"/>
            <w:shd w:val="clear" w:color="auto" w:fill="FFFFFF"/>
            <w:vAlign w:val="center"/>
          </w:tcPr>
          <w:p w14:paraId="658D9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55</w:t>
            </w:r>
          </w:p>
        </w:tc>
        <w:tc>
          <w:tcPr>
            <w:tcW w:w="1188" w:type="dxa"/>
            <w:shd w:val="clear" w:color="auto" w:fill="FFFFFF"/>
            <w:vAlign w:val="center"/>
          </w:tcPr>
          <w:p w14:paraId="1446A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达标</w:t>
            </w:r>
          </w:p>
        </w:tc>
      </w:tr>
    </w:tbl>
    <w:p w14:paraId="1C9EDAC0">
      <w:pPr>
        <w:keepNext w:val="0"/>
        <w:keepLines w:val="0"/>
        <w:pageBreakBefore w:val="0"/>
        <w:widowControl w:val="0"/>
        <w:kinsoku/>
        <w:wordWrap/>
        <w:overflowPunct/>
        <w:topLinePunct w:val="0"/>
        <w:autoSpaceDE/>
        <w:autoSpaceDN/>
        <w:bidi w:val="0"/>
        <w:adjustRightInd/>
        <w:snapToGrid/>
        <w:spacing w:line="360" w:lineRule="auto"/>
        <w:ind w:firstLine="560"/>
        <w:textAlignment w:val="auto"/>
        <w:outlineLvl w:val="9"/>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经预测，项目噪声在</w:t>
      </w:r>
      <w:r>
        <w:rPr>
          <w:rFonts w:hint="default" w:ascii="Times New Roman" w:hAnsi="Times New Roman" w:eastAsia="宋体" w:cs="Times New Roman"/>
          <w:color w:val="auto"/>
          <w:sz w:val="24"/>
          <w:szCs w:val="24"/>
          <w:highlight w:val="none"/>
          <w:u w:val="single" w:color="auto"/>
          <w:lang w:eastAsia="zh-CN"/>
        </w:rPr>
        <w:t>东厂界、</w:t>
      </w:r>
      <w:r>
        <w:rPr>
          <w:rFonts w:hint="default" w:ascii="Times New Roman" w:hAnsi="Times New Roman" w:eastAsia="宋体" w:cs="Times New Roman"/>
          <w:color w:val="auto"/>
          <w:sz w:val="24"/>
          <w:szCs w:val="24"/>
          <w:highlight w:val="none"/>
          <w:u w:val="single" w:color="auto"/>
        </w:rPr>
        <w:t>西厂界</w:t>
      </w:r>
      <w:r>
        <w:rPr>
          <w:rFonts w:hint="default" w:ascii="Times New Roman" w:hAnsi="Times New Roman" w:eastAsia="宋体" w:cs="Times New Roman"/>
          <w:color w:val="auto"/>
          <w:sz w:val="24"/>
          <w:szCs w:val="24"/>
          <w:highlight w:val="none"/>
          <w:u w:val="single" w:color="auto"/>
          <w:lang w:eastAsia="zh-CN"/>
        </w:rPr>
        <w:t>、南厂界夜间</w:t>
      </w:r>
      <w:r>
        <w:rPr>
          <w:rFonts w:hint="default" w:ascii="Times New Roman" w:hAnsi="Times New Roman" w:eastAsia="宋体" w:cs="Times New Roman"/>
          <w:color w:val="auto"/>
          <w:sz w:val="24"/>
          <w:szCs w:val="24"/>
          <w:highlight w:val="none"/>
          <w:u w:val="single" w:color="auto"/>
        </w:rPr>
        <w:t>叠加值均</w:t>
      </w:r>
      <w:r>
        <w:rPr>
          <w:rFonts w:hint="default" w:ascii="Times New Roman" w:hAnsi="Times New Roman" w:eastAsia="宋体" w:cs="Times New Roman"/>
          <w:color w:val="auto"/>
          <w:sz w:val="24"/>
          <w:szCs w:val="24"/>
          <w:highlight w:val="none"/>
          <w:u w:val="single" w:color="auto"/>
          <w:lang w:eastAsia="zh-CN"/>
        </w:rPr>
        <w:t>可满足</w:t>
      </w:r>
      <w:r>
        <w:rPr>
          <w:rFonts w:hint="default" w:ascii="Times New Roman" w:hAnsi="Times New Roman" w:eastAsia="宋体" w:cs="Times New Roman"/>
          <w:color w:val="auto"/>
          <w:sz w:val="24"/>
          <w:szCs w:val="24"/>
          <w:highlight w:val="none"/>
          <w:u w:val="single" w:color="auto"/>
        </w:rPr>
        <w:t>《工业企业厂界环境噪声排放标准》（GB12348-2008）3类</w:t>
      </w:r>
      <w:r>
        <w:rPr>
          <w:rFonts w:hint="default" w:ascii="Times New Roman" w:hAnsi="Times New Roman" w:eastAsia="宋体" w:cs="Times New Roman"/>
          <w:color w:val="auto"/>
          <w:sz w:val="24"/>
          <w:szCs w:val="24"/>
          <w:highlight w:val="none"/>
          <w:u w:val="single" w:color="auto"/>
          <w:lang w:eastAsia="zh-CN"/>
        </w:rPr>
        <w:t>标准要求，北厂界可满足</w:t>
      </w:r>
      <w:r>
        <w:rPr>
          <w:rFonts w:hint="default" w:ascii="Times New Roman" w:hAnsi="Times New Roman" w:eastAsia="宋体" w:cs="Times New Roman"/>
          <w:color w:val="auto"/>
          <w:sz w:val="24"/>
          <w:szCs w:val="24"/>
          <w:highlight w:val="none"/>
          <w:u w:val="single" w:color="auto"/>
        </w:rPr>
        <w:t>《工业企业厂界环境噪声排放标准》（GB12348-2008）</w:t>
      </w:r>
      <w:r>
        <w:rPr>
          <w:rFonts w:hint="default" w:ascii="Times New Roman" w:hAnsi="Times New Roman" w:eastAsia="宋体" w:cs="Times New Roman"/>
          <w:color w:val="auto"/>
          <w:sz w:val="24"/>
          <w:szCs w:val="24"/>
          <w:highlight w:val="none"/>
          <w:u w:val="single" w:color="auto"/>
          <w:lang w:val="en-US" w:eastAsia="zh-CN"/>
        </w:rPr>
        <w:t>4</w:t>
      </w:r>
      <w:r>
        <w:rPr>
          <w:rFonts w:hint="default" w:ascii="Times New Roman" w:hAnsi="Times New Roman" w:eastAsia="宋体" w:cs="Times New Roman"/>
          <w:color w:val="auto"/>
          <w:sz w:val="24"/>
          <w:szCs w:val="24"/>
          <w:highlight w:val="none"/>
          <w:u w:val="single" w:color="auto"/>
        </w:rPr>
        <w:t>类</w:t>
      </w:r>
      <w:r>
        <w:rPr>
          <w:rFonts w:hint="default" w:ascii="Times New Roman" w:hAnsi="Times New Roman" w:eastAsia="宋体" w:cs="Times New Roman"/>
          <w:color w:val="auto"/>
          <w:sz w:val="24"/>
          <w:szCs w:val="24"/>
          <w:highlight w:val="none"/>
          <w:u w:val="single" w:color="auto"/>
          <w:lang w:eastAsia="zh-CN"/>
        </w:rPr>
        <w:t>标准要求</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eastAsia="zh-CN"/>
        </w:rPr>
        <w:t>项目位于工业园区，周边</w:t>
      </w:r>
      <w:r>
        <w:rPr>
          <w:rFonts w:hint="default" w:ascii="Times New Roman" w:hAnsi="Times New Roman" w:eastAsia="宋体" w:cs="Times New Roman"/>
          <w:color w:val="auto"/>
          <w:sz w:val="24"/>
          <w:szCs w:val="24"/>
          <w:highlight w:val="none"/>
          <w:u w:val="single" w:color="auto"/>
          <w:lang w:val="en-US" w:eastAsia="zh-CN"/>
        </w:rPr>
        <w:t>200m范围内无敏感目标，对周边影响较小</w:t>
      </w:r>
      <w:r>
        <w:rPr>
          <w:rFonts w:hint="default" w:ascii="Times New Roman" w:hAnsi="Times New Roman" w:eastAsia="宋体" w:cs="Times New Roman"/>
          <w:color w:val="auto"/>
          <w:sz w:val="24"/>
          <w:szCs w:val="24"/>
          <w:highlight w:val="none"/>
          <w:u w:val="single" w:color="auto"/>
        </w:rPr>
        <w:t>。</w:t>
      </w:r>
    </w:p>
    <w:p w14:paraId="4CE9A0C8">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7.2.5固体废物环境影响分析</w:t>
      </w:r>
    </w:p>
    <w:p w14:paraId="1CBFCA4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根据工程分析可知，项目产生的固体废弃物主要包括一般工业固废、危险废物及生活垃圾。</w:t>
      </w:r>
    </w:p>
    <w:p w14:paraId="58862DB5">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一般工业固废环境影响分析</w:t>
      </w:r>
    </w:p>
    <w:p w14:paraId="145FDB9D">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本项目产生的一般工业废物主要包括一般化学品废包装材料、</w:t>
      </w:r>
      <w:r>
        <w:rPr>
          <w:rFonts w:hint="default" w:ascii="Times New Roman" w:hAnsi="Times New Roman" w:eastAsia="宋体" w:cs="Times New Roman"/>
          <w:color w:val="auto"/>
          <w:sz w:val="24"/>
          <w:szCs w:val="24"/>
          <w:highlight w:val="none"/>
          <w:u w:val="none" w:color="auto"/>
          <w:lang w:eastAsia="zh-CN"/>
        </w:rPr>
        <w:t>不合格产品及边角料、铝材前处理槽渣、纯水站废过滤材料</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kern w:val="2"/>
          <w:sz w:val="24"/>
          <w:szCs w:val="24"/>
          <w:highlight w:val="none"/>
          <w:u w:val="none" w:color="auto"/>
          <w:lang w:val="en-US" w:eastAsia="zh-CN" w:bidi="ar-SA"/>
        </w:rPr>
        <w:t>机加车间冲洗废水沉淀池污泥</w:t>
      </w:r>
      <w:r>
        <w:rPr>
          <w:rFonts w:hint="default" w:ascii="Times New Roman" w:hAnsi="Times New Roman" w:eastAsia="宋体" w:cs="Times New Roman"/>
          <w:color w:val="auto"/>
          <w:sz w:val="24"/>
          <w:szCs w:val="24"/>
          <w:highlight w:val="none"/>
          <w:u w:val="none" w:color="auto"/>
        </w:rPr>
        <w:t>。一般化学品废包装材料、</w:t>
      </w:r>
      <w:r>
        <w:rPr>
          <w:rFonts w:hint="default" w:ascii="Times New Roman" w:hAnsi="Times New Roman" w:eastAsia="宋体" w:cs="Times New Roman"/>
          <w:color w:val="auto"/>
          <w:sz w:val="24"/>
          <w:szCs w:val="24"/>
          <w:highlight w:val="none"/>
          <w:u w:val="none" w:color="auto"/>
          <w:lang w:eastAsia="zh-CN"/>
        </w:rPr>
        <w:t>不合格产品及边角料、铝材前处理槽渣</w:t>
      </w:r>
      <w:r>
        <w:rPr>
          <w:rFonts w:hint="default" w:ascii="Times New Roman" w:hAnsi="Times New Roman" w:eastAsia="宋体" w:cs="Times New Roman"/>
          <w:color w:val="auto"/>
          <w:sz w:val="24"/>
          <w:szCs w:val="24"/>
          <w:highlight w:val="none"/>
          <w:u w:val="none" w:color="auto"/>
        </w:rPr>
        <w:t>在厂区收集后外售综合利用</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kern w:val="2"/>
          <w:sz w:val="24"/>
          <w:szCs w:val="24"/>
          <w:highlight w:val="none"/>
          <w:u w:val="none" w:color="auto"/>
          <w:lang w:val="en-US" w:eastAsia="zh-CN" w:bidi="ar-SA"/>
        </w:rPr>
        <w:t>机加车间冲洗废水沉淀池污泥收集后送至填埋场</w:t>
      </w:r>
      <w:r>
        <w:rPr>
          <w:rFonts w:hint="default" w:ascii="Times New Roman" w:hAnsi="Times New Roman" w:eastAsia="宋体" w:cs="Times New Roman"/>
          <w:color w:val="auto"/>
          <w:sz w:val="24"/>
          <w:szCs w:val="24"/>
          <w:highlight w:val="none"/>
          <w:u w:val="none" w:color="auto"/>
        </w:rPr>
        <w:t>。同时，本项目在运营过程中对固体废物设有暂存收集装置，均就近设在相应</w:t>
      </w:r>
      <w:r>
        <w:rPr>
          <w:rFonts w:hint="default" w:ascii="Times New Roman" w:hAnsi="Times New Roman" w:eastAsia="宋体" w:cs="Times New Roman"/>
          <w:color w:val="auto"/>
          <w:sz w:val="24"/>
          <w:szCs w:val="24"/>
          <w:highlight w:val="none"/>
          <w:u w:val="none" w:color="auto"/>
          <w:lang w:eastAsia="zh-CN"/>
        </w:rPr>
        <w:t>厂房</w:t>
      </w:r>
      <w:r>
        <w:rPr>
          <w:rFonts w:hint="default" w:ascii="Times New Roman" w:hAnsi="Times New Roman" w:eastAsia="宋体" w:cs="Times New Roman"/>
          <w:color w:val="auto"/>
          <w:sz w:val="24"/>
          <w:szCs w:val="24"/>
          <w:highlight w:val="none"/>
          <w:u w:val="none" w:color="auto"/>
        </w:rPr>
        <w:t>内，无露天堆放，定期外售综合利用，不会对环境产生明显不良的影响。</w:t>
      </w:r>
    </w:p>
    <w:p w14:paraId="19CD076C">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危险废物环境影响分析</w:t>
      </w:r>
    </w:p>
    <w:p w14:paraId="353196AD">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本项目的危险废物主要包括电镀槽槽渣、电镀废水处理污泥、</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sz w:val="24"/>
          <w:szCs w:val="24"/>
          <w:highlight w:val="none"/>
          <w:u w:val="none" w:color="auto"/>
        </w:rPr>
        <w:t>残渣、危险化学品包装材料、</w:t>
      </w:r>
      <w:r>
        <w:rPr>
          <w:rFonts w:hint="default" w:ascii="Times New Roman" w:hAnsi="Times New Roman" w:eastAsia="宋体" w:cs="Times New Roman"/>
          <w:color w:val="auto"/>
          <w:sz w:val="24"/>
          <w:szCs w:val="24"/>
          <w:highlight w:val="none"/>
          <w:u w:val="none" w:color="auto"/>
          <w:lang w:eastAsia="zh-CN"/>
        </w:rPr>
        <w:t>废活性炭、</w:t>
      </w:r>
      <w:r>
        <w:rPr>
          <w:rFonts w:hint="default" w:ascii="Times New Roman" w:hAnsi="Times New Roman" w:eastAsia="宋体" w:cs="Times New Roman"/>
          <w:color w:val="auto"/>
          <w:sz w:val="24"/>
          <w:szCs w:val="24"/>
          <w:highlight w:val="none"/>
          <w:u w:val="none" w:color="auto"/>
          <w:lang w:val="en-US" w:eastAsia="zh-CN"/>
        </w:rPr>
        <w:t>废水处理站及生产过程废过滤材料</w:t>
      </w:r>
      <w:r>
        <w:rPr>
          <w:rFonts w:hint="default" w:ascii="Times New Roman" w:hAnsi="Times New Roman" w:eastAsia="宋体" w:cs="Times New Roman"/>
          <w:color w:val="auto"/>
          <w:sz w:val="24"/>
          <w:szCs w:val="24"/>
          <w:highlight w:val="none"/>
          <w:u w:val="none" w:color="auto"/>
          <w:lang w:eastAsia="zh-CN"/>
        </w:rPr>
        <w:t>、废切削液、废矿物油、含油抹布</w:t>
      </w:r>
      <w:r>
        <w:rPr>
          <w:rFonts w:hint="default" w:ascii="Times New Roman" w:hAnsi="Times New Roman" w:eastAsia="宋体" w:cs="Times New Roman"/>
          <w:color w:val="auto"/>
          <w:sz w:val="24"/>
          <w:szCs w:val="24"/>
          <w:highlight w:val="none"/>
          <w:u w:val="none" w:color="auto"/>
        </w:rPr>
        <w:t>。项目危险废物在危险废物暂存间收集暂存后统一交由有资质单位处置。</w:t>
      </w:r>
    </w:p>
    <w:p w14:paraId="38F0E7EF">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根据《建设项目危险废物环境影响评价指南》（环境保护部公告[2017]43号），对于危险废物环境影响评价须按照《建设项目环境影响评价技术导则总纲》（HJ2.1）及其他相关技术标准的有关规定进行评价。</w:t>
      </w:r>
    </w:p>
    <w:p w14:paraId="73887C40">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①危险废物防治措施</w:t>
      </w:r>
    </w:p>
    <w:p w14:paraId="0EE77CD8">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项目危险废物防治措施汇总见</w:t>
      </w:r>
      <w:r>
        <w:rPr>
          <w:rFonts w:hint="default" w:ascii="Times New Roman" w:hAnsi="Times New Roman" w:eastAsia="宋体" w:cs="Times New Roman"/>
          <w:color w:val="auto"/>
          <w:sz w:val="24"/>
          <w:szCs w:val="24"/>
          <w:highlight w:val="none"/>
          <w:u w:val="none" w:color="auto"/>
          <w:lang w:eastAsia="zh-CN"/>
        </w:rPr>
        <w:t>下</w:t>
      </w:r>
      <w:r>
        <w:rPr>
          <w:rFonts w:hint="default" w:ascii="Times New Roman" w:hAnsi="Times New Roman" w:eastAsia="宋体" w:cs="Times New Roman"/>
          <w:color w:val="auto"/>
          <w:sz w:val="24"/>
          <w:szCs w:val="24"/>
          <w:highlight w:val="none"/>
          <w:u w:val="none" w:color="auto"/>
        </w:rPr>
        <w:t>表。</w:t>
      </w:r>
    </w:p>
    <w:p w14:paraId="3A43611C">
      <w:pPr>
        <w:pStyle w:val="63"/>
        <w:rPr>
          <w:rFonts w:hint="default" w:ascii="Times New Roman" w:hAnsi="Times New Roman" w:cs="Times New Roman"/>
          <w:color w:val="auto"/>
          <w:szCs w:val="21"/>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1F2AD9B">
      <w:pPr>
        <w:pStyle w:val="63"/>
        <w:rPr>
          <w:rFonts w:hint="default" w:ascii="Times New Roman" w:hAnsi="Times New Roman" w:cs="Times New Roman"/>
          <w:color w:val="auto"/>
          <w:szCs w:val="21"/>
          <w:highlight w:val="none"/>
          <w:u w:val="none" w:color="auto"/>
        </w:rPr>
      </w:pPr>
      <w:r>
        <w:rPr>
          <w:rFonts w:hint="default" w:ascii="Times New Roman" w:hAnsi="Times New Roman" w:cs="Times New Roman"/>
          <w:color w:val="auto"/>
          <w:szCs w:val="21"/>
          <w:highlight w:val="none"/>
          <w:u w:val="none" w:color="auto"/>
        </w:rPr>
        <w:t>表</w:t>
      </w:r>
      <w:r>
        <w:rPr>
          <w:rFonts w:hint="default" w:ascii="Times New Roman" w:hAnsi="Times New Roman" w:cs="Times New Roman"/>
          <w:color w:val="auto"/>
          <w:szCs w:val="21"/>
          <w:highlight w:val="none"/>
          <w:u w:val="none" w:color="auto"/>
          <w:lang w:val="en-US" w:eastAsia="zh-CN"/>
        </w:rPr>
        <w:t>7</w:t>
      </w:r>
      <w:r>
        <w:rPr>
          <w:rFonts w:hint="default" w:ascii="Times New Roman" w:hAnsi="Times New Roman" w:cs="Times New Roman"/>
          <w:color w:val="auto"/>
          <w:szCs w:val="21"/>
          <w:highlight w:val="none"/>
          <w:u w:val="none" w:color="auto"/>
        </w:rPr>
        <w:t>.2-</w:t>
      </w:r>
      <w:r>
        <w:rPr>
          <w:rFonts w:hint="default" w:ascii="Times New Roman" w:hAnsi="Times New Roman" w:cs="Times New Roman"/>
          <w:color w:val="auto"/>
          <w:szCs w:val="21"/>
          <w:highlight w:val="none"/>
          <w:u w:val="none" w:color="auto"/>
          <w:lang w:val="en-US" w:eastAsia="zh-CN"/>
        </w:rPr>
        <w:t>17</w:t>
      </w:r>
      <w:r>
        <w:rPr>
          <w:rFonts w:hint="default" w:ascii="Times New Roman" w:hAnsi="Times New Roman" w:cs="Times New Roman"/>
          <w:color w:val="auto"/>
          <w:szCs w:val="21"/>
          <w:highlight w:val="none"/>
          <w:u w:val="none" w:color="auto"/>
        </w:rPr>
        <w:t xml:space="preserve">  项目危险废物防治措施汇总表</w:t>
      </w:r>
    </w:p>
    <w:tbl>
      <w:tblPr>
        <w:tblStyle w:val="22"/>
        <w:tblW w:w="15451" w:type="dxa"/>
        <w:tblInd w:w="-45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79"/>
        <w:gridCol w:w="1331"/>
        <w:gridCol w:w="1255"/>
        <w:gridCol w:w="1796"/>
        <w:gridCol w:w="851"/>
        <w:gridCol w:w="1701"/>
        <w:gridCol w:w="850"/>
        <w:gridCol w:w="1418"/>
        <w:gridCol w:w="1276"/>
        <w:gridCol w:w="1275"/>
        <w:gridCol w:w="993"/>
        <w:gridCol w:w="1417"/>
      </w:tblGrid>
      <w:tr w14:paraId="0B8F8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2C15094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910" w:type="dxa"/>
            <w:gridSpan w:val="2"/>
            <w:noWrap w:val="0"/>
            <w:vAlign w:val="center"/>
          </w:tcPr>
          <w:p w14:paraId="604CE6D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危险废物名称</w:t>
            </w:r>
          </w:p>
        </w:tc>
        <w:tc>
          <w:tcPr>
            <w:tcW w:w="1255" w:type="dxa"/>
            <w:noWrap w:val="0"/>
            <w:vAlign w:val="center"/>
          </w:tcPr>
          <w:p w14:paraId="418A3CB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危险废物类别</w:t>
            </w:r>
          </w:p>
        </w:tc>
        <w:tc>
          <w:tcPr>
            <w:tcW w:w="1796" w:type="dxa"/>
            <w:noWrap w:val="0"/>
            <w:vAlign w:val="center"/>
          </w:tcPr>
          <w:p w14:paraId="5D52A8E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危险废物代码</w:t>
            </w:r>
          </w:p>
        </w:tc>
        <w:tc>
          <w:tcPr>
            <w:tcW w:w="851" w:type="dxa"/>
            <w:noWrap w:val="0"/>
            <w:vAlign w:val="center"/>
          </w:tcPr>
          <w:p w14:paraId="2E903B1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产生量（t/a）</w:t>
            </w:r>
          </w:p>
        </w:tc>
        <w:tc>
          <w:tcPr>
            <w:tcW w:w="1701" w:type="dxa"/>
            <w:noWrap w:val="0"/>
            <w:vAlign w:val="center"/>
          </w:tcPr>
          <w:p w14:paraId="6B456AC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产生工序及装置</w:t>
            </w:r>
          </w:p>
        </w:tc>
        <w:tc>
          <w:tcPr>
            <w:tcW w:w="850" w:type="dxa"/>
            <w:noWrap w:val="0"/>
            <w:vAlign w:val="center"/>
          </w:tcPr>
          <w:p w14:paraId="3F1426C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形态</w:t>
            </w:r>
          </w:p>
        </w:tc>
        <w:tc>
          <w:tcPr>
            <w:tcW w:w="1418" w:type="dxa"/>
            <w:noWrap w:val="0"/>
            <w:vAlign w:val="center"/>
          </w:tcPr>
          <w:p w14:paraId="67447C6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主要成分</w:t>
            </w:r>
          </w:p>
        </w:tc>
        <w:tc>
          <w:tcPr>
            <w:tcW w:w="1276" w:type="dxa"/>
            <w:noWrap w:val="0"/>
            <w:vAlign w:val="center"/>
          </w:tcPr>
          <w:p w14:paraId="6B0EA6C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有害成分</w:t>
            </w:r>
          </w:p>
        </w:tc>
        <w:tc>
          <w:tcPr>
            <w:tcW w:w="1275" w:type="dxa"/>
            <w:noWrap w:val="0"/>
            <w:vAlign w:val="center"/>
          </w:tcPr>
          <w:p w14:paraId="4676A8E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产废周期</w:t>
            </w:r>
          </w:p>
        </w:tc>
        <w:tc>
          <w:tcPr>
            <w:tcW w:w="993" w:type="dxa"/>
            <w:noWrap w:val="0"/>
            <w:vAlign w:val="center"/>
          </w:tcPr>
          <w:p w14:paraId="2E49B3F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w:t>
            </w:r>
          </w:p>
          <w:p w14:paraId="4658BEA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特性*</w:t>
            </w:r>
          </w:p>
        </w:tc>
        <w:tc>
          <w:tcPr>
            <w:tcW w:w="1417" w:type="dxa"/>
            <w:noWrap w:val="0"/>
            <w:vAlign w:val="center"/>
          </w:tcPr>
          <w:p w14:paraId="764671E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污染防治措施</w:t>
            </w:r>
          </w:p>
        </w:tc>
      </w:tr>
      <w:tr w14:paraId="3EFDD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14:paraId="03F72FE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579" w:type="dxa"/>
            <w:vMerge w:val="restart"/>
            <w:noWrap w:val="0"/>
            <w:vAlign w:val="center"/>
          </w:tcPr>
          <w:p w14:paraId="2002FEC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电镀槽槽渣</w:t>
            </w:r>
          </w:p>
        </w:tc>
        <w:tc>
          <w:tcPr>
            <w:tcW w:w="1331" w:type="dxa"/>
            <w:noWrap w:val="0"/>
            <w:vAlign w:val="center"/>
          </w:tcPr>
          <w:p w14:paraId="443C906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含</w:t>
            </w:r>
            <w:r>
              <w:rPr>
                <w:rFonts w:hint="default" w:ascii="Times New Roman" w:hAnsi="Times New Roman" w:eastAsia="宋体" w:cs="Times New Roman"/>
                <w:color w:val="auto"/>
                <w:sz w:val="21"/>
                <w:szCs w:val="21"/>
                <w:highlight w:val="none"/>
                <w:u w:val="none" w:color="auto"/>
                <w:lang w:eastAsia="zh-CN"/>
              </w:rPr>
              <w:t>镍槽渣</w:t>
            </w:r>
          </w:p>
        </w:tc>
        <w:tc>
          <w:tcPr>
            <w:tcW w:w="1255" w:type="dxa"/>
            <w:vMerge w:val="restart"/>
            <w:noWrap w:val="0"/>
            <w:vAlign w:val="center"/>
          </w:tcPr>
          <w:p w14:paraId="22B5B4B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HW17表面处理废物</w:t>
            </w:r>
          </w:p>
        </w:tc>
        <w:tc>
          <w:tcPr>
            <w:tcW w:w="1796" w:type="dxa"/>
            <w:noWrap w:val="0"/>
            <w:vAlign w:val="center"/>
          </w:tcPr>
          <w:p w14:paraId="69DAFED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42708B6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336-054-17</w:t>
            </w:r>
          </w:p>
        </w:tc>
        <w:tc>
          <w:tcPr>
            <w:tcW w:w="851" w:type="dxa"/>
            <w:noWrap w:val="0"/>
            <w:vAlign w:val="center"/>
          </w:tcPr>
          <w:p w14:paraId="016484F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0.5</w:t>
            </w:r>
          </w:p>
        </w:tc>
        <w:tc>
          <w:tcPr>
            <w:tcW w:w="1701" w:type="dxa"/>
            <w:noWrap w:val="0"/>
            <w:vAlign w:val="center"/>
          </w:tcPr>
          <w:p w14:paraId="417CE23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镀镍、镀超硬材料工序</w:t>
            </w:r>
          </w:p>
        </w:tc>
        <w:tc>
          <w:tcPr>
            <w:tcW w:w="850" w:type="dxa"/>
            <w:noWrap w:val="0"/>
            <w:vAlign w:val="center"/>
          </w:tcPr>
          <w:p w14:paraId="11A1240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19EADD1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镍等重金属</w:t>
            </w:r>
          </w:p>
        </w:tc>
        <w:tc>
          <w:tcPr>
            <w:tcW w:w="1276" w:type="dxa"/>
            <w:noWrap w:val="0"/>
            <w:vAlign w:val="center"/>
          </w:tcPr>
          <w:p w14:paraId="49DAEB1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镍等重金属</w:t>
            </w:r>
          </w:p>
        </w:tc>
        <w:tc>
          <w:tcPr>
            <w:tcW w:w="1275" w:type="dxa"/>
            <w:noWrap w:val="0"/>
            <w:vAlign w:val="center"/>
          </w:tcPr>
          <w:p w14:paraId="1773C59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7ADFEEA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T/C</w:t>
            </w:r>
          </w:p>
        </w:tc>
        <w:tc>
          <w:tcPr>
            <w:tcW w:w="1417" w:type="dxa"/>
            <w:vMerge w:val="restart"/>
            <w:noWrap w:val="0"/>
            <w:vAlign w:val="center"/>
          </w:tcPr>
          <w:p w14:paraId="14040AD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专用收集桶分类收集密封包装好后分类暂存于厂内危废暂存间，再委托有资质单位定期清运处置</w:t>
            </w:r>
          </w:p>
        </w:tc>
      </w:tr>
      <w:tr w14:paraId="70DB3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14:paraId="46A4A8BB">
            <w:pPr>
              <w:spacing w:line="240" w:lineRule="auto"/>
              <w:jc w:val="center"/>
              <w:rPr>
                <w:rFonts w:hint="default" w:ascii="Times New Roman" w:hAnsi="Times New Roman" w:eastAsia="宋体" w:cs="Times New Roman"/>
                <w:color w:val="auto"/>
                <w:sz w:val="21"/>
                <w:szCs w:val="21"/>
                <w:highlight w:val="none"/>
                <w:u w:val="none" w:color="auto"/>
              </w:rPr>
            </w:pPr>
          </w:p>
        </w:tc>
        <w:tc>
          <w:tcPr>
            <w:tcW w:w="579" w:type="dxa"/>
            <w:vMerge w:val="continue"/>
            <w:noWrap w:val="0"/>
            <w:vAlign w:val="center"/>
          </w:tcPr>
          <w:p w14:paraId="532D29B0">
            <w:pPr>
              <w:spacing w:line="240" w:lineRule="auto"/>
              <w:jc w:val="center"/>
              <w:rPr>
                <w:rFonts w:hint="default" w:ascii="Times New Roman" w:hAnsi="Times New Roman" w:eastAsia="宋体" w:cs="Times New Roman"/>
                <w:color w:val="auto"/>
                <w:sz w:val="21"/>
                <w:szCs w:val="21"/>
                <w:highlight w:val="none"/>
                <w:u w:val="none" w:color="auto"/>
              </w:rPr>
            </w:pPr>
          </w:p>
        </w:tc>
        <w:tc>
          <w:tcPr>
            <w:tcW w:w="1331" w:type="dxa"/>
            <w:noWrap w:val="0"/>
            <w:vAlign w:val="center"/>
          </w:tcPr>
          <w:p w14:paraId="36542A5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含铁槽渣</w:t>
            </w:r>
          </w:p>
        </w:tc>
        <w:tc>
          <w:tcPr>
            <w:tcW w:w="1255" w:type="dxa"/>
            <w:vMerge w:val="continue"/>
            <w:noWrap w:val="0"/>
            <w:vAlign w:val="center"/>
          </w:tcPr>
          <w:p w14:paraId="614D1B39">
            <w:pPr>
              <w:spacing w:line="240" w:lineRule="auto"/>
              <w:jc w:val="center"/>
              <w:rPr>
                <w:rFonts w:hint="default" w:ascii="Times New Roman" w:hAnsi="Times New Roman" w:eastAsia="宋体" w:cs="Times New Roman"/>
                <w:color w:val="auto"/>
                <w:sz w:val="21"/>
                <w:szCs w:val="21"/>
                <w:highlight w:val="none"/>
                <w:u w:val="none" w:color="auto"/>
              </w:rPr>
            </w:pPr>
          </w:p>
        </w:tc>
        <w:tc>
          <w:tcPr>
            <w:tcW w:w="1796" w:type="dxa"/>
            <w:noWrap w:val="0"/>
            <w:vAlign w:val="center"/>
          </w:tcPr>
          <w:p w14:paraId="41E910C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3446B3A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336-064-17</w:t>
            </w:r>
          </w:p>
        </w:tc>
        <w:tc>
          <w:tcPr>
            <w:tcW w:w="851" w:type="dxa"/>
            <w:noWrap w:val="0"/>
            <w:vAlign w:val="center"/>
          </w:tcPr>
          <w:p w14:paraId="5E58748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0.7</w:t>
            </w:r>
          </w:p>
        </w:tc>
        <w:tc>
          <w:tcPr>
            <w:tcW w:w="1701" w:type="dxa"/>
            <w:noWrap w:val="0"/>
            <w:vAlign w:val="center"/>
          </w:tcPr>
          <w:p w14:paraId="3C82FA6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酸洗、活化工序</w:t>
            </w:r>
          </w:p>
        </w:tc>
        <w:tc>
          <w:tcPr>
            <w:tcW w:w="850" w:type="dxa"/>
            <w:noWrap w:val="0"/>
            <w:vAlign w:val="center"/>
          </w:tcPr>
          <w:p w14:paraId="6ABB5DF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5422F0C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铁</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30EB5C6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铁</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799D364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6E14560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1A8D275E">
            <w:pPr>
              <w:spacing w:line="240" w:lineRule="auto"/>
              <w:jc w:val="center"/>
              <w:rPr>
                <w:rFonts w:hint="default" w:ascii="Times New Roman" w:hAnsi="Times New Roman" w:eastAsia="宋体" w:cs="Times New Roman"/>
                <w:color w:val="auto"/>
                <w:sz w:val="21"/>
                <w:szCs w:val="21"/>
                <w:highlight w:val="none"/>
                <w:u w:val="none" w:color="auto"/>
              </w:rPr>
            </w:pPr>
          </w:p>
        </w:tc>
      </w:tr>
      <w:tr w14:paraId="5FD86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14:paraId="7590979B">
            <w:pPr>
              <w:spacing w:line="240" w:lineRule="auto"/>
              <w:jc w:val="center"/>
              <w:rPr>
                <w:rFonts w:hint="default" w:ascii="Times New Roman" w:hAnsi="Times New Roman" w:eastAsia="宋体" w:cs="Times New Roman"/>
                <w:color w:val="auto"/>
                <w:sz w:val="21"/>
                <w:szCs w:val="21"/>
                <w:highlight w:val="none"/>
                <w:u w:val="none" w:color="auto"/>
              </w:rPr>
            </w:pPr>
          </w:p>
        </w:tc>
        <w:tc>
          <w:tcPr>
            <w:tcW w:w="579" w:type="dxa"/>
            <w:vMerge w:val="continue"/>
            <w:noWrap w:val="0"/>
            <w:vAlign w:val="center"/>
          </w:tcPr>
          <w:p w14:paraId="2E1F1313">
            <w:pPr>
              <w:spacing w:line="240" w:lineRule="auto"/>
              <w:jc w:val="center"/>
              <w:rPr>
                <w:rFonts w:hint="default" w:ascii="Times New Roman" w:hAnsi="Times New Roman" w:eastAsia="宋体" w:cs="Times New Roman"/>
                <w:color w:val="auto"/>
                <w:sz w:val="21"/>
                <w:szCs w:val="21"/>
                <w:highlight w:val="none"/>
                <w:u w:val="none" w:color="auto"/>
              </w:rPr>
            </w:pPr>
          </w:p>
        </w:tc>
        <w:tc>
          <w:tcPr>
            <w:tcW w:w="1331" w:type="dxa"/>
            <w:noWrap w:val="0"/>
            <w:vAlign w:val="center"/>
          </w:tcPr>
          <w:p w14:paraId="6866E69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含</w:t>
            </w:r>
            <w:r>
              <w:rPr>
                <w:rFonts w:hint="default" w:ascii="Times New Roman" w:hAnsi="Times New Roman" w:eastAsia="宋体" w:cs="Times New Roman"/>
                <w:color w:val="auto"/>
                <w:sz w:val="21"/>
                <w:szCs w:val="21"/>
                <w:highlight w:val="none"/>
                <w:u w:val="none" w:color="auto"/>
                <w:lang w:eastAsia="zh-CN"/>
              </w:rPr>
              <w:t>油槽渣</w:t>
            </w:r>
          </w:p>
        </w:tc>
        <w:tc>
          <w:tcPr>
            <w:tcW w:w="1255" w:type="dxa"/>
            <w:vMerge w:val="continue"/>
            <w:noWrap w:val="0"/>
            <w:vAlign w:val="center"/>
          </w:tcPr>
          <w:p w14:paraId="41AC6D49">
            <w:pPr>
              <w:spacing w:line="240" w:lineRule="auto"/>
              <w:jc w:val="center"/>
              <w:rPr>
                <w:rFonts w:hint="default" w:ascii="Times New Roman" w:hAnsi="Times New Roman" w:eastAsia="宋体" w:cs="Times New Roman"/>
                <w:color w:val="auto"/>
                <w:sz w:val="21"/>
                <w:szCs w:val="21"/>
                <w:highlight w:val="none"/>
                <w:u w:val="none" w:color="auto"/>
              </w:rPr>
            </w:pPr>
          </w:p>
        </w:tc>
        <w:tc>
          <w:tcPr>
            <w:tcW w:w="1796" w:type="dxa"/>
            <w:noWrap w:val="0"/>
            <w:vAlign w:val="center"/>
          </w:tcPr>
          <w:p w14:paraId="2D4BFBA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392DF5B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336-064-17</w:t>
            </w:r>
          </w:p>
        </w:tc>
        <w:tc>
          <w:tcPr>
            <w:tcW w:w="851" w:type="dxa"/>
            <w:noWrap w:val="0"/>
            <w:vAlign w:val="center"/>
          </w:tcPr>
          <w:p w14:paraId="5F91B89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0.5</w:t>
            </w:r>
          </w:p>
        </w:tc>
        <w:tc>
          <w:tcPr>
            <w:tcW w:w="1701" w:type="dxa"/>
            <w:noWrap w:val="0"/>
            <w:vAlign w:val="center"/>
          </w:tcPr>
          <w:p w14:paraId="31BCD4B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除油工序</w:t>
            </w:r>
          </w:p>
        </w:tc>
        <w:tc>
          <w:tcPr>
            <w:tcW w:w="850" w:type="dxa"/>
            <w:noWrap w:val="0"/>
            <w:vAlign w:val="center"/>
          </w:tcPr>
          <w:p w14:paraId="6F690DB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765E366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矿物油</w:t>
            </w:r>
          </w:p>
        </w:tc>
        <w:tc>
          <w:tcPr>
            <w:tcW w:w="1276" w:type="dxa"/>
            <w:noWrap w:val="0"/>
            <w:vAlign w:val="center"/>
          </w:tcPr>
          <w:p w14:paraId="6833DBF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矿物油</w:t>
            </w:r>
          </w:p>
        </w:tc>
        <w:tc>
          <w:tcPr>
            <w:tcW w:w="1275" w:type="dxa"/>
            <w:noWrap w:val="0"/>
            <w:vAlign w:val="center"/>
          </w:tcPr>
          <w:p w14:paraId="70C5CB4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74A83B4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5A58FB5A">
            <w:pPr>
              <w:spacing w:line="240" w:lineRule="auto"/>
              <w:jc w:val="center"/>
              <w:rPr>
                <w:rFonts w:hint="default" w:ascii="Times New Roman" w:hAnsi="Times New Roman" w:eastAsia="宋体" w:cs="Times New Roman"/>
                <w:color w:val="auto"/>
                <w:sz w:val="21"/>
                <w:szCs w:val="21"/>
                <w:highlight w:val="none"/>
                <w:u w:val="none" w:color="auto"/>
              </w:rPr>
            </w:pPr>
          </w:p>
        </w:tc>
      </w:tr>
      <w:tr w14:paraId="4D88B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14:paraId="224855EF">
            <w:pPr>
              <w:spacing w:line="240" w:lineRule="auto"/>
              <w:jc w:val="center"/>
              <w:rPr>
                <w:rFonts w:hint="default" w:ascii="Times New Roman" w:hAnsi="Times New Roman" w:eastAsia="宋体" w:cs="Times New Roman"/>
                <w:color w:val="auto"/>
                <w:sz w:val="21"/>
                <w:szCs w:val="21"/>
                <w:highlight w:val="none"/>
                <w:u w:val="none" w:color="auto"/>
              </w:rPr>
            </w:pPr>
          </w:p>
        </w:tc>
        <w:tc>
          <w:tcPr>
            <w:tcW w:w="579" w:type="dxa"/>
            <w:vMerge w:val="continue"/>
            <w:noWrap w:val="0"/>
            <w:vAlign w:val="center"/>
          </w:tcPr>
          <w:p w14:paraId="7BF7675B">
            <w:pPr>
              <w:spacing w:line="240" w:lineRule="auto"/>
              <w:jc w:val="center"/>
              <w:rPr>
                <w:rFonts w:hint="default" w:ascii="Times New Roman" w:hAnsi="Times New Roman" w:eastAsia="宋体" w:cs="Times New Roman"/>
                <w:color w:val="auto"/>
                <w:sz w:val="21"/>
                <w:szCs w:val="21"/>
                <w:highlight w:val="none"/>
                <w:u w:val="none" w:color="auto"/>
              </w:rPr>
            </w:pPr>
          </w:p>
        </w:tc>
        <w:tc>
          <w:tcPr>
            <w:tcW w:w="1331" w:type="dxa"/>
            <w:noWrap w:val="0"/>
            <w:vAlign w:val="center"/>
          </w:tcPr>
          <w:p w14:paraId="077AEF3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含铜</w:t>
            </w:r>
            <w:r>
              <w:rPr>
                <w:rFonts w:hint="default" w:ascii="Times New Roman" w:hAnsi="Times New Roman" w:eastAsia="宋体" w:cs="Times New Roman"/>
                <w:color w:val="auto"/>
                <w:sz w:val="21"/>
                <w:szCs w:val="21"/>
                <w:highlight w:val="none"/>
                <w:u w:val="none" w:color="auto"/>
                <w:lang w:eastAsia="zh-CN"/>
              </w:rPr>
              <w:t>槽渣</w:t>
            </w:r>
          </w:p>
        </w:tc>
        <w:tc>
          <w:tcPr>
            <w:tcW w:w="1255" w:type="dxa"/>
            <w:vMerge w:val="continue"/>
            <w:noWrap w:val="0"/>
            <w:vAlign w:val="center"/>
          </w:tcPr>
          <w:p w14:paraId="15AF4DD8">
            <w:pPr>
              <w:spacing w:line="240" w:lineRule="auto"/>
              <w:jc w:val="center"/>
              <w:rPr>
                <w:rFonts w:hint="default" w:ascii="Times New Roman" w:hAnsi="Times New Roman" w:eastAsia="宋体" w:cs="Times New Roman"/>
                <w:color w:val="auto"/>
                <w:sz w:val="21"/>
                <w:szCs w:val="21"/>
                <w:highlight w:val="none"/>
                <w:u w:val="none" w:color="auto"/>
              </w:rPr>
            </w:pPr>
          </w:p>
        </w:tc>
        <w:tc>
          <w:tcPr>
            <w:tcW w:w="1796" w:type="dxa"/>
            <w:noWrap w:val="0"/>
            <w:vAlign w:val="center"/>
          </w:tcPr>
          <w:p w14:paraId="3AD7846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53432DC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336-062-17</w:t>
            </w:r>
          </w:p>
        </w:tc>
        <w:tc>
          <w:tcPr>
            <w:tcW w:w="851" w:type="dxa"/>
            <w:noWrap w:val="0"/>
            <w:vAlign w:val="center"/>
          </w:tcPr>
          <w:p w14:paraId="5156030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0.3</w:t>
            </w:r>
          </w:p>
        </w:tc>
        <w:tc>
          <w:tcPr>
            <w:tcW w:w="1701" w:type="dxa"/>
            <w:noWrap w:val="0"/>
            <w:vAlign w:val="center"/>
          </w:tcPr>
          <w:p w14:paraId="48D875F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镀铜工序</w:t>
            </w:r>
          </w:p>
        </w:tc>
        <w:tc>
          <w:tcPr>
            <w:tcW w:w="850" w:type="dxa"/>
            <w:noWrap w:val="0"/>
            <w:vAlign w:val="center"/>
          </w:tcPr>
          <w:p w14:paraId="7955565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1C79D3A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铜等重金属</w:t>
            </w:r>
          </w:p>
        </w:tc>
        <w:tc>
          <w:tcPr>
            <w:tcW w:w="1276" w:type="dxa"/>
            <w:noWrap w:val="0"/>
            <w:vAlign w:val="center"/>
          </w:tcPr>
          <w:p w14:paraId="70EB5A3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铜等重金属</w:t>
            </w:r>
          </w:p>
        </w:tc>
        <w:tc>
          <w:tcPr>
            <w:tcW w:w="1275" w:type="dxa"/>
            <w:noWrap w:val="0"/>
            <w:vAlign w:val="center"/>
          </w:tcPr>
          <w:p w14:paraId="308E075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5285BE6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389C5108">
            <w:pPr>
              <w:spacing w:line="240" w:lineRule="auto"/>
              <w:jc w:val="center"/>
              <w:rPr>
                <w:rFonts w:hint="default" w:ascii="Times New Roman" w:hAnsi="Times New Roman" w:eastAsia="宋体" w:cs="Times New Roman"/>
                <w:color w:val="auto"/>
                <w:sz w:val="21"/>
                <w:szCs w:val="21"/>
                <w:highlight w:val="none"/>
                <w:u w:val="none" w:color="auto"/>
              </w:rPr>
            </w:pPr>
          </w:p>
        </w:tc>
      </w:tr>
      <w:tr w14:paraId="170CC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noWrap w:val="0"/>
            <w:vAlign w:val="center"/>
          </w:tcPr>
          <w:p w14:paraId="28E2C8F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579" w:type="dxa"/>
            <w:vMerge w:val="restart"/>
            <w:noWrap w:val="0"/>
            <w:vAlign w:val="center"/>
          </w:tcPr>
          <w:p w14:paraId="3F198E3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电镀废水处理污泥</w:t>
            </w:r>
          </w:p>
        </w:tc>
        <w:tc>
          <w:tcPr>
            <w:tcW w:w="1331" w:type="dxa"/>
            <w:noWrap w:val="0"/>
            <w:vAlign w:val="center"/>
          </w:tcPr>
          <w:p w14:paraId="2236D3B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含油、酸性废水处理污泥</w:t>
            </w:r>
          </w:p>
        </w:tc>
        <w:tc>
          <w:tcPr>
            <w:tcW w:w="1255" w:type="dxa"/>
            <w:vMerge w:val="restart"/>
            <w:noWrap w:val="0"/>
            <w:vAlign w:val="center"/>
          </w:tcPr>
          <w:p w14:paraId="733B13C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HW17表面处理废物</w:t>
            </w:r>
          </w:p>
        </w:tc>
        <w:tc>
          <w:tcPr>
            <w:tcW w:w="1796" w:type="dxa"/>
            <w:noWrap w:val="0"/>
            <w:vAlign w:val="center"/>
          </w:tcPr>
          <w:p w14:paraId="64A5B78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15386BC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336-064-17</w:t>
            </w:r>
          </w:p>
        </w:tc>
        <w:tc>
          <w:tcPr>
            <w:tcW w:w="851" w:type="dxa"/>
            <w:noWrap w:val="0"/>
            <w:vAlign w:val="center"/>
          </w:tcPr>
          <w:p w14:paraId="74FE65F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1701" w:type="dxa"/>
            <w:noWrap w:val="0"/>
            <w:vAlign w:val="center"/>
          </w:tcPr>
          <w:p w14:paraId="18F92DD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电镀废水处理</w:t>
            </w:r>
          </w:p>
        </w:tc>
        <w:tc>
          <w:tcPr>
            <w:tcW w:w="850" w:type="dxa"/>
            <w:noWrap w:val="0"/>
            <w:vAlign w:val="center"/>
          </w:tcPr>
          <w:p w14:paraId="39E3EE7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0761E9E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矿物油</w:t>
            </w:r>
          </w:p>
        </w:tc>
        <w:tc>
          <w:tcPr>
            <w:tcW w:w="1276" w:type="dxa"/>
            <w:noWrap w:val="0"/>
            <w:vAlign w:val="center"/>
          </w:tcPr>
          <w:p w14:paraId="4627E8D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矿物油</w:t>
            </w:r>
          </w:p>
        </w:tc>
        <w:tc>
          <w:tcPr>
            <w:tcW w:w="1275" w:type="dxa"/>
            <w:noWrap w:val="0"/>
            <w:vAlign w:val="center"/>
          </w:tcPr>
          <w:p w14:paraId="041CCE5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半月/次</w:t>
            </w:r>
          </w:p>
        </w:tc>
        <w:tc>
          <w:tcPr>
            <w:tcW w:w="993" w:type="dxa"/>
            <w:noWrap w:val="0"/>
            <w:vAlign w:val="center"/>
          </w:tcPr>
          <w:p w14:paraId="1A714DD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T、I</w:t>
            </w:r>
          </w:p>
        </w:tc>
        <w:tc>
          <w:tcPr>
            <w:tcW w:w="1417" w:type="dxa"/>
            <w:vMerge w:val="restart"/>
            <w:noWrap w:val="0"/>
            <w:vAlign w:val="center"/>
          </w:tcPr>
          <w:p w14:paraId="35CBAF3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专用收集桶分类收集密封包装好后分类暂存于厂内危废暂存间，再委托有资质单位定期清运处置</w:t>
            </w:r>
          </w:p>
        </w:tc>
      </w:tr>
      <w:tr w14:paraId="1E2AA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noWrap w:val="0"/>
            <w:vAlign w:val="center"/>
          </w:tcPr>
          <w:p w14:paraId="30BCDFF6">
            <w:pPr>
              <w:spacing w:line="240" w:lineRule="auto"/>
              <w:jc w:val="center"/>
              <w:rPr>
                <w:rFonts w:hint="default" w:ascii="Times New Roman" w:hAnsi="Times New Roman" w:eastAsia="宋体" w:cs="Times New Roman"/>
                <w:color w:val="auto"/>
                <w:sz w:val="21"/>
                <w:szCs w:val="21"/>
                <w:highlight w:val="none"/>
                <w:u w:val="none" w:color="auto"/>
              </w:rPr>
            </w:pPr>
          </w:p>
        </w:tc>
        <w:tc>
          <w:tcPr>
            <w:tcW w:w="579" w:type="dxa"/>
            <w:vMerge w:val="continue"/>
            <w:noWrap w:val="0"/>
            <w:vAlign w:val="center"/>
          </w:tcPr>
          <w:p w14:paraId="3EA93AB2">
            <w:pPr>
              <w:spacing w:line="240" w:lineRule="auto"/>
              <w:jc w:val="center"/>
              <w:rPr>
                <w:rFonts w:hint="default" w:ascii="Times New Roman" w:hAnsi="Times New Roman" w:eastAsia="宋体" w:cs="Times New Roman"/>
                <w:color w:val="auto"/>
                <w:sz w:val="21"/>
                <w:szCs w:val="21"/>
                <w:highlight w:val="none"/>
                <w:u w:val="none" w:color="auto"/>
              </w:rPr>
            </w:pPr>
          </w:p>
        </w:tc>
        <w:tc>
          <w:tcPr>
            <w:tcW w:w="1331" w:type="dxa"/>
            <w:noWrap w:val="0"/>
            <w:vAlign w:val="center"/>
          </w:tcPr>
          <w:p w14:paraId="515C52A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含</w:t>
            </w:r>
            <w:r>
              <w:rPr>
                <w:rFonts w:hint="default" w:ascii="Times New Roman" w:hAnsi="Times New Roman" w:eastAsia="宋体" w:cs="Times New Roman"/>
                <w:color w:val="auto"/>
                <w:sz w:val="21"/>
                <w:szCs w:val="21"/>
                <w:highlight w:val="none"/>
                <w:u w:val="none" w:color="auto"/>
                <w:lang w:eastAsia="zh-CN"/>
              </w:rPr>
              <w:t>重金属</w:t>
            </w:r>
            <w:r>
              <w:rPr>
                <w:rFonts w:hint="default" w:ascii="Times New Roman" w:hAnsi="Times New Roman" w:eastAsia="宋体" w:cs="Times New Roman"/>
                <w:color w:val="auto"/>
                <w:sz w:val="21"/>
                <w:szCs w:val="21"/>
                <w:highlight w:val="none"/>
                <w:u w:val="none" w:color="auto"/>
              </w:rPr>
              <w:t>污泥</w:t>
            </w:r>
          </w:p>
        </w:tc>
        <w:tc>
          <w:tcPr>
            <w:tcW w:w="1255" w:type="dxa"/>
            <w:vMerge w:val="continue"/>
            <w:noWrap w:val="0"/>
            <w:vAlign w:val="center"/>
          </w:tcPr>
          <w:p w14:paraId="2BF665B0">
            <w:pPr>
              <w:spacing w:line="240" w:lineRule="auto"/>
              <w:jc w:val="center"/>
              <w:rPr>
                <w:rFonts w:hint="default" w:ascii="Times New Roman" w:hAnsi="Times New Roman" w:eastAsia="宋体" w:cs="Times New Roman"/>
                <w:color w:val="auto"/>
                <w:sz w:val="21"/>
                <w:szCs w:val="21"/>
                <w:highlight w:val="none"/>
                <w:u w:val="none" w:color="auto"/>
              </w:rPr>
            </w:pPr>
          </w:p>
        </w:tc>
        <w:tc>
          <w:tcPr>
            <w:tcW w:w="1796" w:type="dxa"/>
            <w:noWrap w:val="0"/>
            <w:vAlign w:val="center"/>
          </w:tcPr>
          <w:p w14:paraId="6AAEE31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HW17</w:t>
            </w:r>
          </w:p>
          <w:p w14:paraId="2356812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336-063-17</w:t>
            </w:r>
          </w:p>
        </w:tc>
        <w:tc>
          <w:tcPr>
            <w:tcW w:w="851" w:type="dxa"/>
            <w:noWrap w:val="0"/>
            <w:vAlign w:val="center"/>
          </w:tcPr>
          <w:p w14:paraId="438D909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1701" w:type="dxa"/>
            <w:noWrap w:val="0"/>
            <w:vAlign w:val="center"/>
          </w:tcPr>
          <w:p w14:paraId="7F39EFD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电镀废水处理</w:t>
            </w:r>
          </w:p>
        </w:tc>
        <w:tc>
          <w:tcPr>
            <w:tcW w:w="850" w:type="dxa"/>
            <w:noWrap w:val="0"/>
            <w:vAlign w:val="center"/>
          </w:tcPr>
          <w:p w14:paraId="5B22120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1A27934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592EBEB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7DEE4F9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半月/次</w:t>
            </w:r>
          </w:p>
        </w:tc>
        <w:tc>
          <w:tcPr>
            <w:tcW w:w="993" w:type="dxa"/>
            <w:noWrap w:val="0"/>
            <w:vAlign w:val="center"/>
          </w:tcPr>
          <w:p w14:paraId="333AC0A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0EEDE532">
            <w:pPr>
              <w:spacing w:line="240" w:lineRule="auto"/>
              <w:jc w:val="center"/>
              <w:rPr>
                <w:rFonts w:hint="default" w:ascii="Times New Roman" w:hAnsi="Times New Roman" w:eastAsia="宋体" w:cs="Times New Roman"/>
                <w:color w:val="auto"/>
                <w:sz w:val="21"/>
                <w:szCs w:val="21"/>
                <w:highlight w:val="none"/>
                <w:u w:val="none" w:color="auto"/>
              </w:rPr>
            </w:pPr>
          </w:p>
        </w:tc>
      </w:tr>
      <w:tr w14:paraId="3875C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5822F64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3</w:t>
            </w:r>
          </w:p>
        </w:tc>
        <w:tc>
          <w:tcPr>
            <w:tcW w:w="1910" w:type="dxa"/>
            <w:gridSpan w:val="2"/>
            <w:noWrap w:val="0"/>
            <w:vAlign w:val="center"/>
          </w:tcPr>
          <w:p w14:paraId="5AC25BA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三效蒸发器蒸</w:t>
            </w:r>
            <w:r>
              <w:rPr>
                <w:rFonts w:hint="eastAsia" w:ascii="Times New Roman" w:hAnsi="Times New Roman" w:eastAsia="宋体" w:cs="Times New Roman"/>
                <w:color w:val="auto"/>
                <w:sz w:val="21"/>
                <w:szCs w:val="21"/>
                <w:highlight w:val="none"/>
                <w:u w:val="none" w:color="auto"/>
                <w:lang w:val="en-US" w:eastAsia="zh-CN"/>
              </w:rPr>
              <w:t>发</w:t>
            </w:r>
            <w:r>
              <w:rPr>
                <w:rFonts w:hint="default" w:ascii="Times New Roman" w:hAnsi="Times New Roman" w:eastAsia="宋体" w:cs="Times New Roman"/>
                <w:color w:val="auto"/>
                <w:sz w:val="21"/>
                <w:szCs w:val="21"/>
                <w:highlight w:val="none"/>
                <w:u w:val="none" w:color="auto"/>
              </w:rPr>
              <w:t>残渣</w:t>
            </w:r>
          </w:p>
        </w:tc>
        <w:tc>
          <w:tcPr>
            <w:tcW w:w="1255" w:type="dxa"/>
            <w:noWrap w:val="0"/>
            <w:vAlign w:val="center"/>
          </w:tcPr>
          <w:p w14:paraId="674DDD6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w:t>
            </w:r>
            <w:r>
              <w:rPr>
                <w:rFonts w:hint="default" w:ascii="Times New Roman" w:hAnsi="Times New Roman" w:eastAsia="宋体" w:cs="Times New Roman"/>
                <w:color w:val="auto"/>
                <w:sz w:val="21"/>
                <w:szCs w:val="21"/>
                <w:highlight w:val="none"/>
                <w:u w:val="none" w:color="auto"/>
                <w:lang w:val="en-US" w:eastAsia="zh-CN"/>
              </w:rPr>
              <w:t>49</w:t>
            </w:r>
            <w:r>
              <w:rPr>
                <w:rFonts w:hint="default" w:ascii="Times New Roman" w:hAnsi="Times New Roman" w:eastAsia="宋体" w:cs="Times New Roman"/>
                <w:color w:val="auto"/>
                <w:sz w:val="21"/>
                <w:szCs w:val="21"/>
                <w:highlight w:val="none"/>
                <w:u w:val="none" w:color="auto"/>
              </w:rPr>
              <w:t>其他废物</w:t>
            </w:r>
          </w:p>
        </w:tc>
        <w:tc>
          <w:tcPr>
            <w:tcW w:w="1796" w:type="dxa"/>
            <w:noWrap w:val="0"/>
            <w:vAlign w:val="center"/>
          </w:tcPr>
          <w:p w14:paraId="1DBD54F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HW</w:t>
            </w:r>
            <w:r>
              <w:rPr>
                <w:rFonts w:hint="default" w:ascii="Times New Roman" w:hAnsi="Times New Roman" w:eastAsia="宋体" w:cs="Times New Roman"/>
                <w:color w:val="auto"/>
                <w:sz w:val="21"/>
                <w:szCs w:val="21"/>
                <w:highlight w:val="none"/>
                <w:u w:val="none" w:color="auto"/>
                <w:lang w:val="en-US" w:eastAsia="zh-CN"/>
              </w:rPr>
              <w:t>49</w:t>
            </w:r>
          </w:p>
          <w:p w14:paraId="057CC64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772</w:t>
            </w:r>
            <w:r>
              <w:rPr>
                <w:rFonts w:hint="default" w:ascii="Times New Roman" w:hAnsi="Times New Roman" w:eastAsia="宋体" w:cs="Times New Roman"/>
                <w:color w:val="auto"/>
                <w:sz w:val="21"/>
                <w:szCs w:val="21"/>
                <w:highlight w:val="none"/>
                <w:u w:val="none" w:color="auto"/>
              </w:rPr>
              <w:t>-0</w:t>
            </w:r>
            <w:r>
              <w:rPr>
                <w:rFonts w:hint="default" w:ascii="Times New Roman" w:hAnsi="Times New Roman" w:eastAsia="宋体" w:cs="Times New Roman"/>
                <w:color w:val="auto"/>
                <w:sz w:val="21"/>
                <w:szCs w:val="21"/>
                <w:highlight w:val="none"/>
                <w:u w:val="none" w:color="auto"/>
                <w:lang w:val="en-US" w:eastAsia="zh-CN"/>
              </w:rPr>
              <w:t>06</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49</w:t>
            </w:r>
          </w:p>
        </w:tc>
        <w:tc>
          <w:tcPr>
            <w:tcW w:w="851" w:type="dxa"/>
            <w:noWrap w:val="0"/>
            <w:vAlign w:val="center"/>
          </w:tcPr>
          <w:p w14:paraId="46442C3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487.35</w:t>
            </w:r>
          </w:p>
        </w:tc>
        <w:tc>
          <w:tcPr>
            <w:tcW w:w="1701" w:type="dxa"/>
            <w:noWrap w:val="0"/>
            <w:vAlign w:val="center"/>
          </w:tcPr>
          <w:p w14:paraId="6A1CC9E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电镀废水处理零排放系统</w:t>
            </w:r>
          </w:p>
        </w:tc>
        <w:tc>
          <w:tcPr>
            <w:tcW w:w="850" w:type="dxa"/>
            <w:noWrap w:val="0"/>
            <w:vAlign w:val="center"/>
          </w:tcPr>
          <w:p w14:paraId="75960A9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2449E35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7AB73E9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4BB2295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一天/次</w:t>
            </w:r>
          </w:p>
        </w:tc>
        <w:tc>
          <w:tcPr>
            <w:tcW w:w="993" w:type="dxa"/>
            <w:noWrap w:val="0"/>
            <w:vAlign w:val="center"/>
          </w:tcPr>
          <w:p w14:paraId="48506D0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434AD7AA">
            <w:pPr>
              <w:spacing w:line="240" w:lineRule="auto"/>
              <w:jc w:val="center"/>
              <w:rPr>
                <w:rFonts w:hint="default" w:ascii="Times New Roman" w:hAnsi="Times New Roman" w:eastAsia="宋体" w:cs="Times New Roman"/>
                <w:color w:val="auto"/>
                <w:sz w:val="21"/>
                <w:szCs w:val="21"/>
                <w:highlight w:val="none"/>
                <w:u w:val="none" w:color="auto"/>
              </w:rPr>
            </w:pPr>
          </w:p>
        </w:tc>
      </w:tr>
      <w:tr w14:paraId="6D011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27B9C8E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4</w:t>
            </w:r>
          </w:p>
        </w:tc>
        <w:tc>
          <w:tcPr>
            <w:tcW w:w="1910" w:type="dxa"/>
            <w:gridSpan w:val="2"/>
            <w:noWrap w:val="0"/>
            <w:vAlign w:val="center"/>
          </w:tcPr>
          <w:p w14:paraId="780F0DC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危险化学品包装材料</w:t>
            </w:r>
          </w:p>
        </w:tc>
        <w:tc>
          <w:tcPr>
            <w:tcW w:w="1255" w:type="dxa"/>
            <w:noWrap w:val="0"/>
            <w:vAlign w:val="center"/>
          </w:tcPr>
          <w:p w14:paraId="24FD5D6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其他废物</w:t>
            </w:r>
          </w:p>
        </w:tc>
        <w:tc>
          <w:tcPr>
            <w:tcW w:w="1796" w:type="dxa"/>
            <w:noWrap w:val="0"/>
            <w:vAlign w:val="center"/>
          </w:tcPr>
          <w:p w14:paraId="7077769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HW49</w:t>
            </w:r>
          </w:p>
          <w:p w14:paraId="630516E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900-041-49</w:t>
            </w:r>
          </w:p>
        </w:tc>
        <w:tc>
          <w:tcPr>
            <w:tcW w:w="851" w:type="dxa"/>
            <w:noWrap w:val="0"/>
            <w:vAlign w:val="center"/>
          </w:tcPr>
          <w:p w14:paraId="2D8428A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1701" w:type="dxa"/>
            <w:noWrap w:val="0"/>
            <w:vAlign w:val="center"/>
          </w:tcPr>
          <w:p w14:paraId="75083E1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化学品包装</w:t>
            </w:r>
          </w:p>
        </w:tc>
        <w:tc>
          <w:tcPr>
            <w:tcW w:w="850" w:type="dxa"/>
            <w:noWrap w:val="0"/>
            <w:vAlign w:val="center"/>
          </w:tcPr>
          <w:p w14:paraId="70D0981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289FA85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393647B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镍、铜</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43C468B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一月/次</w:t>
            </w:r>
          </w:p>
        </w:tc>
        <w:tc>
          <w:tcPr>
            <w:tcW w:w="993" w:type="dxa"/>
            <w:noWrap w:val="0"/>
            <w:vAlign w:val="center"/>
          </w:tcPr>
          <w:p w14:paraId="519B48F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67A68F8D">
            <w:pPr>
              <w:spacing w:line="240" w:lineRule="auto"/>
              <w:jc w:val="center"/>
              <w:rPr>
                <w:rFonts w:hint="default" w:ascii="Times New Roman" w:hAnsi="Times New Roman" w:eastAsia="宋体" w:cs="Times New Roman"/>
                <w:color w:val="auto"/>
                <w:sz w:val="21"/>
                <w:szCs w:val="21"/>
                <w:highlight w:val="none"/>
                <w:u w:val="none" w:color="auto"/>
              </w:rPr>
            </w:pPr>
          </w:p>
        </w:tc>
      </w:tr>
      <w:tr w14:paraId="03758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2E0252F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5</w:t>
            </w:r>
          </w:p>
        </w:tc>
        <w:tc>
          <w:tcPr>
            <w:tcW w:w="1910" w:type="dxa"/>
            <w:gridSpan w:val="2"/>
            <w:noWrap w:val="0"/>
            <w:vAlign w:val="center"/>
          </w:tcPr>
          <w:p w14:paraId="5DBB148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SA"/>
              </w:rPr>
              <w:t>废水处理站及生产过程废过滤材料</w:t>
            </w:r>
          </w:p>
        </w:tc>
        <w:tc>
          <w:tcPr>
            <w:tcW w:w="1255" w:type="dxa"/>
            <w:noWrap w:val="0"/>
            <w:vAlign w:val="center"/>
          </w:tcPr>
          <w:p w14:paraId="33F0184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其他废物</w:t>
            </w:r>
          </w:p>
        </w:tc>
        <w:tc>
          <w:tcPr>
            <w:tcW w:w="1796" w:type="dxa"/>
            <w:noWrap w:val="0"/>
            <w:vAlign w:val="center"/>
          </w:tcPr>
          <w:p w14:paraId="7715E3F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HW49</w:t>
            </w:r>
          </w:p>
          <w:p w14:paraId="42F1AB8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900-041-49</w:t>
            </w:r>
          </w:p>
        </w:tc>
        <w:tc>
          <w:tcPr>
            <w:tcW w:w="851" w:type="dxa"/>
            <w:noWrap w:val="0"/>
            <w:vAlign w:val="center"/>
          </w:tcPr>
          <w:p w14:paraId="7763CE1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0.5</w:t>
            </w:r>
          </w:p>
        </w:tc>
        <w:tc>
          <w:tcPr>
            <w:tcW w:w="1701" w:type="dxa"/>
            <w:noWrap w:val="0"/>
            <w:vAlign w:val="center"/>
          </w:tcPr>
          <w:p w14:paraId="7F0D82B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电镀废水处理站和渡槽过滤机</w:t>
            </w:r>
          </w:p>
        </w:tc>
        <w:tc>
          <w:tcPr>
            <w:tcW w:w="850" w:type="dxa"/>
            <w:noWrap w:val="0"/>
            <w:vAlign w:val="center"/>
          </w:tcPr>
          <w:p w14:paraId="1248A8C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3B3CBF6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r>
              <w:rPr>
                <w:rFonts w:hint="default" w:ascii="Times New Roman" w:hAnsi="Times New Roman" w:eastAsia="宋体" w:cs="Times New Roman"/>
                <w:color w:val="auto"/>
                <w:sz w:val="21"/>
                <w:szCs w:val="21"/>
                <w:highlight w:val="none"/>
                <w:u w:val="none" w:color="auto"/>
                <w:lang w:eastAsia="zh-CN"/>
              </w:rPr>
              <w:t>、铜</w:t>
            </w:r>
            <w:r>
              <w:rPr>
                <w:rFonts w:hint="default" w:ascii="Times New Roman" w:hAnsi="Times New Roman" w:eastAsia="宋体" w:cs="Times New Roman"/>
                <w:color w:val="auto"/>
                <w:sz w:val="21"/>
                <w:szCs w:val="21"/>
                <w:highlight w:val="none"/>
                <w:u w:val="none" w:color="auto"/>
              </w:rPr>
              <w:t>等重金属</w:t>
            </w:r>
          </w:p>
        </w:tc>
        <w:tc>
          <w:tcPr>
            <w:tcW w:w="1276" w:type="dxa"/>
            <w:noWrap w:val="0"/>
            <w:vAlign w:val="center"/>
          </w:tcPr>
          <w:p w14:paraId="2FEBB15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镍</w:t>
            </w:r>
            <w:r>
              <w:rPr>
                <w:rFonts w:hint="default" w:ascii="Times New Roman" w:hAnsi="Times New Roman" w:eastAsia="宋体" w:cs="Times New Roman"/>
                <w:color w:val="auto"/>
                <w:sz w:val="21"/>
                <w:szCs w:val="21"/>
                <w:highlight w:val="none"/>
                <w:u w:val="none" w:color="auto"/>
                <w:lang w:eastAsia="zh-CN"/>
              </w:rPr>
              <w:t>、铜</w:t>
            </w:r>
            <w:r>
              <w:rPr>
                <w:rFonts w:hint="default" w:ascii="Times New Roman" w:hAnsi="Times New Roman" w:eastAsia="宋体" w:cs="Times New Roman"/>
                <w:color w:val="auto"/>
                <w:sz w:val="21"/>
                <w:szCs w:val="21"/>
                <w:highlight w:val="none"/>
                <w:u w:val="none" w:color="auto"/>
              </w:rPr>
              <w:t>等重金属</w:t>
            </w:r>
          </w:p>
        </w:tc>
        <w:tc>
          <w:tcPr>
            <w:tcW w:w="1275" w:type="dxa"/>
            <w:noWrap w:val="0"/>
            <w:vAlign w:val="center"/>
          </w:tcPr>
          <w:p w14:paraId="1E23E43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一</w:t>
            </w:r>
            <w:r>
              <w:rPr>
                <w:rFonts w:hint="default" w:ascii="Times New Roman" w:hAnsi="Times New Roman" w:eastAsia="宋体" w:cs="Times New Roman"/>
                <w:color w:val="auto"/>
                <w:sz w:val="21"/>
                <w:szCs w:val="21"/>
                <w:highlight w:val="none"/>
                <w:u w:val="none" w:color="auto"/>
              </w:rPr>
              <w:t>年/次</w:t>
            </w:r>
          </w:p>
        </w:tc>
        <w:tc>
          <w:tcPr>
            <w:tcW w:w="993" w:type="dxa"/>
            <w:noWrap w:val="0"/>
            <w:vAlign w:val="center"/>
          </w:tcPr>
          <w:p w14:paraId="6B2EDEC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051D6EBF">
            <w:pPr>
              <w:spacing w:line="240" w:lineRule="auto"/>
              <w:jc w:val="center"/>
              <w:rPr>
                <w:rFonts w:hint="default" w:ascii="Times New Roman" w:hAnsi="Times New Roman" w:eastAsia="宋体" w:cs="Times New Roman"/>
                <w:color w:val="auto"/>
                <w:sz w:val="21"/>
                <w:szCs w:val="21"/>
                <w:highlight w:val="none"/>
                <w:u w:val="none" w:color="auto"/>
              </w:rPr>
            </w:pPr>
          </w:p>
        </w:tc>
      </w:tr>
      <w:tr w14:paraId="75C3E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0DF54122">
            <w:pPr>
              <w:spacing w:line="240" w:lineRule="auto"/>
              <w:jc w:val="center"/>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eastAsia="宋体" w:cs="Times New Roman"/>
                <w:color w:val="auto"/>
                <w:sz w:val="21"/>
                <w:szCs w:val="21"/>
                <w:highlight w:val="none"/>
                <w:u w:val="single" w:color="auto"/>
                <w:lang w:val="en-US" w:eastAsia="zh-CN"/>
              </w:rPr>
              <w:t>6</w:t>
            </w:r>
          </w:p>
        </w:tc>
        <w:tc>
          <w:tcPr>
            <w:tcW w:w="1910" w:type="dxa"/>
            <w:gridSpan w:val="2"/>
            <w:noWrap w:val="0"/>
            <w:vAlign w:val="center"/>
          </w:tcPr>
          <w:p w14:paraId="738EBBB7">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废活性炭</w:t>
            </w:r>
          </w:p>
        </w:tc>
        <w:tc>
          <w:tcPr>
            <w:tcW w:w="1255" w:type="dxa"/>
            <w:noWrap w:val="0"/>
            <w:vAlign w:val="center"/>
          </w:tcPr>
          <w:p w14:paraId="53751726">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其他废物</w:t>
            </w:r>
          </w:p>
        </w:tc>
        <w:tc>
          <w:tcPr>
            <w:tcW w:w="1796" w:type="dxa"/>
            <w:noWrap w:val="0"/>
            <w:vAlign w:val="center"/>
          </w:tcPr>
          <w:p w14:paraId="4115E5D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HW49</w:t>
            </w:r>
          </w:p>
          <w:p w14:paraId="15B47497">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900-041-49</w:t>
            </w:r>
          </w:p>
        </w:tc>
        <w:tc>
          <w:tcPr>
            <w:tcW w:w="851" w:type="dxa"/>
            <w:noWrap w:val="0"/>
            <w:vAlign w:val="center"/>
          </w:tcPr>
          <w:p w14:paraId="2D175027">
            <w:pPr>
              <w:spacing w:line="240" w:lineRule="auto"/>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sz w:val="21"/>
                <w:szCs w:val="21"/>
                <w:highlight w:val="none"/>
                <w:u w:val="single" w:color="auto"/>
                <w:lang w:val="en-US" w:eastAsia="zh-CN"/>
              </w:rPr>
              <w:t>8</w:t>
            </w:r>
          </w:p>
        </w:tc>
        <w:tc>
          <w:tcPr>
            <w:tcW w:w="1701" w:type="dxa"/>
            <w:noWrap w:val="0"/>
            <w:vAlign w:val="center"/>
          </w:tcPr>
          <w:p w14:paraId="6CE8C36F">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废气处理设施</w:t>
            </w:r>
          </w:p>
        </w:tc>
        <w:tc>
          <w:tcPr>
            <w:tcW w:w="850" w:type="dxa"/>
            <w:noWrap w:val="0"/>
            <w:vAlign w:val="center"/>
          </w:tcPr>
          <w:p w14:paraId="5B50E620">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固态</w:t>
            </w:r>
          </w:p>
        </w:tc>
        <w:tc>
          <w:tcPr>
            <w:tcW w:w="1418" w:type="dxa"/>
            <w:noWrap w:val="0"/>
            <w:vAlign w:val="center"/>
          </w:tcPr>
          <w:p w14:paraId="52EB4C47">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镍</w:t>
            </w:r>
            <w:r>
              <w:rPr>
                <w:rFonts w:hint="default" w:ascii="Times New Roman" w:hAnsi="Times New Roman" w:eastAsia="宋体" w:cs="Times New Roman"/>
                <w:color w:val="auto"/>
                <w:sz w:val="21"/>
                <w:szCs w:val="21"/>
                <w:highlight w:val="none"/>
                <w:u w:val="single" w:color="auto"/>
                <w:lang w:eastAsia="zh-CN"/>
              </w:rPr>
              <w:t>、铜、有机物</w:t>
            </w:r>
            <w:r>
              <w:rPr>
                <w:rFonts w:hint="default" w:ascii="Times New Roman" w:hAnsi="Times New Roman" w:eastAsia="宋体" w:cs="Times New Roman"/>
                <w:color w:val="auto"/>
                <w:sz w:val="21"/>
                <w:szCs w:val="21"/>
                <w:highlight w:val="none"/>
                <w:u w:val="single" w:color="auto"/>
              </w:rPr>
              <w:t>等重金属</w:t>
            </w:r>
          </w:p>
        </w:tc>
        <w:tc>
          <w:tcPr>
            <w:tcW w:w="1276" w:type="dxa"/>
            <w:noWrap w:val="0"/>
            <w:vAlign w:val="center"/>
          </w:tcPr>
          <w:p w14:paraId="13887D95">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镍</w:t>
            </w:r>
            <w:r>
              <w:rPr>
                <w:rFonts w:hint="default" w:ascii="Times New Roman" w:hAnsi="Times New Roman" w:eastAsia="宋体" w:cs="Times New Roman"/>
                <w:color w:val="auto"/>
                <w:sz w:val="21"/>
                <w:szCs w:val="21"/>
                <w:highlight w:val="none"/>
                <w:u w:val="single" w:color="auto"/>
                <w:lang w:eastAsia="zh-CN"/>
              </w:rPr>
              <w:t>、铜、有机物</w:t>
            </w:r>
            <w:r>
              <w:rPr>
                <w:rFonts w:hint="default" w:ascii="Times New Roman" w:hAnsi="Times New Roman" w:eastAsia="宋体" w:cs="Times New Roman"/>
                <w:color w:val="auto"/>
                <w:sz w:val="21"/>
                <w:szCs w:val="21"/>
                <w:highlight w:val="none"/>
                <w:u w:val="single" w:color="auto"/>
              </w:rPr>
              <w:t>等重金属</w:t>
            </w:r>
          </w:p>
        </w:tc>
        <w:tc>
          <w:tcPr>
            <w:tcW w:w="1275" w:type="dxa"/>
            <w:noWrap w:val="0"/>
            <w:vAlign w:val="center"/>
          </w:tcPr>
          <w:p w14:paraId="501648A8">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eastAsia="zh-CN"/>
              </w:rPr>
              <w:t>一季度一次</w:t>
            </w:r>
          </w:p>
        </w:tc>
        <w:tc>
          <w:tcPr>
            <w:tcW w:w="993" w:type="dxa"/>
            <w:noWrap w:val="0"/>
            <w:vAlign w:val="center"/>
          </w:tcPr>
          <w:p w14:paraId="5A556817">
            <w:pPr>
              <w:spacing w:line="240" w:lineRule="auto"/>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rPr>
              <w:t>T</w:t>
            </w:r>
          </w:p>
        </w:tc>
        <w:tc>
          <w:tcPr>
            <w:tcW w:w="1417" w:type="dxa"/>
            <w:vMerge w:val="continue"/>
            <w:noWrap w:val="0"/>
            <w:vAlign w:val="center"/>
          </w:tcPr>
          <w:p w14:paraId="088658C5">
            <w:pPr>
              <w:spacing w:line="240" w:lineRule="auto"/>
              <w:jc w:val="center"/>
              <w:rPr>
                <w:rFonts w:hint="default" w:ascii="Times New Roman" w:hAnsi="Times New Roman" w:eastAsia="宋体" w:cs="Times New Roman"/>
                <w:color w:val="auto"/>
                <w:sz w:val="21"/>
                <w:szCs w:val="21"/>
                <w:highlight w:val="none"/>
                <w:u w:val="none" w:color="auto"/>
              </w:rPr>
            </w:pPr>
          </w:p>
        </w:tc>
      </w:tr>
      <w:tr w14:paraId="5A9D6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191A2AC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w:t>
            </w:r>
          </w:p>
        </w:tc>
        <w:tc>
          <w:tcPr>
            <w:tcW w:w="1910" w:type="dxa"/>
            <w:gridSpan w:val="2"/>
            <w:noWrap w:val="0"/>
            <w:vAlign w:val="center"/>
          </w:tcPr>
          <w:p w14:paraId="4EB3F22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废切削液</w:t>
            </w:r>
          </w:p>
        </w:tc>
        <w:tc>
          <w:tcPr>
            <w:tcW w:w="1255" w:type="dxa"/>
            <w:noWrap w:val="0"/>
            <w:vAlign w:val="center"/>
          </w:tcPr>
          <w:p w14:paraId="32EB4C6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HW09</w:t>
            </w:r>
          </w:p>
          <w:p w14:paraId="13087AC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油/水、烃</w:t>
            </w:r>
          </w:p>
          <w:p w14:paraId="01418DC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/水混合</w:t>
            </w:r>
          </w:p>
          <w:p w14:paraId="04AC6E7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物或乳化</w:t>
            </w:r>
          </w:p>
          <w:p w14:paraId="7314D17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液</w:t>
            </w:r>
          </w:p>
        </w:tc>
        <w:tc>
          <w:tcPr>
            <w:tcW w:w="1796" w:type="dxa"/>
            <w:noWrap w:val="0"/>
            <w:vAlign w:val="center"/>
          </w:tcPr>
          <w:p w14:paraId="0E0586C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HW09</w:t>
            </w:r>
          </w:p>
          <w:p w14:paraId="5A9E1F6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900-006-09</w:t>
            </w:r>
          </w:p>
        </w:tc>
        <w:tc>
          <w:tcPr>
            <w:tcW w:w="851" w:type="dxa"/>
            <w:noWrap w:val="0"/>
            <w:vAlign w:val="center"/>
          </w:tcPr>
          <w:p w14:paraId="6141DDB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0.5</w:t>
            </w:r>
          </w:p>
        </w:tc>
        <w:tc>
          <w:tcPr>
            <w:tcW w:w="1701" w:type="dxa"/>
            <w:noWrap w:val="0"/>
            <w:vAlign w:val="center"/>
          </w:tcPr>
          <w:p w14:paraId="346B880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机加工</w:t>
            </w:r>
          </w:p>
        </w:tc>
        <w:tc>
          <w:tcPr>
            <w:tcW w:w="850" w:type="dxa"/>
            <w:noWrap w:val="0"/>
            <w:vAlign w:val="center"/>
          </w:tcPr>
          <w:p w14:paraId="4A5CF07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液态</w:t>
            </w:r>
          </w:p>
        </w:tc>
        <w:tc>
          <w:tcPr>
            <w:tcW w:w="1418" w:type="dxa"/>
            <w:noWrap w:val="0"/>
            <w:vAlign w:val="center"/>
          </w:tcPr>
          <w:p w14:paraId="5B74239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切削液</w:t>
            </w:r>
          </w:p>
        </w:tc>
        <w:tc>
          <w:tcPr>
            <w:tcW w:w="1276" w:type="dxa"/>
            <w:noWrap w:val="0"/>
            <w:vAlign w:val="center"/>
          </w:tcPr>
          <w:p w14:paraId="2AF41D6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切削液</w:t>
            </w:r>
          </w:p>
        </w:tc>
        <w:tc>
          <w:tcPr>
            <w:tcW w:w="1275" w:type="dxa"/>
            <w:noWrap w:val="0"/>
            <w:vAlign w:val="center"/>
          </w:tcPr>
          <w:p w14:paraId="732D1DE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一年一次</w:t>
            </w:r>
          </w:p>
        </w:tc>
        <w:tc>
          <w:tcPr>
            <w:tcW w:w="993" w:type="dxa"/>
            <w:noWrap w:val="0"/>
            <w:vAlign w:val="center"/>
          </w:tcPr>
          <w:p w14:paraId="5771E90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5EA6C8C6">
            <w:pPr>
              <w:spacing w:line="240" w:lineRule="auto"/>
              <w:jc w:val="center"/>
              <w:rPr>
                <w:rFonts w:hint="default" w:ascii="Times New Roman" w:hAnsi="Times New Roman" w:eastAsia="宋体" w:cs="Times New Roman"/>
                <w:color w:val="auto"/>
                <w:sz w:val="21"/>
                <w:szCs w:val="21"/>
                <w:highlight w:val="none"/>
                <w:u w:val="none" w:color="auto"/>
              </w:rPr>
            </w:pPr>
          </w:p>
        </w:tc>
      </w:tr>
      <w:tr w14:paraId="15C17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0B60D6B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8</w:t>
            </w:r>
          </w:p>
        </w:tc>
        <w:tc>
          <w:tcPr>
            <w:tcW w:w="1910" w:type="dxa"/>
            <w:gridSpan w:val="2"/>
            <w:noWrap w:val="0"/>
            <w:vAlign w:val="center"/>
          </w:tcPr>
          <w:p w14:paraId="65F51CA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废矿物油</w:t>
            </w:r>
          </w:p>
        </w:tc>
        <w:tc>
          <w:tcPr>
            <w:tcW w:w="1255" w:type="dxa"/>
            <w:noWrap w:val="0"/>
            <w:vAlign w:val="center"/>
          </w:tcPr>
          <w:p w14:paraId="36BC842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HW08</w:t>
            </w:r>
          </w:p>
          <w:p w14:paraId="54AACD1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废矿物油</w:t>
            </w:r>
          </w:p>
          <w:p w14:paraId="0AB9D8A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与含矿物</w:t>
            </w:r>
          </w:p>
          <w:p w14:paraId="790E8B4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油废物</w:t>
            </w:r>
          </w:p>
        </w:tc>
        <w:tc>
          <w:tcPr>
            <w:tcW w:w="1796" w:type="dxa"/>
            <w:noWrap w:val="0"/>
            <w:vAlign w:val="center"/>
          </w:tcPr>
          <w:p w14:paraId="50E80DAC">
            <w:pPr>
              <w:spacing w:line="240" w:lineRule="auto"/>
              <w:jc w:val="center"/>
              <w:rPr>
                <w:rFonts w:hint="default" w:ascii="Times New Roman" w:hAnsi="Times New Roman" w:cs="Times New Roman"/>
                <w:bCs/>
                <w:color w:val="auto"/>
                <w:sz w:val="21"/>
                <w:szCs w:val="21"/>
                <w:highlight w:val="none"/>
                <w:u w:val="none" w:color="auto"/>
              </w:rPr>
            </w:pPr>
            <w:r>
              <w:rPr>
                <w:rFonts w:hint="default" w:ascii="Times New Roman" w:hAnsi="Times New Roman" w:eastAsia="TimesNewRomanPSMT" w:cs="Times New Roman"/>
                <w:color w:val="auto"/>
                <w:kern w:val="0"/>
                <w:sz w:val="21"/>
                <w:szCs w:val="21"/>
                <w:highlight w:val="none"/>
                <w:u w:val="none" w:color="auto"/>
              </w:rPr>
              <w:t>HW08</w:t>
            </w:r>
          </w:p>
          <w:p w14:paraId="17A9C62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900-249-08</w:t>
            </w:r>
          </w:p>
        </w:tc>
        <w:tc>
          <w:tcPr>
            <w:tcW w:w="851" w:type="dxa"/>
            <w:noWrap w:val="0"/>
            <w:vAlign w:val="center"/>
          </w:tcPr>
          <w:p w14:paraId="2B753238">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1701" w:type="dxa"/>
            <w:noWrap w:val="0"/>
            <w:vAlign w:val="center"/>
          </w:tcPr>
          <w:p w14:paraId="01A86BA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设备维修</w:t>
            </w:r>
          </w:p>
        </w:tc>
        <w:tc>
          <w:tcPr>
            <w:tcW w:w="850" w:type="dxa"/>
            <w:noWrap w:val="0"/>
            <w:vAlign w:val="center"/>
          </w:tcPr>
          <w:p w14:paraId="7301F6D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液态</w:t>
            </w:r>
          </w:p>
        </w:tc>
        <w:tc>
          <w:tcPr>
            <w:tcW w:w="1418" w:type="dxa"/>
            <w:noWrap w:val="0"/>
            <w:vAlign w:val="center"/>
          </w:tcPr>
          <w:p w14:paraId="5556C0F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废矿物油</w:t>
            </w:r>
          </w:p>
        </w:tc>
        <w:tc>
          <w:tcPr>
            <w:tcW w:w="1276" w:type="dxa"/>
            <w:noWrap w:val="0"/>
            <w:vAlign w:val="center"/>
          </w:tcPr>
          <w:p w14:paraId="6DCF906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矿物油</w:t>
            </w:r>
          </w:p>
        </w:tc>
        <w:tc>
          <w:tcPr>
            <w:tcW w:w="1275" w:type="dxa"/>
            <w:noWrap w:val="0"/>
            <w:vAlign w:val="center"/>
          </w:tcPr>
          <w:p w14:paraId="09C57C2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一季度一次</w:t>
            </w:r>
          </w:p>
        </w:tc>
        <w:tc>
          <w:tcPr>
            <w:tcW w:w="993" w:type="dxa"/>
            <w:noWrap w:val="0"/>
            <w:vAlign w:val="center"/>
          </w:tcPr>
          <w:p w14:paraId="4309BBE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1307F3DB">
            <w:pPr>
              <w:spacing w:line="240" w:lineRule="auto"/>
              <w:jc w:val="center"/>
              <w:rPr>
                <w:rFonts w:hint="default" w:ascii="Times New Roman" w:hAnsi="Times New Roman" w:eastAsia="宋体" w:cs="Times New Roman"/>
                <w:color w:val="auto"/>
                <w:sz w:val="21"/>
                <w:szCs w:val="21"/>
                <w:highlight w:val="none"/>
                <w:u w:val="none" w:color="auto"/>
              </w:rPr>
            </w:pPr>
          </w:p>
        </w:tc>
      </w:tr>
      <w:tr w14:paraId="5F038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noWrap w:val="0"/>
            <w:vAlign w:val="center"/>
          </w:tcPr>
          <w:p w14:paraId="1C8413C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9</w:t>
            </w:r>
          </w:p>
        </w:tc>
        <w:tc>
          <w:tcPr>
            <w:tcW w:w="1910" w:type="dxa"/>
            <w:gridSpan w:val="2"/>
            <w:noWrap w:val="0"/>
            <w:vAlign w:val="center"/>
          </w:tcPr>
          <w:p w14:paraId="772B7E0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含油抹布</w:t>
            </w:r>
          </w:p>
        </w:tc>
        <w:tc>
          <w:tcPr>
            <w:tcW w:w="1255" w:type="dxa"/>
            <w:noWrap w:val="0"/>
            <w:vAlign w:val="center"/>
          </w:tcPr>
          <w:p w14:paraId="01828F3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HW</w:t>
            </w:r>
            <w:r>
              <w:rPr>
                <w:rFonts w:hint="default" w:ascii="Times New Roman" w:hAnsi="Times New Roman" w:eastAsia="宋体" w:cs="Times New Roman"/>
                <w:color w:val="auto"/>
                <w:sz w:val="21"/>
                <w:szCs w:val="21"/>
                <w:highlight w:val="none"/>
                <w:u w:val="none" w:color="auto"/>
                <w:lang w:val="en-US" w:eastAsia="zh-CN"/>
              </w:rPr>
              <w:t>49</w:t>
            </w:r>
            <w:r>
              <w:rPr>
                <w:rFonts w:hint="default" w:ascii="Times New Roman" w:hAnsi="Times New Roman" w:eastAsia="宋体" w:cs="Times New Roman"/>
                <w:color w:val="auto"/>
                <w:sz w:val="21"/>
                <w:szCs w:val="21"/>
                <w:highlight w:val="none"/>
                <w:u w:val="none" w:color="auto"/>
              </w:rPr>
              <w:t>其他废物</w:t>
            </w:r>
          </w:p>
        </w:tc>
        <w:tc>
          <w:tcPr>
            <w:tcW w:w="1796" w:type="dxa"/>
            <w:noWrap w:val="0"/>
            <w:vAlign w:val="center"/>
          </w:tcPr>
          <w:p w14:paraId="2D52A709">
            <w:pPr>
              <w:spacing w:line="240" w:lineRule="auto"/>
              <w:jc w:val="center"/>
              <w:rPr>
                <w:rFonts w:hint="default" w:ascii="Times New Roman" w:hAnsi="Times New Roman" w:cs="Times New Roman"/>
                <w:bCs/>
                <w:color w:val="auto"/>
                <w:sz w:val="21"/>
                <w:szCs w:val="21"/>
                <w:highlight w:val="none"/>
                <w:u w:val="none" w:color="auto"/>
              </w:rPr>
            </w:pPr>
            <w:r>
              <w:rPr>
                <w:rFonts w:hint="default" w:ascii="Times New Roman" w:hAnsi="Times New Roman" w:eastAsia="TimesNewRomanPSMT" w:cs="Times New Roman"/>
                <w:color w:val="auto"/>
                <w:kern w:val="0"/>
                <w:sz w:val="21"/>
                <w:szCs w:val="21"/>
                <w:highlight w:val="none"/>
                <w:u w:val="none" w:color="auto"/>
              </w:rPr>
              <w:t>HW49</w:t>
            </w:r>
          </w:p>
          <w:p w14:paraId="3129BF6C">
            <w:pPr>
              <w:spacing w:line="240" w:lineRule="auto"/>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900-041-49</w:t>
            </w:r>
          </w:p>
        </w:tc>
        <w:tc>
          <w:tcPr>
            <w:tcW w:w="851" w:type="dxa"/>
            <w:noWrap w:val="0"/>
            <w:vAlign w:val="center"/>
          </w:tcPr>
          <w:p w14:paraId="0CAA579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0.5</w:t>
            </w:r>
          </w:p>
        </w:tc>
        <w:tc>
          <w:tcPr>
            <w:tcW w:w="1701" w:type="dxa"/>
            <w:noWrap w:val="0"/>
            <w:vAlign w:val="center"/>
          </w:tcPr>
          <w:p w14:paraId="72FBD56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设备维修</w:t>
            </w:r>
          </w:p>
        </w:tc>
        <w:tc>
          <w:tcPr>
            <w:tcW w:w="850" w:type="dxa"/>
            <w:noWrap w:val="0"/>
            <w:vAlign w:val="center"/>
          </w:tcPr>
          <w:p w14:paraId="4385368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固态</w:t>
            </w:r>
          </w:p>
        </w:tc>
        <w:tc>
          <w:tcPr>
            <w:tcW w:w="1418" w:type="dxa"/>
            <w:noWrap w:val="0"/>
            <w:vAlign w:val="center"/>
          </w:tcPr>
          <w:p w14:paraId="1E2289F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废矿物油</w:t>
            </w:r>
          </w:p>
        </w:tc>
        <w:tc>
          <w:tcPr>
            <w:tcW w:w="1276" w:type="dxa"/>
            <w:noWrap w:val="0"/>
            <w:vAlign w:val="center"/>
          </w:tcPr>
          <w:p w14:paraId="18B19AB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矿物油</w:t>
            </w:r>
          </w:p>
        </w:tc>
        <w:tc>
          <w:tcPr>
            <w:tcW w:w="1275" w:type="dxa"/>
            <w:noWrap w:val="0"/>
            <w:vAlign w:val="center"/>
          </w:tcPr>
          <w:p w14:paraId="2F79E89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一天/次</w:t>
            </w:r>
          </w:p>
        </w:tc>
        <w:tc>
          <w:tcPr>
            <w:tcW w:w="993" w:type="dxa"/>
            <w:noWrap w:val="0"/>
            <w:vAlign w:val="center"/>
          </w:tcPr>
          <w:p w14:paraId="224CE53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w:t>
            </w:r>
          </w:p>
        </w:tc>
        <w:tc>
          <w:tcPr>
            <w:tcW w:w="1417" w:type="dxa"/>
            <w:vMerge w:val="continue"/>
            <w:noWrap w:val="0"/>
            <w:vAlign w:val="center"/>
          </w:tcPr>
          <w:p w14:paraId="6008BE08">
            <w:pPr>
              <w:spacing w:line="240" w:lineRule="auto"/>
              <w:jc w:val="center"/>
              <w:rPr>
                <w:rFonts w:hint="default" w:ascii="Times New Roman" w:hAnsi="Times New Roman" w:eastAsia="宋体" w:cs="Times New Roman"/>
                <w:color w:val="auto"/>
                <w:sz w:val="21"/>
                <w:szCs w:val="21"/>
                <w:highlight w:val="none"/>
                <w:u w:val="none" w:color="auto"/>
              </w:rPr>
            </w:pPr>
          </w:p>
        </w:tc>
      </w:tr>
    </w:tbl>
    <w:p w14:paraId="721DD1E1">
      <w:pPr>
        <w:pStyle w:val="10"/>
        <w:spacing w:after="0" w:line="560" w:lineRule="exact"/>
        <w:rPr>
          <w:rFonts w:hint="default" w:ascii="Times New Roman" w:hAnsi="Times New Roman" w:cs="Times New Roman"/>
          <w:color w:val="auto"/>
          <w:highlight w:val="none"/>
          <w:u w:val="none" w:color="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highlight w:val="none"/>
          <w:u w:val="none" w:color="auto"/>
        </w:rPr>
        <w:t xml:space="preserve">   </w:t>
      </w:r>
    </w:p>
    <w:p w14:paraId="5865EE3C">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②危险废物贮存场所建设合理性分析</w:t>
      </w:r>
    </w:p>
    <w:p w14:paraId="12FA01A6">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项目危险废物暂存间布设在废水处理站内，其占地面积为200m</w:t>
      </w:r>
      <w:r>
        <w:rPr>
          <w:rFonts w:hint="default" w:ascii="Times New Roman" w:hAnsi="Times New Roman" w:eastAsia="宋体" w:cs="Times New Roman"/>
          <w:color w:val="auto"/>
          <w:sz w:val="24"/>
          <w:szCs w:val="24"/>
          <w:highlight w:val="none"/>
          <w:u w:val="single" w:color="auto"/>
          <w:vertAlign w:val="superscript"/>
          <w:lang w:eastAsia="zh-CN"/>
        </w:rPr>
        <w:t>2</w:t>
      </w:r>
      <w:r>
        <w:rPr>
          <w:rFonts w:hint="default" w:ascii="Times New Roman" w:hAnsi="Times New Roman" w:eastAsia="宋体" w:cs="Times New Roman"/>
          <w:color w:val="auto"/>
          <w:sz w:val="24"/>
          <w:szCs w:val="24"/>
          <w:highlight w:val="none"/>
          <w:u w:val="single" w:color="auto"/>
          <w:lang w:eastAsia="zh-CN"/>
        </w:rPr>
        <w:t>，有效储存容积约为200m</w:t>
      </w:r>
      <w:r>
        <w:rPr>
          <w:rFonts w:hint="default" w:ascii="Times New Roman" w:hAnsi="Times New Roman" w:eastAsia="宋体" w:cs="Times New Roman"/>
          <w:color w:val="auto"/>
          <w:sz w:val="24"/>
          <w:szCs w:val="24"/>
          <w:highlight w:val="none"/>
          <w:u w:val="single" w:color="auto"/>
          <w:vertAlign w:val="superscript"/>
          <w:lang w:eastAsia="zh-CN"/>
        </w:rPr>
        <w:t>3</w:t>
      </w:r>
      <w:r>
        <w:rPr>
          <w:rFonts w:hint="default" w:ascii="Times New Roman" w:hAnsi="Times New Roman" w:eastAsia="宋体" w:cs="Times New Roman"/>
          <w:color w:val="auto"/>
          <w:sz w:val="24"/>
          <w:szCs w:val="24"/>
          <w:highlight w:val="none"/>
          <w:u w:val="single" w:color="auto"/>
          <w:lang w:eastAsia="zh-CN"/>
        </w:rPr>
        <w:t>。暂存间按照《危险废物贮存污染控制标准》（</w:t>
      </w:r>
      <w:r>
        <w:rPr>
          <w:rFonts w:hint="eastAsia" w:ascii="Times New Roman" w:hAnsi="Times New Roman" w:eastAsia="宋体" w:cs="Times New Roman"/>
          <w:color w:val="auto"/>
          <w:sz w:val="24"/>
          <w:szCs w:val="24"/>
          <w:highlight w:val="none"/>
          <w:u w:val="single" w:color="auto"/>
          <w:lang w:eastAsia="zh-CN"/>
        </w:rPr>
        <w:t>GB18597-2023</w:t>
      </w:r>
      <w:r>
        <w:rPr>
          <w:rFonts w:hint="default" w:ascii="Times New Roman" w:hAnsi="Times New Roman" w:eastAsia="宋体" w:cs="Times New Roman"/>
          <w:color w:val="auto"/>
          <w:sz w:val="24"/>
          <w:szCs w:val="24"/>
          <w:highlight w:val="none"/>
          <w:u w:val="single" w:color="auto"/>
          <w:lang w:eastAsia="zh-CN"/>
        </w:rPr>
        <w:t>）的要求进行地面和裙角防渗，并设置排水、导流、收集等设施。综上，项目危险废物暂存间设计为室内形式，其地面设计为防渗水泥地面，满足防风、防雨、防晒、防渗漏的“四防”要求，该建设场所选址、建设合理。</w:t>
      </w:r>
    </w:p>
    <w:p w14:paraId="1C0FE351">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③危险废物收集、贮存、转运相关要求</w:t>
      </w:r>
    </w:p>
    <w:p w14:paraId="035B562E">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项目危险废物直接转送至危险废物暂存间；危险废物收集方式直接，无中间环节，可有效防止转运环节中的“跑、冒、滴、漏”。</w:t>
      </w:r>
    </w:p>
    <w:p w14:paraId="43BB590E">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项目危险废物的贮存按照《危险废物贮存污染控制标准》（</w:t>
      </w:r>
      <w:r>
        <w:rPr>
          <w:rFonts w:hint="eastAsia" w:ascii="Times New Roman" w:hAnsi="Times New Roman" w:eastAsia="宋体" w:cs="Times New Roman"/>
          <w:color w:val="auto"/>
          <w:sz w:val="24"/>
          <w:szCs w:val="24"/>
          <w:highlight w:val="none"/>
          <w:u w:val="single" w:color="auto"/>
          <w:lang w:eastAsia="zh-CN"/>
        </w:rPr>
        <w:t>GB18597-2023</w:t>
      </w:r>
      <w:r>
        <w:rPr>
          <w:rFonts w:hint="default" w:ascii="Times New Roman" w:hAnsi="Times New Roman" w:eastAsia="宋体" w:cs="Times New Roman"/>
          <w:color w:val="auto"/>
          <w:sz w:val="24"/>
          <w:szCs w:val="24"/>
          <w:highlight w:val="none"/>
          <w:u w:val="single" w:color="auto"/>
          <w:lang w:eastAsia="zh-CN"/>
        </w:rPr>
        <w:t>），危险废物按不同类别分区存放，并设置隔离设施，禁止将不相容的危险废物在同一容器内混装。项目在各危险废物暂存区域张贴危险废物名称、来源、有害成分、危险特性、入库类别、入库日期、接收单位等内容。建设单位须定期对所贮存的危险废物包装容器及贮存设施进行检查，发现破损，应及时采取措施清理更换。</w:t>
      </w:r>
    </w:p>
    <w:p w14:paraId="489B64DF">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危险废物在转运过程中须严格执行《危险废物转移管理办法》，危险废物产生单位在转移危险废物前，须按照国家有关规定报批危险废物转移计划；经批准后，产生单位应当向移出地生态环境行政主管部门申请领取联单。产生单位应当在危险废物转移前三日内报告移出地生态环境行政主管部门，并同时将预期到达时间报告接受地生态环境行政主管部门。</w:t>
      </w:r>
    </w:p>
    <w:p w14:paraId="37C5DF95">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结合《建设项目危险废物环境影响评价指南》（环境保护部公告[2017]43号）、《危险废物贮存污染控制标准》（G18597-2001）和《危险废物转移管理办法》中的相关要求，本评价建议建设单位采取如下防护措施：</w:t>
      </w:r>
    </w:p>
    <w:p w14:paraId="50DE216C">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a）必须将项目产生的危险废物进行分区贮存，不得混装。</w:t>
      </w:r>
    </w:p>
    <w:p w14:paraId="6DB818B3">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b）必须将废槽液、废沉渣等危险废物装入容器内存放。</w:t>
      </w:r>
    </w:p>
    <w:p w14:paraId="6BB6BB9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c）装载废溶液的容器内必须留有足够空间，容器顶部与液体表面之间保留100mm以上的空间。</w:t>
      </w:r>
    </w:p>
    <w:p w14:paraId="2B0D33D8">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d）危险废物储存设施须按GB15562.2的规定设置警示标志。</w:t>
      </w:r>
    </w:p>
    <w:p w14:paraId="121BF7DC">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e）装载危险废物的储存容器需满足GB16597-2001中相关要求。</w:t>
      </w:r>
    </w:p>
    <w:p w14:paraId="015AADF8">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f）必须有泄漏液体收集装置。</w:t>
      </w:r>
    </w:p>
    <w:p w14:paraId="1A83563D">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g）不相容的危险废物必须分开存放，并设有隔离间隔断。</w:t>
      </w:r>
    </w:p>
    <w:p w14:paraId="7E6A1ED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h）禁止将不相容的危险废物堆放在一起。</w:t>
      </w:r>
    </w:p>
    <w:p w14:paraId="4262EDCE">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i）危险废物储存设施周围应设置围墙或其他防护栅栏。</w:t>
      </w:r>
    </w:p>
    <w:p w14:paraId="6F36F441">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j）危险废物储存设施应配备通讯设备、照明设施、安全防护装及工具，并设有应急防护设施。</w:t>
      </w:r>
    </w:p>
    <w:p w14:paraId="1556B213">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危险废物需建立管理台账，一律委托有环保审批的危险废物处理资质的单位处理，并严格执行国家危险废物转移联单制度，确保危险废物依法得到妥善处理处置。其它废物也须用专门的容器收集后存放。</w:t>
      </w:r>
    </w:p>
    <w:p w14:paraId="53C6B19C">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采取措施后，项目产生的危险废物能够得到安全处置，不会对环境产生不良的影响。</w:t>
      </w:r>
    </w:p>
    <w:p w14:paraId="0B438EAF">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eastAsia="zh-CN"/>
        </w:rPr>
        <w:t>）生活垃圾环境影响分析</w:t>
      </w:r>
    </w:p>
    <w:p w14:paraId="5289689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生活垃圾主要是员工生产、生活产生的垃圾，厂区设置垃圾桶收集生活垃圾，收集后经工业园区环卫部门送城市垃圾填埋场处理，不会对环境产生不良的影响。</w:t>
      </w:r>
    </w:p>
    <w:p w14:paraId="265EA9CC">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7.2.6土壤环境影响分析</w:t>
      </w:r>
    </w:p>
    <w:p w14:paraId="336F333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7.2.6.1土壤污染种类</w:t>
      </w:r>
    </w:p>
    <w:p w14:paraId="69A5B7D3">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土壤污染物的种类繁多，按污染物的性质一般可分为4类，即有机污染物、重金属、放射性元素和病原微生物。</w:t>
      </w:r>
    </w:p>
    <w:p w14:paraId="4264445F">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有机污染：作为影响土壤环境的主要污染物，有毒、有害的有机化合物在环境中不断积累，到一定时间或在一定条件下有可能给整个生态系统带来灾难性的后果。</w:t>
      </w:r>
    </w:p>
    <w:p w14:paraId="31C65AE5">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重金属：污染物在土壤中移动性差、滞留时间长、不能被微生物降解并可经水、植物等介质最终影响人类健康。</w:t>
      </w:r>
    </w:p>
    <w:p w14:paraId="49D0729B">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放射性元素：主要来源于大气层核实验的沉降物，以及原子能和平利用过程中所排放的各种废气、废水和废渣。含有放射性元素的物质不可避免地随自然沉降、雨水冲刷和废弃物堆放而污染土壤。</w:t>
      </w:r>
    </w:p>
    <w:p w14:paraId="6F0ACFA0">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病原微生物：主要包括病原菌和病毒等，人若直接接触含有病原微生物的土壤，可能会对健康带来影响；若食用被土壤污染的蔬菜、水果等则间接受到污染。</w:t>
      </w:r>
    </w:p>
    <w:p w14:paraId="1B06A7A6">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本项目对土壤环境的污染主要是重金属物质。</w:t>
      </w:r>
    </w:p>
    <w:p w14:paraId="52A5DDD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single" w:color="auto"/>
          <w:lang w:val="en-US" w:eastAsia="zh-CN"/>
        </w:rPr>
      </w:pPr>
      <w:r>
        <w:rPr>
          <w:rFonts w:hint="default" w:ascii="Times New Roman" w:hAnsi="Times New Roman" w:eastAsia="宋体" w:cs="Times New Roman"/>
          <w:b/>
          <w:bCs/>
          <w:color w:val="auto"/>
          <w:sz w:val="24"/>
          <w:szCs w:val="21"/>
          <w:highlight w:val="none"/>
          <w:u w:val="single" w:color="auto"/>
          <w:lang w:val="en-US" w:eastAsia="zh-CN"/>
        </w:rPr>
        <w:t>7.2.6.2土壤影响途径分析</w:t>
      </w:r>
    </w:p>
    <w:p w14:paraId="51CF1964">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根据《环境影响评价技术导则-土壤环境》（试行）HJ964-2018，本项目属于Ⅰ类项目，项目选址于衡阳松木经济开发区，属于不敏感区，评价等级为二级。</w:t>
      </w:r>
    </w:p>
    <w:p w14:paraId="7C5ACFBF">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 w:val="0"/>
          <w:bCs w:val="0"/>
          <w:i w:val="0"/>
          <w:iCs w:val="0"/>
          <w:color w:val="auto"/>
          <w:sz w:val="24"/>
          <w:szCs w:val="24"/>
          <w:u w:val="single" w:color="auto"/>
        </w:rPr>
      </w:pPr>
      <w:r>
        <w:rPr>
          <w:rFonts w:hint="default" w:ascii="Times New Roman" w:hAnsi="Times New Roman" w:eastAsia="宋体" w:cs="Times New Roman"/>
          <w:color w:val="auto"/>
          <w:sz w:val="24"/>
          <w:szCs w:val="24"/>
          <w:highlight w:val="none"/>
          <w:u w:val="single" w:color="auto"/>
          <w:lang w:eastAsia="zh-CN"/>
        </w:rPr>
        <w:t>污染型建设项目对土壤污染途径主要为大气沉降、垂直入渗和地面漫流。</w:t>
      </w:r>
      <w:r>
        <w:rPr>
          <w:rFonts w:hint="default" w:ascii="Times New Roman" w:hAnsi="Times New Roman" w:eastAsia="宋体" w:cs="Times New Roman"/>
          <w:b w:val="0"/>
          <w:bCs w:val="0"/>
          <w:i w:val="0"/>
          <w:iCs w:val="0"/>
          <w:color w:val="auto"/>
          <w:sz w:val="24"/>
          <w:szCs w:val="24"/>
          <w:u w:val="single" w:color="auto"/>
        </w:rPr>
        <w:t>本项目为工业园内项目，地面均以设置地面硬化措施，各生产车间、危废暂存间等易渗场地均经进行了硬化，部分区域还进行了防腐防渗处置，各环境风险环节设置有相应的风险防范措施，防渗区域保证渗透系数</w:t>
      </w:r>
      <w:r>
        <w:rPr>
          <w:rFonts w:hint="default" w:ascii="Times New Roman" w:hAnsi="Times New Roman" w:eastAsia="TimesNewRomanPSMT" w:cs="Times New Roman"/>
          <w:b w:val="0"/>
          <w:bCs w:val="0"/>
          <w:i w:val="0"/>
          <w:iCs w:val="0"/>
          <w:color w:val="auto"/>
          <w:sz w:val="24"/>
          <w:szCs w:val="24"/>
          <w:u w:val="single" w:color="auto"/>
        </w:rPr>
        <w:t>≤10</w:t>
      </w:r>
      <w:r>
        <w:rPr>
          <w:rFonts w:hint="default" w:ascii="Times New Roman" w:hAnsi="Times New Roman" w:eastAsia="宋体" w:cs="Times New Roman"/>
          <w:b w:val="0"/>
          <w:bCs w:val="0"/>
          <w:i w:val="0"/>
          <w:iCs w:val="0"/>
          <w:color w:val="auto"/>
          <w:sz w:val="24"/>
          <w:szCs w:val="24"/>
          <w:u w:val="single" w:color="auto"/>
          <w:vertAlign w:val="superscript"/>
          <w:lang w:val="en-US" w:eastAsia="zh-CN"/>
        </w:rPr>
        <w:t>-10</w:t>
      </w:r>
      <w:r>
        <w:rPr>
          <w:rFonts w:hint="default" w:ascii="Times New Roman" w:hAnsi="Times New Roman" w:eastAsia="TimesNewRomanPSMT" w:cs="Times New Roman"/>
          <w:b w:val="0"/>
          <w:bCs w:val="0"/>
          <w:i w:val="0"/>
          <w:iCs w:val="0"/>
          <w:color w:val="auto"/>
          <w:sz w:val="24"/>
          <w:szCs w:val="24"/>
          <w:u w:val="single" w:color="auto"/>
        </w:rPr>
        <w:t>cm/s</w:t>
      </w:r>
      <w:r>
        <w:rPr>
          <w:rFonts w:hint="default" w:ascii="Times New Roman" w:hAnsi="Times New Roman" w:eastAsia="宋体" w:cs="Times New Roman"/>
          <w:b w:val="0"/>
          <w:bCs w:val="0"/>
          <w:i w:val="0"/>
          <w:iCs w:val="0"/>
          <w:color w:val="auto"/>
          <w:sz w:val="24"/>
          <w:szCs w:val="24"/>
          <w:u w:val="single" w:color="auto"/>
        </w:rPr>
        <w:t>，以防止土壤环境污染。根据土壤环境质量现状监测数据统计结果和分析可知，区域土壤未受到污染，土壤环境质量现状较好。项目生产过程中产生的废气主要为</w:t>
      </w:r>
      <w:r>
        <w:rPr>
          <w:rFonts w:hint="default" w:ascii="Times New Roman" w:hAnsi="Times New Roman" w:eastAsia="宋体" w:cs="Times New Roman"/>
          <w:b w:val="0"/>
          <w:bCs w:val="0"/>
          <w:i w:val="0"/>
          <w:iCs w:val="0"/>
          <w:color w:val="auto"/>
          <w:sz w:val="24"/>
          <w:szCs w:val="24"/>
          <w:u w:val="single" w:color="auto"/>
          <w:lang w:eastAsia="zh-CN"/>
        </w:rPr>
        <w:t>酸雾、</w:t>
      </w:r>
      <w:r>
        <w:rPr>
          <w:rFonts w:hint="default" w:ascii="Times New Roman" w:hAnsi="Times New Roman" w:eastAsia="宋体" w:cs="Times New Roman"/>
          <w:b w:val="0"/>
          <w:bCs w:val="0"/>
          <w:i w:val="0"/>
          <w:iCs w:val="0"/>
          <w:color w:val="auto"/>
          <w:sz w:val="24"/>
          <w:szCs w:val="24"/>
          <w:u w:val="single" w:color="auto"/>
          <w:lang w:val="en-US" w:eastAsia="zh-CN"/>
        </w:rPr>
        <w:t>VOCs</w:t>
      </w:r>
      <w:r>
        <w:rPr>
          <w:rFonts w:hint="default" w:ascii="Times New Roman" w:hAnsi="Times New Roman" w:eastAsia="宋体" w:cs="Times New Roman"/>
          <w:b w:val="0"/>
          <w:bCs w:val="0"/>
          <w:i w:val="0"/>
          <w:iCs w:val="0"/>
          <w:color w:val="auto"/>
          <w:sz w:val="24"/>
          <w:szCs w:val="24"/>
          <w:u w:val="single" w:color="auto"/>
        </w:rPr>
        <w:t>及食堂油烟废气等，产生量较小，污染影响较小，基本不考虑本项目废气外排大气沉降对周围土壤环境的影响。同时，本项目外排废水</w:t>
      </w:r>
      <w:r>
        <w:rPr>
          <w:rFonts w:hint="eastAsia" w:ascii="Times New Roman" w:hAnsi="Times New Roman" w:eastAsia="宋体" w:cs="Times New Roman"/>
          <w:b w:val="0"/>
          <w:bCs w:val="0"/>
          <w:i w:val="0"/>
          <w:iCs w:val="0"/>
          <w:color w:val="auto"/>
          <w:sz w:val="24"/>
          <w:szCs w:val="24"/>
          <w:u w:val="single" w:color="auto"/>
          <w:lang w:val="en-US" w:eastAsia="zh-CN"/>
        </w:rPr>
        <w:t>为</w:t>
      </w:r>
      <w:r>
        <w:rPr>
          <w:rFonts w:hint="default" w:ascii="Times New Roman" w:hAnsi="Times New Roman" w:eastAsia="宋体" w:cs="Times New Roman"/>
          <w:b w:val="0"/>
          <w:bCs w:val="0"/>
          <w:i w:val="0"/>
          <w:iCs w:val="0"/>
          <w:color w:val="auto"/>
          <w:sz w:val="24"/>
          <w:szCs w:val="24"/>
          <w:u w:val="single" w:color="auto"/>
        </w:rPr>
        <w:t>生活污水</w:t>
      </w:r>
      <w:r>
        <w:rPr>
          <w:rFonts w:hint="eastAsia" w:ascii="Times New Roman" w:hAnsi="Times New Roman" w:eastAsia="宋体" w:cs="Times New Roman"/>
          <w:b w:val="0"/>
          <w:bCs w:val="0"/>
          <w:i w:val="0"/>
          <w:iCs w:val="0"/>
          <w:color w:val="auto"/>
          <w:sz w:val="24"/>
          <w:szCs w:val="24"/>
          <w:u w:val="single" w:color="auto"/>
          <w:lang w:val="en-US" w:eastAsia="zh-CN"/>
        </w:rPr>
        <w:t>和机加工车间卫生废水、容器清洗废水、直接冷却废水</w:t>
      </w:r>
      <w:r>
        <w:rPr>
          <w:rFonts w:hint="default" w:ascii="Times New Roman" w:hAnsi="Times New Roman" w:eastAsia="宋体" w:cs="Times New Roman"/>
          <w:b w:val="0"/>
          <w:bCs w:val="0"/>
          <w:i w:val="0"/>
          <w:iCs w:val="0"/>
          <w:color w:val="auto"/>
          <w:sz w:val="24"/>
          <w:szCs w:val="24"/>
          <w:u w:val="single" w:color="auto"/>
        </w:rPr>
        <w:t>，其他</w:t>
      </w:r>
      <w:r>
        <w:rPr>
          <w:rFonts w:hint="default" w:ascii="Times New Roman" w:hAnsi="Times New Roman" w:eastAsia="宋体" w:cs="Times New Roman"/>
          <w:b w:val="0"/>
          <w:bCs w:val="0"/>
          <w:i w:val="0"/>
          <w:iCs w:val="0"/>
          <w:color w:val="auto"/>
          <w:sz w:val="24"/>
          <w:szCs w:val="24"/>
          <w:u w:val="single" w:color="auto"/>
          <w:lang w:eastAsia="zh-CN"/>
        </w:rPr>
        <w:t>生产废水（包含涉重金属废水）优先回用后均</w:t>
      </w:r>
      <w:r>
        <w:rPr>
          <w:rFonts w:hint="default" w:ascii="Times New Roman" w:hAnsi="Times New Roman" w:eastAsia="宋体" w:cs="Times New Roman"/>
          <w:b w:val="0"/>
          <w:bCs w:val="0"/>
          <w:i w:val="0"/>
          <w:iCs w:val="0"/>
          <w:color w:val="auto"/>
          <w:sz w:val="24"/>
          <w:szCs w:val="24"/>
          <w:u w:val="single" w:color="auto"/>
        </w:rPr>
        <w:t>进入到</w:t>
      </w:r>
      <w:r>
        <w:rPr>
          <w:rFonts w:hint="default" w:ascii="Times New Roman" w:hAnsi="Times New Roman" w:eastAsia="宋体" w:cs="Times New Roman"/>
          <w:b w:val="0"/>
          <w:bCs w:val="0"/>
          <w:i w:val="0"/>
          <w:iCs w:val="0"/>
          <w:color w:val="auto"/>
          <w:sz w:val="24"/>
          <w:szCs w:val="24"/>
          <w:u w:val="single" w:color="auto"/>
          <w:lang w:eastAsia="zh-CN"/>
        </w:rPr>
        <w:t>三效</w:t>
      </w:r>
      <w:r>
        <w:rPr>
          <w:rFonts w:hint="default" w:ascii="Times New Roman" w:hAnsi="Times New Roman" w:eastAsia="宋体" w:cs="Times New Roman"/>
          <w:b w:val="0"/>
          <w:bCs w:val="0"/>
          <w:i w:val="0"/>
          <w:iCs w:val="0"/>
          <w:color w:val="auto"/>
          <w:sz w:val="24"/>
          <w:szCs w:val="24"/>
          <w:u w:val="single" w:color="auto"/>
        </w:rPr>
        <w:t>蒸发</w:t>
      </w:r>
      <w:r>
        <w:rPr>
          <w:rFonts w:hint="default" w:ascii="Times New Roman" w:hAnsi="Times New Roman" w:eastAsia="宋体" w:cs="Times New Roman"/>
          <w:b w:val="0"/>
          <w:bCs w:val="0"/>
          <w:i w:val="0"/>
          <w:iCs w:val="0"/>
          <w:color w:val="auto"/>
          <w:sz w:val="24"/>
          <w:szCs w:val="24"/>
          <w:u w:val="single" w:color="auto"/>
          <w:lang w:eastAsia="zh-CN"/>
        </w:rPr>
        <w:t>器</w:t>
      </w:r>
      <w:r>
        <w:rPr>
          <w:rFonts w:hint="default" w:ascii="Times New Roman" w:hAnsi="Times New Roman" w:eastAsia="宋体" w:cs="Times New Roman"/>
          <w:b w:val="0"/>
          <w:bCs w:val="0"/>
          <w:i w:val="0"/>
          <w:iCs w:val="0"/>
          <w:color w:val="auto"/>
          <w:sz w:val="24"/>
          <w:szCs w:val="24"/>
          <w:u w:val="single" w:color="auto"/>
        </w:rPr>
        <w:t>中蒸发处理，蒸发处理后冷凝水又作为纯水回用于生产线，不外排。化学品原辅材料均存放在化学品仓库内，地面进行了防腐防渗处理，危险废物收集暂存于危废暂存间内，地面同样进行了防腐防渗处理。因此，正常情况不会出现因废水、危险废物、化学品等导致的地面漫流及</w:t>
      </w:r>
      <w:r>
        <w:rPr>
          <w:rFonts w:hint="eastAsia" w:ascii="Times New Roman" w:hAnsi="Times New Roman" w:eastAsia="宋体" w:cs="Times New Roman"/>
          <w:b w:val="0"/>
          <w:bCs w:val="0"/>
          <w:i w:val="0"/>
          <w:iCs w:val="0"/>
          <w:color w:val="auto"/>
          <w:sz w:val="24"/>
          <w:szCs w:val="24"/>
          <w:u w:val="single" w:color="auto"/>
          <w:lang w:eastAsia="zh-CN"/>
        </w:rPr>
        <w:t>垂直</w:t>
      </w:r>
      <w:r>
        <w:rPr>
          <w:rFonts w:hint="default" w:ascii="Times New Roman" w:hAnsi="Times New Roman" w:eastAsia="宋体" w:cs="Times New Roman"/>
          <w:b w:val="0"/>
          <w:bCs w:val="0"/>
          <w:i w:val="0"/>
          <w:iCs w:val="0"/>
          <w:color w:val="auto"/>
          <w:sz w:val="24"/>
          <w:szCs w:val="24"/>
          <w:u w:val="single" w:color="auto"/>
        </w:rPr>
        <w:t>入渗途径对周围土壤环境的影响。</w:t>
      </w:r>
    </w:p>
    <w:p w14:paraId="48828AC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single" w:color="auto"/>
          <w:lang w:val="en-US" w:eastAsia="zh-CN"/>
        </w:rPr>
      </w:pPr>
      <w:r>
        <w:rPr>
          <w:rFonts w:hint="default" w:ascii="Times New Roman" w:hAnsi="Times New Roman" w:eastAsia="宋体" w:cs="Times New Roman"/>
          <w:b/>
          <w:bCs/>
          <w:color w:val="auto"/>
          <w:sz w:val="24"/>
          <w:szCs w:val="21"/>
          <w:highlight w:val="none"/>
          <w:u w:val="single" w:color="auto"/>
          <w:lang w:val="en-US" w:eastAsia="zh-CN"/>
        </w:rPr>
        <w:t>7.2.6.3土壤环境的影响预测及评价</w:t>
      </w:r>
    </w:p>
    <w:p w14:paraId="051FAFC2">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color w:val="auto"/>
          <w:sz w:val="24"/>
          <w:szCs w:val="24"/>
          <w:highlight w:val="none"/>
          <w:u w:val="single" w:color="auto"/>
        </w:rPr>
      </w:pPr>
      <w:r>
        <w:rPr>
          <w:rFonts w:hint="default" w:ascii="Times New Roman" w:hAnsi="Times New Roman" w:eastAsia="宋体" w:cs="Times New Roman"/>
          <w:bCs/>
          <w:color w:val="auto"/>
          <w:sz w:val="24"/>
          <w:szCs w:val="24"/>
          <w:highlight w:val="none"/>
          <w:u w:val="single" w:color="auto"/>
        </w:rPr>
        <w:t>（1）预测范围</w:t>
      </w:r>
    </w:p>
    <w:p w14:paraId="50305E00">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color w:val="auto"/>
          <w:sz w:val="24"/>
          <w:szCs w:val="24"/>
          <w:highlight w:val="none"/>
          <w:u w:val="single" w:color="auto"/>
        </w:rPr>
      </w:pPr>
      <w:r>
        <w:rPr>
          <w:rFonts w:hint="default" w:ascii="Times New Roman" w:hAnsi="Times New Roman" w:eastAsia="宋体" w:cs="Times New Roman"/>
          <w:bCs/>
          <w:color w:val="auto"/>
          <w:sz w:val="24"/>
          <w:szCs w:val="24"/>
          <w:highlight w:val="none"/>
          <w:u w:val="single" w:color="auto"/>
        </w:rPr>
        <w:t>根据《环境影响评价技术导则土壤环境（试行）》(HJ964-2018)的要求，拟建土壤环境评价影响等级为二级，土壤环境预测范围为项目占地及占地外2</w:t>
      </w:r>
      <w:r>
        <w:rPr>
          <w:rFonts w:hint="default" w:ascii="Times New Roman" w:hAnsi="Times New Roman" w:eastAsia="宋体" w:cs="Times New Roman"/>
          <w:bCs/>
          <w:color w:val="auto"/>
          <w:sz w:val="24"/>
          <w:szCs w:val="24"/>
          <w:highlight w:val="none"/>
          <w:u w:val="single" w:color="auto"/>
          <w:lang w:val="en-US" w:eastAsia="zh-CN"/>
        </w:rPr>
        <w:t>0</w:t>
      </w:r>
      <w:r>
        <w:rPr>
          <w:rFonts w:hint="default" w:ascii="Times New Roman" w:hAnsi="Times New Roman" w:eastAsia="宋体" w:cs="Times New Roman"/>
          <w:bCs/>
          <w:color w:val="auto"/>
          <w:sz w:val="24"/>
          <w:szCs w:val="24"/>
          <w:highlight w:val="none"/>
          <w:u w:val="single" w:color="auto"/>
        </w:rPr>
        <w:t>0m的范围。</w:t>
      </w:r>
    </w:p>
    <w:p w14:paraId="7E440E58">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color w:val="auto"/>
          <w:sz w:val="24"/>
          <w:szCs w:val="24"/>
          <w:highlight w:val="none"/>
          <w:u w:val="single" w:color="auto"/>
        </w:rPr>
      </w:pPr>
      <w:r>
        <w:rPr>
          <w:rFonts w:hint="default" w:ascii="Times New Roman" w:hAnsi="Times New Roman" w:eastAsia="宋体" w:cs="Times New Roman"/>
          <w:bCs/>
          <w:color w:val="auto"/>
          <w:sz w:val="24"/>
          <w:szCs w:val="24"/>
          <w:highlight w:val="none"/>
          <w:u w:val="single" w:color="auto"/>
        </w:rPr>
        <w:t>（2）预测因子</w:t>
      </w:r>
    </w:p>
    <w:p w14:paraId="7A75382E">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bCs/>
          <w:color w:val="auto"/>
          <w:sz w:val="24"/>
          <w:szCs w:val="24"/>
          <w:highlight w:val="none"/>
          <w:u w:val="single" w:color="auto"/>
        </w:rPr>
      </w:pPr>
      <w:r>
        <w:rPr>
          <w:rFonts w:hint="default" w:ascii="Times New Roman" w:hAnsi="Times New Roman" w:eastAsia="宋体" w:cs="Times New Roman"/>
          <w:bCs/>
          <w:color w:val="auto"/>
          <w:sz w:val="24"/>
          <w:szCs w:val="24"/>
          <w:highlight w:val="none"/>
          <w:u w:val="single" w:color="auto"/>
        </w:rPr>
        <w:t>预测因子：</w:t>
      </w:r>
      <w:r>
        <w:rPr>
          <w:rFonts w:hint="default" w:ascii="Times New Roman" w:hAnsi="Times New Roman" w:eastAsia="宋体" w:cs="Times New Roman"/>
          <w:bCs/>
          <w:color w:val="auto"/>
          <w:sz w:val="24"/>
          <w:szCs w:val="24"/>
          <w:highlight w:val="none"/>
          <w:u w:val="single" w:color="auto"/>
          <w:lang w:eastAsia="zh-CN"/>
        </w:rPr>
        <w:t>镍</w:t>
      </w:r>
      <w:r>
        <w:rPr>
          <w:rFonts w:hint="default" w:ascii="Times New Roman" w:hAnsi="Times New Roman" w:eastAsia="宋体" w:cs="Times New Roman"/>
          <w:bCs/>
          <w:color w:val="auto"/>
          <w:sz w:val="24"/>
          <w:szCs w:val="24"/>
          <w:highlight w:val="none"/>
          <w:u w:val="single" w:color="auto"/>
        </w:rPr>
        <w:t>。</w:t>
      </w:r>
    </w:p>
    <w:p w14:paraId="0E2432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（3）预测模式与方法</w:t>
      </w:r>
    </w:p>
    <w:p w14:paraId="33FA3803">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根据《环境影响评价技术导则土壤环境（试行）》(HJ964-2018)的要求，本次土壤环境影响预测模式选取导则附录 E 中推荐的预测方式进行，具体模式如下：</w:t>
      </w:r>
    </w:p>
    <w:p w14:paraId="12D07766">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1、单位质量土壤中某种物质的增加量可用下式计算：</w:t>
      </w:r>
    </w:p>
    <w:p w14:paraId="10795E5E">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drawing>
          <wp:inline distT="0" distB="0" distL="0" distR="0">
            <wp:extent cx="1825625" cy="493395"/>
            <wp:effectExtent l="0" t="0" r="3175" b="1905"/>
            <wp:docPr id="34" name="图片 34" descr="1578015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7801573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849169" cy="499775"/>
                    </a:xfrm>
                    <a:prstGeom prst="rect">
                      <a:avLst/>
                    </a:prstGeom>
                    <a:noFill/>
                    <a:ln>
                      <a:noFill/>
                    </a:ln>
                    <a:effectLst/>
                  </pic:spPr>
                </pic:pic>
              </a:graphicData>
            </a:graphic>
          </wp:inline>
        </w:drawing>
      </w:r>
    </w:p>
    <w:p w14:paraId="7DCF2768">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式中：</w:t>
      </w:r>
    </w:p>
    <w:p w14:paraId="4086024B">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△S-单位质量表层土壤中某种物质的增量，g/kg；</w:t>
      </w:r>
    </w:p>
    <w:p w14:paraId="68A0DF4F">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I</w:t>
      </w:r>
      <w:r>
        <w:rPr>
          <w:rFonts w:hint="default" w:ascii="Times New Roman" w:hAnsi="Times New Roman" w:eastAsia="宋体" w:cs="Times New Roman"/>
          <w:color w:val="auto"/>
          <w:sz w:val="24"/>
          <w:szCs w:val="24"/>
          <w:highlight w:val="none"/>
          <w:u w:val="single" w:color="auto"/>
          <w:vertAlign w:val="subscript"/>
        </w:rPr>
        <w:t>s</w:t>
      </w:r>
      <w:r>
        <w:rPr>
          <w:rFonts w:hint="default" w:ascii="Times New Roman" w:hAnsi="Times New Roman" w:eastAsia="宋体" w:cs="Times New Roman"/>
          <w:color w:val="auto"/>
          <w:sz w:val="24"/>
          <w:szCs w:val="24"/>
          <w:highlight w:val="none"/>
          <w:u w:val="single" w:color="auto"/>
        </w:rPr>
        <w:t>-预测评价范围内单位年份表层土壤中某物质的输入量，g；</w:t>
      </w:r>
    </w:p>
    <w:p w14:paraId="1CAF4612">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L</w:t>
      </w:r>
      <w:r>
        <w:rPr>
          <w:rFonts w:hint="default" w:ascii="Times New Roman" w:hAnsi="Times New Roman" w:eastAsia="宋体" w:cs="Times New Roman"/>
          <w:color w:val="auto"/>
          <w:sz w:val="24"/>
          <w:szCs w:val="24"/>
          <w:highlight w:val="none"/>
          <w:u w:val="single" w:color="auto"/>
          <w:vertAlign w:val="subscript"/>
        </w:rPr>
        <w:t>s</w:t>
      </w:r>
      <w:r>
        <w:rPr>
          <w:rFonts w:hint="default" w:ascii="Times New Roman" w:hAnsi="Times New Roman" w:eastAsia="宋体" w:cs="Times New Roman"/>
          <w:color w:val="auto"/>
          <w:sz w:val="24"/>
          <w:szCs w:val="24"/>
          <w:highlight w:val="none"/>
          <w:u w:val="single" w:color="auto"/>
        </w:rPr>
        <w:t>-预测评价范围内单位年份表层土壤中某物质经淋溶排出量，g；</w:t>
      </w:r>
    </w:p>
    <w:p w14:paraId="7439181B">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Rs-预测评价范围内单位年份表层土壤中某物质经径流排出量，g；</w:t>
      </w:r>
    </w:p>
    <w:p w14:paraId="07B4C404">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ρ</w:t>
      </w:r>
      <w:r>
        <w:rPr>
          <w:rFonts w:hint="default" w:ascii="Times New Roman" w:hAnsi="Times New Roman" w:eastAsia="宋体" w:cs="Times New Roman"/>
          <w:color w:val="auto"/>
          <w:sz w:val="24"/>
          <w:szCs w:val="24"/>
          <w:highlight w:val="none"/>
          <w:u w:val="single" w:color="auto"/>
          <w:vertAlign w:val="subscript"/>
        </w:rPr>
        <w:t>b</w:t>
      </w:r>
      <w:r>
        <w:rPr>
          <w:rFonts w:hint="default" w:ascii="Times New Roman" w:hAnsi="Times New Roman" w:eastAsia="宋体" w:cs="Times New Roman"/>
          <w:color w:val="auto"/>
          <w:sz w:val="24"/>
          <w:szCs w:val="24"/>
          <w:highlight w:val="none"/>
          <w:u w:val="single" w:color="auto"/>
        </w:rPr>
        <w:t>-表层土壤容重，kg/m</w:t>
      </w:r>
      <w:r>
        <w:rPr>
          <w:rFonts w:hint="default" w:ascii="Times New Roman" w:hAnsi="Times New Roman" w:eastAsia="宋体" w:cs="Times New Roman"/>
          <w:color w:val="auto"/>
          <w:sz w:val="24"/>
          <w:szCs w:val="24"/>
          <w:highlight w:val="none"/>
          <w:u w:val="single" w:color="auto"/>
          <w:vertAlign w:val="superscript"/>
        </w:rPr>
        <w:t>3</w:t>
      </w:r>
      <w:r>
        <w:rPr>
          <w:rFonts w:hint="default" w:ascii="Times New Roman" w:hAnsi="Times New Roman" w:eastAsia="宋体" w:cs="Times New Roman"/>
          <w:color w:val="auto"/>
          <w:sz w:val="24"/>
          <w:szCs w:val="24"/>
          <w:highlight w:val="none"/>
          <w:u w:val="single" w:color="auto"/>
        </w:rPr>
        <w:t>；</w:t>
      </w:r>
    </w:p>
    <w:p w14:paraId="3852202A">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A-预测评价范围，m</w:t>
      </w:r>
      <w:r>
        <w:rPr>
          <w:rFonts w:hint="default" w:ascii="Times New Roman" w:hAnsi="Times New Roman" w:eastAsia="宋体" w:cs="Times New Roman"/>
          <w:color w:val="auto"/>
          <w:sz w:val="24"/>
          <w:szCs w:val="24"/>
          <w:highlight w:val="none"/>
          <w:u w:val="single" w:color="auto"/>
          <w:vertAlign w:val="superscript"/>
        </w:rPr>
        <w:t>2</w:t>
      </w:r>
      <w:r>
        <w:rPr>
          <w:rFonts w:hint="default" w:ascii="Times New Roman" w:hAnsi="Times New Roman" w:eastAsia="宋体" w:cs="Times New Roman"/>
          <w:color w:val="auto"/>
          <w:sz w:val="24"/>
          <w:szCs w:val="24"/>
          <w:highlight w:val="none"/>
          <w:u w:val="single" w:color="auto"/>
        </w:rPr>
        <w:t>；</w:t>
      </w:r>
    </w:p>
    <w:p w14:paraId="03CF084F">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D-表层土壤深度，一般取 0.2m，可根据实际情况适当调整；</w:t>
      </w:r>
    </w:p>
    <w:p w14:paraId="18FD6728">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n-持续年份，a。</w:t>
      </w:r>
    </w:p>
    <w:p w14:paraId="048F35AB">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根据《环境影响评价技术导则土壤环境（试行）》（HJ964-2018）附录 E，土壤中某种物质的输出量主要包括淋溶或径流排出、土壤缓冲消耗等两部分；植物吸收量通常较小，不予考虑；涉及大气沉降影响的可不考虑输出量。因此，上述公式可简化如下：</w:t>
      </w:r>
    </w:p>
    <w:p w14:paraId="0254A9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drawing>
          <wp:inline distT="0" distB="0" distL="0" distR="0">
            <wp:extent cx="2183130" cy="563245"/>
            <wp:effectExtent l="0" t="0" r="7620" b="8255"/>
            <wp:docPr id="31" name="图片 31" descr="1578016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7801627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198860" cy="567625"/>
                    </a:xfrm>
                    <a:prstGeom prst="rect">
                      <a:avLst/>
                    </a:prstGeom>
                    <a:noFill/>
                    <a:ln>
                      <a:noFill/>
                    </a:ln>
                  </pic:spPr>
                </pic:pic>
              </a:graphicData>
            </a:graphic>
          </wp:inline>
        </w:drawing>
      </w:r>
    </w:p>
    <w:p w14:paraId="16BDFC93">
      <w:pPr>
        <w:keepNext w:val="0"/>
        <w:keepLines w:val="0"/>
        <w:pageBreakBefore w:val="0"/>
        <w:widowControl w:val="0"/>
        <w:kinsoku/>
        <w:wordWrap/>
        <w:overflowPunct/>
        <w:topLinePunct w:val="0"/>
        <w:autoSpaceDE/>
        <w:autoSpaceDN/>
        <w:bidi w:val="0"/>
        <w:adjustRightInd/>
        <w:snapToGrid/>
        <w:spacing w:line="360" w:lineRule="auto"/>
        <w:ind w:left="560"/>
        <w:jc w:val="both"/>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单位质量土壤中某种物质的预测值可用下式计算：</w:t>
      </w:r>
    </w:p>
    <w:p w14:paraId="3079BA27">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S=S</w:t>
      </w:r>
      <w:r>
        <w:rPr>
          <w:rFonts w:hint="default" w:ascii="Times New Roman" w:hAnsi="Times New Roman" w:eastAsia="宋体" w:cs="Times New Roman"/>
          <w:color w:val="auto"/>
          <w:sz w:val="24"/>
          <w:szCs w:val="24"/>
          <w:highlight w:val="none"/>
          <w:u w:val="single" w:color="auto"/>
          <w:vertAlign w:val="subscript"/>
        </w:rPr>
        <w:t>b</w:t>
      </w:r>
      <w:r>
        <w:rPr>
          <w:rFonts w:hint="default" w:ascii="Times New Roman" w:hAnsi="Times New Roman" w:eastAsia="宋体" w:cs="Times New Roman"/>
          <w:color w:val="auto"/>
          <w:sz w:val="24"/>
          <w:szCs w:val="24"/>
          <w:highlight w:val="none"/>
          <w:u w:val="single" w:color="auto"/>
        </w:rPr>
        <w:t>+△S</w:t>
      </w:r>
    </w:p>
    <w:p w14:paraId="4674BBB7">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式中：</w:t>
      </w:r>
    </w:p>
    <w:p w14:paraId="1C7522B6">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S</w:t>
      </w:r>
      <w:r>
        <w:rPr>
          <w:rFonts w:hint="default" w:ascii="Times New Roman" w:hAnsi="Times New Roman" w:eastAsia="宋体" w:cs="Times New Roman"/>
          <w:color w:val="auto"/>
          <w:sz w:val="24"/>
          <w:szCs w:val="24"/>
          <w:highlight w:val="none"/>
          <w:u w:val="single" w:color="auto"/>
          <w:vertAlign w:val="subscript"/>
        </w:rPr>
        <w:t>b</w:t>
      </w:r>
      <w:r>
        <w:rPr>
          <w:rFonts w:hint="default" w:ascii="Times New Roman" w:hAnsi="Times New Roman" w:eastAsia="宋体" w:cs="Times New Roman"/>
          <w:color w:val="auto"/>
          <w:sz w:val="24"/>
          <w:szCs w:val="24"/>
          <w:highlight w:val="none"/>
          <w:u w:val="single" w:color="auto"/>
        </w:rPr>
        <w:t>——单位质量土壤中某物质的现状值，g/kg；</w:t>
      </w:r>
    </w:p>
    <w:p w14:paraId="730AC094">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S——单位质量土壤中某物质的预测值，g/kg。</w:t>
      </w:r>
    </w:p>
    <w:p w14:paraId="6BE38694">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①土壤容重按</w:t>
      </w:r>
      <w:r>
        <w:rPr>
          <w:rFonts w:hint="default" w:ascii="Times New Roman" w:hAnsi="Times New Roman" w:eastAsia="宋体" w:cs="Times New Roman"/>
          <w:color w:val="auto"/>
          <w:sz w:val="24"/>
          <w:szCs w:val="24"/>
          <w:highlight w:val="none"/>
          <w:u w:val="single" w:color="auto"/>
          <w:lang w:val="en-US" w:eastAsia="zh-CN"/>
        </w:rPr>
        <w:t>1400</w:t>
      </w:r>
      <w:r>
        <w:rPr>
          <w:rFonts w:hint="default" w:ascii="Times New Roman" w:hAnsi="Times New Roman" w:eastAsia="宋体" w:cs="Times New Roman"/>
          <w:color w:val="auto"/>
          <w:sz w:val="24"/>
          <w:szCs w:val="24"/>
          <w:highlight w:val="none"/>
          <w:u w:val="single" w:color="auto"/>
        </w:rPr>
        <w:t>kg/m</w:t>
      </w:r>
      <w:r>
        <w:rPr>
          <w:rFonts w:hint="default" w:ascii="Times New Roman" w:hAnsi="Times New Roman" w:eastAsia="宋体" w:cs="Times New Roman"/>
          <w:color w:val="auto"/>
          <w:sz w:val="24"/>
          <w:szCs w:val="24"/>
          <w:highlight w:val="none"/>
          <w:u w:val="single" w:color="auto"/>
          <w:vertAlign w:val="superscript"/>
        </w:rPr>
        <w:t>3</w:t>
      </w:r>
      <w:r>
        <w:rPr>
          <w:rFonts w:hint="default" w:ascii="Times New Roman" w:hAnsi="Times New Roman" w:eastAsia="宋体" w:cs="Times New Roman"/>
          <w:color w:val="auto"/>
          <w:sz w:val="24"/>
          <w:szCs w:val="24"/>
          <w:highlight w:val="none"/>
          <w:u w:val="single" w:color="auto"/>
        </w:rPr>
        <w:t>计，表层土壤深度取0.2m。</w:t>
      </w:r>
    </w:p>
    <w:p w14:paraId="6BA87CC2">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②预测评价范围取项目占地及占地外200m的范围（</w:t>
      </w:r>
      <w:r>
        <w:rPr>
          <w:rFonts w:hint="default" w:ascii="Times New Roman" w:hAnsi="Times New Roman" w:eastAsia="宋体" w:cs="Times New Roman"/>
          <w:color w:val="auto"/>
          <w:sz w:val="24"/>
          <w:szCs w:val="24"/>
          <w:highlight w:val="none"/>
          <w:u w:val="single" w:color="auto"/>
          <w:lang w:val="en-US" w:eastAsia="zh-CN"/>
        </w:rPr>
        <w:t>339625</w:t>
      </w:r>
      <w:r>
        <w:rPr>
          <w:rFonts w:hint="default" w:ascii="Times New Roman" w:hAnsi="Times New Roman" w:eastAsia="宋体" w:cs="Times New Roman"/>
          <w:color w:val="auto"/>
          <w:sz w:val="24"/>
          <w:szCs w:val="24"/>
          <w:highlight w:val="none"/>
          <w:u w:val="single" w:color="auto"/>
        </w:rPr>
        <w:t>m</w:t>
      </w:r>
      <w:r>
        <w:rPr>
          <w:rFonts w:hint="default" w:ascii="Times New Roman" w:hAnsi="Times New Roman" w:eastAsia="宋体" w:cs="Times New Roman"/>
          <w:color w:val="auto"/>
          <w:sz w:val="24"/>
          <w:szCs w:val="24"/>
          <w:highlight w:val="none"/>
          <w:u w:val="single" w:color="auto"/>
          <w:vertAlign w:val="superscript"/>
        </w:rPr>
        <w:t>2</w:t>
      </w:r>
      <w:r>
        <w:rPr>
          <w:rFonts w:hint="default" w:ascii="Times New Roman" w:hAnsi="Times New Roman" w:eastAsia="宋体" w:cs="Times New Roman"/>
          <w:color w:val="auto"/>
          <w:sz w:val="24"/>
          <w:szCs w:val="24"/>
          <w:highlight w:val="none"/>
          <w:u w:val="single" w:color="auto"/>
        </w:rPr>
        <w:t>）。</w:t>
      </w:r>
    </w:p>
    <w:p w14:paraId="0A8B9563">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lang w:val="en-US" w:eastAsia="zh-CN"/>
        </w:rPr>
        <w:t>③</w:t>
      </w:r>
      <w:r>
        <w:rPr>
          <w:rFonts w:hint="default" w:ascii="Times New Roman" w:hAnsi="Times New Roman" w:eastAsia="宋体" w:cs="Times New Roman"/>
          <w:color w:val="auto"/>
          <w:sz w:val="24"/>
          <w:szCs w:val="24"/>
          <w:highlight w:val="none"/>
          <w:u w:val="single" w:color="auto"/>
        </w:rPr>
        <w:t>单位质量土壤中某物质的现状值取监测值中的最大值。</w:t>
      </w:r>
    </w:p>
    <w:p w14:paraId="6BAC3F1F">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（4）预测参数选取</w:t>
      </w:r>
    </w:p>
    <w:p w14:paraId="404E6F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eastAsia="zh-CN"/>
        </w:rPr>
        <w:t>本项目重金属输入量按重金属用量的</w:t>
      </w:r>
      <w:r>
        <w:rPr>
          <w:rFonts w:hint="default" w:ascii="Times New Roman" w:hAnsi="Times New Roman" w:eastAsia="宋体" w:cs="Times New Roman"/>
          <w:color w:val="auto"/>
          <w:sz w:val="24"/>
          <w:szCs w:val="24"/>
          <w:highlight w:val="none"/>
          <w:u w:val="single" w:color="auto"/>
          <w:lang w:val="en-US" w:eastAsia="zh-CN"/>
        </w:rPr>
        <w:t>5‰计算，则镍输入量为270000g。</w:t>
      </w:r>
    </w:p>
    <w:p w14:paraId="38BC1EC5">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（5）预测结果与分析</w:t>
      </w:r>
    </w:p>
    <w:p w14:paraId="5AD67322">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color w:val="auto"/>
          <w:highlight w:val="none"/>
          <w:u w:val="single" w:color="auto"/>
        </w:rPr>
      </w:pPr>
      <w:r>
        <w:rPr>
          <w:rFonts w:hint="default" w:ascii="Times New Roman" w:hAnsi="Times New Roman" w:eastAsia="宋体" w:cs="Times New Roman"/>
          <w:color w:val="auto"/>
          <w:sz w:val="24"/>
          <w:szCs w:val="24"/>
          <w:highlight w:val="none"/>
          <w:u w:val="single" w:color="auto"/>
        </w:rPr>
        <w:t>本次评价采用土壤污染物累积模式计算的第1年、第5年、第10年、第20年的落地浓度极大值网格内土壤中相应重金属污染物输入量累积情况详见下表：</w:t>
      </w:r>
    </w:p>
    <w:p w14:paraId="3F3C759B">
      <w:pPr>
        <w:spacing w:line="440" w:lineRule="exact"/>
        <w:jc w:val="center"/>
        <w:rPr>
          <w:rFonts w:hint="default" w:ascii="Times New Roman" w:hAnsi="Times New Roman" w:eastAsia="宋体" w:cs="Times New Roman"/>
          <w:color w:val="auto"/>
          <w:sz w:val="21"/>
          <w:szCs w:val="18"/>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7</w:t>
      </w:r>
      <w:r>
        <w:rPr>
          <w:rFonts w:hint="default" w:ascii="Times New Roman" w:hAnsi="Times New Roman" w:eastAsia="宋体" w:cs="Times New Roman"/>
          <w:b/>
          <w:color w:val="auto"/>
          <w:sz w:val="21"/>
          <w:szCs w:val="18"/>
          <w:highlight w:val="none"/>
          <w:u w:val="single" w:color="auto"/>
        </w:rPr>
        <w:t>.2-</w:t>
      </w:r>
      <w:r>
        <w:rPr>
          <w:rFonts w:hint="default" w:ascii="Times New Roman" w:hAnsi="Times New Roman" w:eastAsia="宋体" w:cs="Times New Roman"/>
          <w:b/>
          <w:color w:val="auto"/>
          <w:sz w:val="21"/>
          <w:szCs w:val="18"/>
          <w:highlight w:val="none"/>
          <w:u w:val="single" w:color="auto"/>
          <w:lang w:val="en-US" w:eastAsia="zh-CN"/>
        </w:rPr>
        <w:t>18</w:t>
      </w:r>
      <w:r>
        <w:rPr>
          <w:rFonts w:hint="default" w:ascii="Times New Roman" w:hAnsi="Times New Roman" w:eastAsia="宋体" w:cs="Times New Roman"/>
          <w:b/>
          <w:color w:val="auto"/>
          <w:sz w:val="21"/>
          <w:szCs w:val="18"/>
          <w:highlight w:val="none"/>
          <w:u w:val="single" w:color="auto"/>
        </w:rPr>
        <w:t>本项目土壤环境影响预测结果单位：mg/kg</w:t>
      </w:r>
    </w:p>
    <w:tbl>
      <w:tblPr>
        <w:tblStyle w:val="24"/>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42"/>
        <w:gridCol w:w="1133"/>
        <w:gridCol w:w="1129"/>
        <w:gridCol w:w="1139"/>
        <w:gridCol w:w="1520"/>
        <w:gridCol w:w="1064"/>
        <w:gridCol w:w="1295"/>
      </w:tblGrid>
      <w:tr w14:paraId="1C01E6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728" w:type="pct"/>
            <w:shd w:val="clear" w:color="auto" w:fill="auto"/>
            <w:vAlign w:val="center"/>
          </w:tcPr>
          <w:p w14:paraId="38BF572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预测年份</w:t>
            </w:r>
          </w:p>
        </w:tc>
        <w:tc>
          <w:tcPr>
            <w:tcW w:w="664" w:type="pct"/>
            <w:shd w:val="clear" w:color="auto" w:fill="auto"/>
            <w:vAlign w:val="center"/>
          </w:tcPr>
          <w:p w14:paraId="0A3E650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污染物</w:t>
            </w:r>
          </w:p>
        </w:tc>
        <w:tc>
          <w:tcPr>
            <w:tcW w:w="662" w:type="pct"/>
            <w:shd w:val="clear" w:color="auto" w:fill="auto"/>
            <w:vAlign w:val="center"/>
          </w:tcPr>
          <w:p w14:paraId="0670B38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背景值</w:t>
            </w:r>
          </w:p>
        </w:tc>
        <w:tc>
          <w:tcPr>
            <w:tcW w:w="668" w:type="pct"/>
            <w:shd w:val="clear" w:color="auto" w:fill="auto"/>
            <w:vAlign w:val="center"/>
          </w:tcPr>
          <w:p w14:paraId="4393CCF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贡献值</w:t>
            </w:r>
          </w:p>
        </w:tc>
        <w:tc>
          <w:tcPr>
            <w:tcW w:w="891" w:type="pct"/>
            <w:shd w:val="clear" w:color="auto" w:fill="auto"/>
            <w:vAlign w:val="center"/>
          </w:tcPr>
          <w:p w14:paraId="72D2E24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叠加预测值</w:t>
            </w:r>
          </w:p>
        </w:tc>
        <w:tc>
          <w:tcPr>
            <w:tcW w:w="624" w:type="pct"/>
            <w:shd w:val="clear" w:color="auto" w:fill="auto"/>
            <w:vAlign w:val="center"/>
          </w:tcPr>
          <w:p w14:paraId="112D7AB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标准值</w:t>
            </w:r>
          </w:p>
        </w:tc>
        <w:tc>
          <w:tcPr>
            <w:tcW w:w="759" w:type="pct"/>
            <w:shd w:val="clear" w:color="auto" w:fill="auto"/>
            <w:vAlign w:val="center"/>
          </w:tcPr>
          <w:p w14:paraId="4A647AE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达标情况</w:t>
            </w:r>
          </w:p>
        </w:tc>
      </w:tr>
      <w:tr w14:paraId="389DD4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728" w:type="pct"/>
            <w:shd w:val="clear" w:color="auto" w:fill="auto"/>
            <w:vAlign w:val="center"/>
          </w:tcPr>
          <w:p w14:paraId="20867F7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第1年</w:t>
            </w:r>
          </w:p>
        </w:tc>
        <w:tc>
          <w:tcPr>
            <w:tcW w:w="664" w:type="pct"/>
            <w:vMerge w:val="restart"/>
            <w:shd w:val="clear" w:color="auto" w:fill="auto"/>
            <w:vAlign w:val="center"/>
          </w:tcPr>
          <w:p w14:paraId="11381A2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镍</w:t>
            </w:r>
          </w:p>
        </w:tc>
        <w:tc>
          <w:tcPr>
            <w:tcW w:w="662" w:type="pct"/>
            <w:vMerge w:val="restart"/>
            <w:shd w:val="clear" w:color="auto" w:fill="auto"/>
            <w:vAlign w:val="center"/>
          </w:tcPr>
          <w:p w14:paraId="4AAFD12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Cs w:val="21"/>
                <w:highlight w:val="none"/>
                <w:u w:val="single" w:color="auto"/>
                <w:lang w:val="en-US" w:eastAsia="zh-CN"/>
              </w:rPr>
              <w:t>8</w:t>
            </w:r>
          </w:p>
        </w:tc>
        <w:tc>
          <w:tcPr>
            <w:tcW w:w="668" w:type="pct"/>
            <w:shd w:val="clear" w:color="auto" w:fill="auto"/>
            <w:vAlign w:val="center"/>
          </w:tcPr>
          <w:p w14:paraId="24A6A2A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0.003</w:t>
            </w:r>
          </w:p>
        </w:tc>
        <w:tc>
          <w:tcPr>
            <w:tcW w:w="891" w:type="pct"/>
            <w:shd w:val="clear" w:color="auto" w:fill="auto"/>
            <w:vAlign w:val="center"/>
          </w:tcPr>
          <w:p w14:paraId="33F42C5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8.003</w:t>
            </w:r>
          </w:p>
        </w:tc>
        <w:tc>
          <w:tcPr>
            <w:tcW w:w="624" w:type="pct"/>
            <w:vMerge w:val="restart"/>
            <w:shd w:val="clear" w:color="auto" w:fill="auto"/>
            <w:vAlign w:val="center"/>
          </w:tcPr>
          <w:p w14:paraId="2EA7214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900</w:t>
            </w:r>
          </w:p>
        </w:tc>
        <w:tc>
          <w:tcPr>
            <w:tcW w:w="759" w:type="pct"/>
            <w:shd w:val="clear" w:color="auto" w:fill="auto"/>
            <w:vAlign w:val="center"/>
          </w:tcPr>
          <w:p w14:paraId="5350434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达标</w:t>
            </w:r>
          </w:p>
        </w:tc>
      </w:tr>
      <w:tr w14:paraId="3E051A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728" w:type="pct"/>
            <w:shd w:val="clear" w:color="auto" w:fill="auto"/>
            <w:vAlign w:val="center"/>
          </w:tcPr>
          <w:p w14:paraId="668F201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第5年</w:t>
            </w:r>
          </w:p>
        </w:tc>
        <w:tc>
          <w:tcPr>
            <w:tcW w:w="664" w:type="pct"/>
            <w:vMerge w:val="continue"/>
            <w:shd w:val="clear" w:color="auto" w:fill="auto"/>
            <w:vAlign w:val="center"/>
          </w:tcPr>
          <w:p w14:paraId="6ABB126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p>
        </w:tc>
        <w:tc>
          <w:tcPr>
            <w:tcW w:w="662" w:type="pct"/>
            <w:vMerge w:val="continue"/>
            <w:shd w:val="clear" w:color="auto" w:fill="auto"/>
            <w:vAlign w:val="center"/>
          </w:tcPr>
          <w:p w14:paraId="04F9657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p>
        </w:tc>
        <w:tc>
          <w:tcPr>
            <w:tcW w:w="668" w:type="pct"/>
            <w:shd w:val="clear" w:color="auto" w:fill="auto"/>
            <w:vAlign w:val="center"/>
          </w:tcPr>
          <w:p w14:paraId="087364C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0.015</w:t>
            </w:r>
          </w:p>
        </w:tc>
        <w:tc>
          <w:tcPr>
            <w:tcW w:w="891" w:type="pct"/>
            <w:shd w:val="clear" w:color="auto" w:fill="auto"/>
            <w:vAlign w:val="center"/>
          </w:tcPr>
          <w:p w14:paraId="19DBD54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8.015</w:t>
            </w:r>
          </w:p>
        </w:tc>
        <w:tc>
          <w:tcPr>
            <w:tcW w:w="624" w:type="pct"/>
            <w:vMerge w:val="continue"/>
            <w:shd w:val="clear" w:color="auto" w:fill="auto"/>
            <w:vAlign w:val="center"/>
          </w:tcPr>
          <w:p w14:paraId="70A5D99C">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p>
        </w:tc>
        <w:tc>
          <w:tcPr>
            <w:tcW w:w="759" w:type="pct"/>
            <w:shd w:val="clear" w:color="auto" w:fill="auto"/>
            <w:vAlign w:val="center"/>
          </w:tcPr>
          <w:p w14:paraId="023AA0E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达标</w:t>
            </w:r>
          </w:p>
        </w:tc>
      </w:tr>
      <w:tr w14:paraId="783222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728" w:type="pct"/>
            <w:shd w:val="clear" w:color="auto" w:fill="auto"/>
            <w:vAlign w:val="center"/>
          </w:tcPr>
          <w:p w14:paraId="6DA69607">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第10年</w:t>
            </w:r>
          </w:p>
        </w:tc>
        <w:tc>
          <w:tcPr>
            <w:tcW w:w="664" w:type="pct"/>
            <w:vMerge w:val="continue"/>
            <w:shd w:val="clear" w:color="auto" w:fill="auto"/>
            <w:vAlign w:val="center"/>
          </w:tcPr>
          <w:p w14:paraId="217B9D60">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p>
        </w:tc>
        <w:tc>
          <w:tcPr>
            <w:tcW w:w="662" w:type="pct"/>
            <w:vMerge w:val="continue"/>
            <w:shd w:val="clear" w:color="auto" w:fill="auto"/>
            <w:vAlign w:val="center"/>
          </w:tcPr>
          <w:p w14:paraId="4702F38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p>
        </w:tc>
        <w:tc>
          <w:tcPr>
            <w:tcW w:w="668" w:type="pct"/>
            <w:shd w:val="clear" w:color="auto" w:fill="auto"/>
            <w:vAlign w:val="center"/>
          </w:tcPr>
          <w:p w14:paraId="01A689C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0.03</w:t>
            </w:r>
          </w:p>
        </w:tc>
        <w:tc>
          <w:tcPr>
            <w:tcW w:w="891" w:type="pct"/>
            <w:shd w:val="clear" w:color="auto" w:fill="auto"/>
            <w:vAlign w:val="center"/>
          </w:tcPr>
          <w:p w14:paraId="38A86DC9">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8.03</w:t>
            </w:r>
          </w:p>
        </w:tc>
        <w:tc>
          <w:tcPr>
            <w:tcW w:w="624" w:type="pct"/>
            <w:vMerge w:val="continue"/>
            <w:shd w:val="clear" w:color="auto" w:fill="auto"/>
            <w:vAlign w:val="center"/>
          </w:tcPr>
          <w:p w14:paraId="4B0B7A6A">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p>
        </w:tc>
        <w:tc>
          <w:tcPr>
            <w:tcW w:w="759" w:type="pct"/>
            <w:shd w:val="clear" w:color="auto" w:fill="auto"/>
            <w:vAlign w:val="center"/>
          </w:tcPr>
          <w:p w14:paraId="0201D47E">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达标</w:t>
            </w:r>
          </w:p>
        </w:tc>
      </w:tr>
      <w:tr w14:paraId="4975CF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728" w:type="pct"/>
            <w:shd w:val="clear" w:color="auto" w:fill="auto"/>
            <w:vAlign w:val="center"/>
          </w:tcPr>
          <w:p w14:paraId="1E4C0534">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第20年</w:t>
            </w:r>
          </w:p>
        </w:tc>
        <w:tc>
          <w:tcPr>
            <w:tcW w:w="664" w:type="pct"/>
            <w:vMerge w:val="continue"/>
            <w:shd w:val="clear" w:color="auto" w:fill="auto"/>
            <w:vAlign w:val="center"/>
          </w:tcPr>
          <w:p w14:paraId="66A3E2E5">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p>
        </w:tc>
        <w:tc>
          <w:tcPr>
            <w:tcW w:w="662" w:type="pct"/>
            <w:vMerge w:val="continue"/>
            <w:shd w:val="clear" w:color="auto" w:fill="auto"/>
            <w:vAlign w:val="center"/>
          </w:tcPr>
          <w:p w14:paraId="241BFFBD">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p>
        </w:tc>
        <w:tc>
          <w:tcPr>
            <w:tcW w:w="668" w:type="pct"/>
            <w:shd w:val="clear" w:color="auto" w:fill="auto"/>
            <w:vAlign w:val="center"/>
          </w:tcPr>
          <w:p w14:paraId="22BDF4F6">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0.06</w:t>
            </w:r>
          </w:p>
        </w:tc>
        <w:tc>
          <w:tcPr>
            <w:tcW w:w="891" w:type="pct"/>
            <w:shd w:val="clear" w:color="auto" w:fill="auto"/>
            <w:vAlign w:val="center"/>
          </w:tcPr>
          <w:p w14:paraId="70EAAFBF">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z w:val="21"/>
                <w:szCs w:val="21"/>
                <w:highlight w:val="none"/>
                <w:u w:val="single" w:color="auto"/>
                <w:lang w:val="en-US" w:eastAsia="zh-CN"/>
              </w:rPr>
            </w:pPr>
            <w:r>
              <w:rPr>
                <w:rFonts w:hint="default" w:ascii="Times New Roman" w:hAnsi="Times New Roman" w:cs="Times New Roman"/>
                <w:color w:val="auto"/>
                <w:sz w:val="21"/>
                <w:szCs w:val="21"/>
                <w:highlight w:val="none"/>
                <w:u w:val="single" w:color="auto"/>
                <w:lang w:val="en-US" w:eastAsia="zh-CN"/>
              </w:rPr>
              <w:t>8.06</w:t>
            </w:r>
          </w:p>
        </w:tc>
        <w:tc>
          <w:tcPr>
            <w:tcW w:w="624" w:type="pct"/>
            <w:vMerge w:val="continue"/>
            <w:shd w:val="clear" w:color="auto" w:fill="auto"/>
            <w:vAlign w:val="center"/>
          </w:tcPr>
          <w:p w14:paraId="1164E2B2">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p>
        </w:tc>
        <w:tc>
          <w:tcPr>
            <w:tcW w:w="759" w:type="pct"/>
            <w:shd w:val="clear" w:color="auto" w:fill="auto"/>
            <w:vAlign w:val="center"/>
          </w:tcPr>
          <w:p w14:paraId="7F4A2F31">
            <w:pPr>
              <w:pStyle w:val="49"/>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达标</w:t>
            </w:r>
          </w:p>
        </w:tc>
      </w:tr>
    </w:tbl>
    <w:p w14:paraId="49D12745">
      <w:pPr>
        <w:spacing w:line="440" w:lineRule="exact"/>
        <w:ind w:firstLine="561"/>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rPr>
        <w:t>根据上表，</w:t>
      </w:r>
      <w:r>
        <w:rPr>
          <w:rFonts w:hint="default" w:ascii="Times New Roman" w:hAnsi="Times New Roman" w:eastAsia="宋体" w:cs="Times New Roman"/>
          <w:color w:val="auto"/>
          <w:sz w:val="24"/>
          <w:szCs w:val="24"/>
          <w:highlight w:val="none"/>
          <w:u w:val="single" w:color="auto"/>
          <w:lang w:eastAsia="zh-CN"/>
        </w:rPr>
        <w:t>镍</w:t>
      </w:r>
      <w:r>
        <w:rPr>
          <w:rFonts w:hint="default" w:ascii="Times New Roman" w:hAnsi="Times New Roman" w:eastAsia="宋体" w:cs="Times New Roman"/>
          <w:color w:val="auto"/>
          <w:sz w:val="24"/>
          <w:szCs w:val="24"/>
          <w:highlight w:val="none"/>
          <w:u w:val="single" w:color="auto"/>
        </w:rPr>
        <w:t>的预测结果低于《土壤环境质量建设用地土壤污染风险管控标准》（GB36600-2018）第二类用地筛选值，根据《环境影响评价技术导则土壤环境（试行）》（HJ964-2018）：建设用地土壤中污染物含量等于低于风险筛选值的，建设用地土壤污染风险一般情况下可以忽略。因此，本项目对周边土壤环境的影响较小</w:t>
      </w:r>
      <w:r>
        <w:rPr>
          <w:rFonts w:hint="default" w:ascii="Times New Roman" w:hAnsi="Times New Roman" w:eastAsia="宋体" w:cs="Times New Roman"/>
          <w:color w:val="auto"/>
          <w:sz w:val="24"/>
          <w:szCs w:val="24"/>
          <w:highlight w:val="none"/>
          <w:u w:val="single" w:color="auto"/>
          <w:lang w:eastAsia="zh-CN"/>
        </w:rPr>
        <w:t>。</w:t>
      </w:r>
    </w:p>
    <w:p w14:paraId="23EDC335">
      <w:pPr>
        <w:spacing w:line="440" w:lineRule="exact"/>
        <w:ind w:firstLine="561"/>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为进一步减小本项目对土壤环境的影响，本环评建议建设单位应采取加强厂区绿化等措施，通过植被的吸附净化作用，进一步减小废气对土壤环境的影响。 同时加强废水、危险废物、化学品等事故泄露情况，杜绝地面漫流及入渗途径对周围土壤环境的影响。</w:t>
      </w:r>
    </w:p>
    <w:p w14:paraId="682CF69E">
      <w:pPr>
        <w:spacing w:line="440" w:lineRule="exact"/>
        <w:ind w:firstLine="561"/>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rPr>
        <w:t>综上，本项目对周围土壤环境的影响较小。</w:t>
      </w:r>
    </w:p>
    <w:p w14:paraId="6183C967">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7.2.7 生态环境影响</w:t>
      </w:r>
    </w:p>
    <w:p w14:paraId="38D4C3F3">
      <w:pPr>
        <w:spacing w:line="440" w:lineRule="exact"/>
        <w:ind w:firstLine="561"/>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松木经济开发区所在区域已开发建成的区域有明显的人类活动干扰痕迹，动植物数量锐减，分布的植被以人工城市绿化带的植被为主，而未开发的区域内植被和动植物情况基本保持原貌，分布的植被多为松散的灌丛，间有马尾松、杉木、油茶、柑桔、茶树等疏林地及蔬菜等农作物。据调查，评价区域内无珍稀、濒危植物及国家法规保护的植物资源</w:t>
      </w:r>
      <w:r>
        <w:rPr>
          <w:rFonts w:hint="default" w:ascii="Times New Roman" w:hAnsi="Times New Roman" w:eastAsia="宋体" w:cs="Times New Roman"/>
          <w:color w:val="auto"/>
          <w:sz w:val="24"/>
          <w:szCs w:val="24"/>
          <w:highlight w:val="none"/>
          <w:u w:val="none" w:color="auto"/>
        </w:rPr>
        <w:t>。</w:t>
      </w:r>
    </w:p>
    <w:p w14:paraId="4BC203BF">
      <w:pPr>
        <w:spacing w:line="440" w:lineRule="exact"/>
        <w:ind w:firstLine="561"/>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本评价建议建设单位在厂区内及周围种植灌木、花草等植被，既可美化景观，又可以吸收净化废气。</w:t>
      </w:r>
    </w:p>
    <w:p w14:paraId="739D2570">
      <w:pPr>
        <w:pStyle w:val="15"/>
        <w:rPr>
          <w:rFonts w:hint="default" w:ascii="Times New Roman" w:hAnsi="Times New Roman" w:cs="Times New Roman"/>
          <w:color w:val="auto"/>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2F5F18C">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val="en-US" w:eastAsia="zh-CN"/>
        </w:rPr>
      </w:pPr>
      <w:bookmarkStart w:id="78" w:name="_Toc54079923"/>
      <w:bookmarkStart w:id="79" w:name="_Toc4358"/>
      <w:bookmarkStart w:id="80" w:name="_Toc480366186"/>
      <w:r>
        <w:rPr>
          <w:rFonts w:hint="default" w:ascii="Times New Roman" w:hAnsi="Times New Roman" w:eastAsia="宋体" w:cs="Times New Roman"/>
          <w:color w:val="auto"/>
          <w:sz w:val="32"/>
          <w:szCs w:val="32"/>
          <w:highlight w:val="none"/>
          <w:u w:val="none" w:color="auto"/>
          <w:lang w:val="en-US" w:eastAsia="zh-CN"/>
        </w:rPr>
        <w:t>8环境风险评价</w:t>
      </w:r>
      <w:bookmarkEnd w:id="78"/>
      <w:bookmarkEnd w:id="79"/>
      <w:bookmarkEnd w:id="80"/>
    </w:p>
    <w:p w14:paraId="709CB446">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81" w:name="_Toc3277"/>
      <w:bookmarkStart w:id="82" w:name="_Toc7902590"/>
      <w:bookmarkStart w:id="83" w:name="_Toc54079924"/>
      <w:r>
        <w:rPr>
          <w:rFonts w:hint="default" w:ascii="Times New Roman" w:hAnsi="Times New Roman" w:eastAsia="宋体" w:cs="Times New Roman"/>
          <w:color w:val="auto"/>
          <w:sz w:val="28"/>
          <w:szCs w:val="28"/>
          <w:highlight w:val="none"/>
          <w:u w:val="none" w:color="auto"/>
          <w:lang w:val="en-US" w:eastAsia="zh-CN"/>
        </w:rPr>
        <w:t>8.1环境风险潜势分析及评价等级判定</w:t>
      </w:r>
      <w:bookmarkEnd w:id="81"/>
      <w:bookmarkEnd w:id="82"/>
      <w:bookmarkEnd w:id="83"/>
    </w:p>
    <w:p w14:paraId="31A602DC">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8.1.1环境风险潜势分析</w:t>
      </w:r>
    </w:p>
    <w:p w14:paraId="07C117E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8.1.1.1危险物质及工艺系统危害性（P）等级分析</w:t>
      </w:r>
    </w:p>
    <w:p w14:paraId="3C65769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（1）危险物质数量与临界量比值（Q）</w:t>
      </w:r>
    </w:p>
    <w:p w14:paraId="39CC570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计算项目所涉及的每种危险物质在厂界内的最大存在总量与其在《建设项目环境风险评价技术导则》（HJ169-2018）附录B中对应临界量的比值Q。计算公式如公式如下：</w:t>
      </w:r>
    </w:p>
    <w:p w14:paraId="322C22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drawing>
          <wp:inline distT="0" distB="0" distL="0" distR="0">
            <wp:extent cx="1471295" cy="469265"/>
            <wp:effectExtent l="0" t="0" r="0" b="6350"/>
            <wp:docPr id="18"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5"/>
                    <pic:cNvPicPr>
                      <a:picLocks noChangeAspect="1" noChangeArrowheads="1"/>
                    </pic:cNvPicPr>
                  </pic:nvPicPr>
                  <pic:blipFill>
                    <a:blip r:embed="rId62" cstate="print"/>
                    <a:srcRect/>
                    <a:stretch>
                      <a:fillRect/>
                    </a:stretch>
                  </pic:blipFill>
                  <pic:spPr>
                    <a:xfrm>
                      <a:off x="0" y="0"/>
                      <a:ext cx="1471295" cy="469265"/>
                    </a:xfrm>
                    <a:prstGeom prst="rect">
                      <a:avLst/>
                    </a:prstGeom>
                    <a:noFill/>
                    <a:ln w="9525">
                      <a:noFill/>
                      <a:miter lim="800000"/>
                      <a:headEnd/>
                      <a:tailEnd/>
                    </a:ln>
                  </pic:spPr>
                </pic:pic>
              </a:graphicData>
            </a:graphic>
          </wp:inline>
        </w:drawing>
      </w:r>
    </w:p>
    <w:p w14:paraId="7F8C25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式中：q</w:t>
      </w:r>
      <w:r>
        <w:rPr>
          <w:rFonts w:hint="default" w:ascii="Times New Roman" w:hAnsi="Times New Roman" w:eastAsia="宋体" w:cs="Times New Roman"/>
          <w:color w:val="auto"/>
          <w:sz w:val="24"/>
          <w:szCs w:val="24"/>
          <w:highlight w:val="none"/>
          <w:u w:val="none" w:color="auto"/>
          <w:vertAlign w:val="subscript"/>
        </w:rPr>
        <w:t>1</w:t>
      </w:r>
      <w:r>
        <w:rPr>
          <w:rFonts w:hint="default" w:ascii="Times New Roman" w:hAnsi="Times New Roman" w:eastAsia="宋体" w:cs="Times New Roman"/>
          <w:color w:val="auto"/>
          <w:sz w:val="24"/>
          <w:szCs w:val="24"/>
          <w:highlight w:val="none"/>
          <w:u w:val="none" w:color="auto"/>
        </w:rPr>
        <w:t>, q</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 ..., q</w:t>
      </w:r>
      <w:r>
        <w:rPr>
          <w:rFonts w:hint="default" w:ascii="Times New Roman" w:hAnsi="Times New Roman" w:eastAsia="宋体" w:cs="Times New Roman"/>
          <w:color w:val="auto"/>
          <w:sz w:val="24"/>
          <w:szCs w:val="24"/>
          <w:highlight w:val="none"/>
          <w:u w:val="none" w:color="auto"/>
          <w:vertAlign w:val="subscript"/>
        </w:rPr>
        <w:t>n</w:t>
      </w:r>
      <w:r>
        <w:rPr>
          <w:rFonts w:hint="default" w:ascii="Times New Roman" w:hAnsi="Times New Roman" w:eastAsia="宋体" w:cs="Times New Roman"/>
          <w:color w:val="auto"/>
          <w:sz w:val="24"/>
          <w:szCs w:val="24"/>
          <w:highlight w:val="none"/>
          <w:u w:val="none" w:color="auto"/>
        </w:rPr>
        <w:t>—每种危险物质的最大存在量，t；</w:t>
      </w:r>
    </w:p>
    <w:p w14:paraId="52CA54C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 xml:space="preserve">      Q</w:t>
      </w:r>
      <w:r>
        <w:rPr>
          <w:rFonts w:hint="default" w:ascii="Times New Roman" w:hAnsi="Times New Roman" w:eastAsia="宋体" w:cs="Times New Roman"/>
          <w:color w:val="auto"/>
          <w:sz w:val="24"/>
          <w:szCs w:val="24"/>
          <w:highlight w:val="none"/>
          <w:u w:val="none" w:color="auto"/>
          <w:vertAlign w:val="subscript"/>
        </w:rPr>
        <w:t>1</w:t>
      </w:r>
      <w:r>
        <w:rPr>
          <w:rFonts w:hint="default" w:ascii="Times New Roman" w:hAnsi="Times New Roman" w:eastAsia="宋体" w:cs="Times New Roman"/>
          <w:color w:val="auto"/>
          <w:sz w:val="24"/>
          <w:szCs w:val="24"/>
          <w:highlight w:val="none"/>
          <w:u w:val="none" w:color="auto"/>
        </w:rPr>
        <w:t>, Q</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 ..., Q</w:t>
      </w:r>
      <w:r>
        <w:rPr>
          <w:rFonts w:hint="default" w:ascii="Times New Roman" w:hAnsi="Times New Roman" w:eastAsia="宋体" w:cs="Times New Roman"/>
          <w:color w:val="auto"/>
          <w:sz w:val="24"/>
          <w:szCs w:val="24"/>
          <w:highlight w:val="none"/>
          <w:u w:val="none" w:color="auto"/>
          <w:vertAlign w:val="subscript"/>
        </w:rPr>
        <w:t>n</w:t>
      </w:r>
      <w:r>
        <w:rPr>
          <w:rFonts w:hint="default" w:ascii="Times New Roman" w:hAnsi="Times New Roman" w:eastAsia="宋体" w:cs="Times New Roman"/>
          <w:color w:val="auto"/>
          <w:sz w:val="24"/>
          <w:szCs w:val="24"/>
          <w:highlight w:val="none"/>
          <w:u w:val="none" w:color="auto"/>
        </w:rPr>
        <w:t>—每种危险物质的临界量，t。</w:t>
      </w:r>
    </w:p>
    <w:p w14:paraId="59C5946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当Q &lt; 1时，该项目环境风险潜势为Ⅰ；</w:t>
      </w:r>
    </w:p>
    <w:p w14:paraId="5397D74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当Q≥1时，将Q值划分为：</w:t>
      </w:r>
    </w:p>
    <w:p w14:paraId="15DB79B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①1≤Q &lt; 10</w:t>
      </w:r>
    </w:p>
    <w:p w14:paraId="311B804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②10≤Q &lt;100</w:t>
      </w:r>
    </w:p>
    <w:p w14:paraId="2B4EA11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③Q≥100</w:t>
      </w:r>
    </w:p>
    <w:p w14:paraId="12CEA61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本项目原辅料主要原辅料包括：45#圆钢</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铝棒</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铝锭</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金刚石</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镍板</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硫酸镍</w:t>
      </w:r>
      <w:r>
        <w:rPr>
          <w:rFonts w:hint="default" w:ascii="Times New Roman" w:hAnsi="Times New Roman" w:eastAsia="宋体" w:cs="Times New Roman"/>
          <w:color w:val="auto"/>
          <w:sz w:val="24"/>
          <w:szCs w:val="24"/>
          <w:highlight w:val="none"/>
          <w:u w:val="none" w:color="auto"/>
          <w:lang w:eastAsia="zh-CN"/>
        </w:rPr>
        <w:t>、氨基磺酸、</w:t>
      </w:r>
      <w:r>
        <w:rPr>
          <w:rFonts w:hint="default" w:ascii="Times New Roman" w:hAnsi="Times New Roman" w:eastAsia="宋体" w:cs="Times New Roman"/>
          <w:color w:val="auto"/>
          <w:sz w:val="24"/>
          <w:szCs w:val="24"/>
          <w:highlight w:val="none"/>
          <w:u w:val="none" w:color="auto"/>
        </w:rPr>
        <w:t>氯化镍</w:t>
      </w:r>
      <w:r>
        <w:rPr>
          <w:rFonts w:hint="default" w:ascii="Times New Roman" w:hAnsi="Times New Roman" w:eastAsia="宋体" w:cs="Times New Roman"/>
          <w:color w:val="auto"/>
          <w:sz w:val="24"/>
          <w:szCs w:val="24"/>
          <w:highlight w:val="none"/>
          <w:u w:val="none" w:color="auto"/>
          <w:lang w:eastAsia="zh-CN"/>
        </w:rPr>
        <w:t>、硅酸钠</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亚硝酸钠</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活性炭</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糖精</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光亮剂</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硫酸铜、</w:t>
      </w:r>
      <w:r>
        <w:rPr>
          <w:rFonts w:hint="default" w:ascii="Times New Roman" w:hAnsi="Times New Roman" w:eastAsia="宋体" w:cs="Times New Roman"/>
          <w:color w:val="auto"/>
          <w:sz w:val="24"/>
          <w:szCs w:val="24"/>
          <w:highlight w:val="none"/>
          <w:u w:val="none" w:color="auto"/>
        </w:rPr>
        <w:t>氯化钠</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硼酸</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盐酸</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硫酸</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硝酸</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氢氧化钠</w:t>
      </w:r>
      <w:r>
        <w:rPr>
          <w:rFonts w:hint="default" w:ascii="Times New Roman" w:hAnsi="Times New Roman" w:eastAsia="宋体" w:cs="Times New Roman"/>
          <w:color w:val="auto"/>
          <w:sz w:val="24"/>
          <w:szCs w:val="24"/>
          <w:highlight w:val="none"/>
          <w:u w:val="none" w:color="auto"/>
          <w:lang w:eastAsia="zh-CN"/>
        </w:rPr>
        <w:t>、碳酸钠</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硝酸钠</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十二烷基硫酸钠</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1-4丁炔二醇</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切削液</w:t>
      </w:r>
      <w:r>
        <w:rPr>
          <w:rFonts w:hint="default" w:ascii="Times New Roman" w:hAnsi="Times New Roman" w:eastAsia="宋体" w:cs="Times New Roman"/>
          <w:color w:val="auto"/>
          <w:sz w:val="24"/>
          <w:szCs w:val="24"/>
          <w:highlight w:val="none"/>
          <w:u w:val="none" w:color="auto"/>
          <w:lang w:val="en-US" w:eastAsia="zh-CN"/>
        </w:rPr>
        <w:t>、铜板、立方氮化硼、硼酸、磷酸三钠、酒石酸钾钠、树脂粉、铜粉、镍粉、锡粉、氧化锌</w:t>
      </w:r>
      <w:r>
        <w:rPr>
          <w:rFonts w:hint="default" w:ascii="Times New Roman" w:hAnsi="Times New Roman" w:eastAsia="宋体" w:cs="Times New Roman"/>
          <w:color w:val="auto"/>
          <w:sz w:val="24"/>
          <w:szCs w:val="24"/>
          <w:highlight w:val="none"/>
          <w:u w:val="none" w:color="auto"/>
        </w:rPr>
        <w:t>等。</w:t>
      </w:r>
    </w:p>
    <w:p w14:paraId="440481D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本项目危险物质物质的Q值详见下表。</w:t>
      </w:r>
    </w:p>
    <w:p w14:paraId="647E2A9D">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.1-1 建设</w:t>
      </w:r>
      <w:r>
        <w:rPr>
          <w:rFonts w:hint="default" w:ascii="Times New Roman" w:hAnsi="Times New Roman" w:eastAsia="宋体" w:cs="Times New Roman"/>
          <w:b/>
          <w:color w:val="auto"/>
          <w:sz w:val="21"/>
          <w:szCs w:val="18"/>
          <w:highlight w:val="none"/>
          <w:u w:val="none" w:color="auto"/>
          <w:lang w:val="en-US" w:eastAsia="zh-CN"/>
        </w:rPr>
        <w:t>项目</w:t>
      </w:r>
      <w:r>
        <w:rPr>
          <w:rFonts w:hint="default" w:ascii="Times New Roman" w:hAnsi="Times New Roman" w:eastAsia="宋体" w:cs="Times New Roman"/>
          <w:b/>
          <w:color w:val="auto"/>
          <w:sz w:val="21"/>
          <w:szCs w:val="18"/>
          <w:highlight w:val="none"/>
          <w:u w:val="none" w:color="auto"/>
        </w:rPr>
        <w:t>Q值确定表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1"/>
        <w:gridCol w:w="1735"/>
        <w:gridCol w:w="1734"/>
        <w:gridCol w:w="1261"/>
        <w:gridCol w:w="1419"/>
        <w:gridCol w:w="1176"/>
      </w:tblGrid>
      <w:tr w14:paraId="12A81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751" w:type="dxa"/>
            <w:vMerge w:val="restart"/>
            <w:vAlign w:val="center"/>
          </w:tcPr>
          <w:p w14:paraId="5A2E8B1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735" w:type="dxa"/>
            <w:vMerge w:val="restart"/>
            <w:vAlign w:val="center"/>
          </w:tcPr>
          <w:p w14:paraId="4AFF1CD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危险物质</w:t>
            </w:r>
          </w:p>
          <w:p w14:paraId="727A722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名称</w:t>
            </w:r>
          </w:p>
        </w:tc>
        <w:tc>
          <w:tcPr>
            <w:tcW w:w="1734" w:type="dxa"/>
            <w:vMerge w:val="restart"/>
            <w:vAlign w:val="center"/>
          </w:tcPr>
          <w:p w14:paraId="2D3EB2B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CAS号</w:t>
            </w:r>
          </w:p>
        </w:tc>
        <w:tc>
          <w:tcPr>
            <w:tcW w:w="1261" w:type="dxa"/>
            <w:vMerge w:val="restart"/>
            <w:vAlign w:val="center"/>
          </w:tcPr>
          <w:p w14:paraId="0515024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临界量Qi（t）</w:t>
            </w:r>
          </w:p>
        </w:tc>
        <w:tc>
          <w:tcPr>
            <w:tcW w:w="1419" w:type="dxa"/>
            <w:vMerge w:val="restart"/>
            <w:tcBorders>
              <w:right w:val="single" w:color="auto" w:sz="4" w:space="0"/>
            </w:tcBorders>
            <w:vAlign w:val="center"/>
          </w:tcPr>
          <w:p w14:paraId="75CE142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最大存在量qi（t）</w:t>
            </w:r>
          </w:p>
        </w:tc>
        <w:tc>
          <w:tcPr>
            <w:tcW w:w="1176" w:type="dxa"/>
            <w:vMerge w:val="restart"/>
            <w:vAlign w:val="center"/>
          </w:tcPr>
          <w:p w14:paraId="36DEF0E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qi/Qi</w:t>
            </w:r>
          </w:p>
        </w:tc>
      </w:tr>
      <w:tr w14:paraId="46356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751" w:type="dxa"/>
            <w:vMerge w:val="continue"/>
            <w:vAlign w:val="center"/>
          </w:tcPr>
          <w:p w14:paraId="2FAE6BDA">
            <w:pPr>
              <w:widowControl/>
              <w:spacing w:line="240" w:lineRule="auto"/>
              <w:rPr>
                <w:rFonts w:hint="default" w:ascii="Times New Roman" w:hAnsi="Times New Roman" w:eastAsia="宋体" w:cs="Times New Roman"/>
                <w:color w:val="auto"/>
                <w:sz w:val="21"/>
                <w:szCs w:val="21"/>
                <w:highlight w:val="none"/>
                <w:u w:val="none" w:color="auto"/>
              </w:rPr>
            </w:pPr>
          </w:p>
        </w:tc>
        <w:tc>
          <w:tcPr>
            <w:tcW w:w="1735" w:type="dxa"/>
            <w:vMerge w:val="continue"/>
            <w:vAlign w:val="center"/>
          </w:tcPr>
          <w:p w14:paraId="3FEDB3F9">
            <w:pPr>
              <w:widowControl/>
              <w:spacing w:line="240" w:lineRule="auto"/>
              <w:rPr>
                <w:rFonts w:hint="default" w:ascii="Times New Roman" w:hAnsi="Times New Roman" w:eastAsia="宋体" w:cs="Times New Roman"/>
                <w:color w:val="auto"/>
                <w:sz w:val="21"/>
                <w:szCs w:val="21"/>
                <w:highlight w:val="none"/>
                <w:u w:val="none" w:color="auto"/>
              </w:rPr>
            </w:pPr>
          </w:p>
        </w:tc>
        <w:tc>
          <w:tcPr>
            <w:tcW w:w="1734" w:type="dxa"/>
            <w:vMerge w:val="continue"/>
            <w:vAlign w:val="center"/>
          </w:tcPr>
          <w:p w14:paraId="48941277">
            <w:pPr>
              <w:widowControl/>
              <w:spacing w:line="240" w:lineRule="auto"/>
              <w:rPr>
                <w:rFonts w:hint="default" w:ascii="Times New Roman" w:hAnsi="Times New Roman" w:eastAsia="宋体" w:cs="Times New Roman"/>
                <w:color w:val="auto"/>
                <w:sz w:val="21"/>
                <w:szCs w:val="21"/>
                <w:highlight w:val="none"/>
                <w:u w:val="none" w:color="auto"/>
              </w:rPr>
            </w:pPr>
          </w:p>
        </w:tc>
        <w:tc>
          <w:tcPr>
            <w:tcW w:w="1261" w:type="dxa"/>
            <w:vMerge w:val="continue"/>
            <w:vAlign w:val="center"/>
          </w:tcPr>
          <w:p w14:paraId="16CBCFCF">
            <w:pPr>
              <w:widowControl/>
              <w:spacing w:line="240" w:lineRule="auto"/>
              <w:rPr>
                <w:rFonts w:hint="default" w:ascii="Times New Roman" w:hAnsi="Times New Roman" w:eastAsia="宋体" w:cs="Times New Roman"/>
                <w:color w:val="auto"/>
                <w:sz w:val="21"/>
                <w:szCs w:val="21"/>
                <w:highlight w:val="none"/>
                <w:u w:val="none" w:color="auto"/>
              </w:rPr>
            </w:pPr>
          </w:p>
        </w:tc>
        <w:tc>
          <w:tcPr>
            <w:tcW w:w="1419" w:type="dxa"/>
            <w:vMerge w:val="continue"/>
            <w:tcBorders>
              <w:right w:val="single" w:color="auto" w:sz="4" w:space="0"/>
            </w:tcBorders>
            <w:vAlign w:val="center"/>
          </w:tcPr>
          <w:p w14:paraId="5BD341C9">
            <w:pPr>
              <w:spacing w:line="240" w:lineRule="auto"/>
              <w:jc w:val="center"/>
              <w:rPr>
                <w:rFonts w:hint="default" w:ascii="Times New Roman" w:hAnsi="Times New Roman" w:eastAsia="宋体" w:cs="Times New Roman"/>
                <w:color w:val="auto"/>
                <w:sz w:val="21"/>
                <w:szCs w:val="21"/>
                <w:highlight w:val="none"/>
                <w:u w:val="none" w:color="auto"/>
              </w:rPr>
            </w:pPr>
          </w:p>
        </w:tc>
        <w:tc>
          <w:tcPr>
            <w:tcW w:w="1176" w:type="dxa"/>
            <w:vMerge w:val="continue"/>
            <w:vAlign w:val="center"/>
          </w:tcPr>
          <w:p w14:paraId="7E3003A3">
            <w:pPr>
              <w:widowControl/>
              <w:spacing w:line="240" w:lineRule="auto"/>
              <w:rPr>
                <w:rFonts w:hint="default" w:ascii="Times New Roman" w:hAnsi="Times New Roman" w:eastAsia="宋体" w:cs="Times New Roman"/>
                <w:color w:val="auto"/>
                <w:sz w:val="21"/>
                <w:szCs w:val="21"/>
                <w:highlight w:val="none"/>
                <w:u w:val="none" w:color="auto"/>
              </w:rPr>
            </w:pPr>
          </w:p>
        </w:tc>
      </w:tr>
      <w:tr w14:paraId="5DAFD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751" w:type="dxa"/>
            <w:vAlign w:val="center"/>
          </w:tcPr>
          <w:p w14:paraId="672C7823">
            <w:pPr>
              <w:spacing w:line="240" w:lineRule="auto"/>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w:t>
            </w:r>
          </w:p>
        </w:tc>
        <w:tc>
          <w:tcPr>
            <w:tcW w:w="1735" w:type="dxa"/>
            <w:vAlign w:val="center"/>
          </w:tcPr>
          <w:p w14:paraId="57BDC68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硫酸镍</w:t>
            </w:r>
          </w:p>
        </w:tc>
        <w:tc>
          <w:tcPr>
            <w:tcW w:w="1734" w:type="dxa"/>
            <w:vAlign w:val="center"/>
          </w:tcPr>
          <w:p w14:paraId="306A9C6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7786-81-4</w:t>
            </w:r>
          </w:p>
        </w:tc>
        <w:tc>
          <w:tcPr>
            <w:tcW w:w="1261" w:type="dxa"/>
            <w:vAlign w:val="center"/>
          </w:tcPr>
          <w:p w14:paraId="5D17477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0.25</w:t>
            </w:r>
          </w:p>
        </w:tc>
        <w:tc>
          <w:tcPr>
            <w:tcW w:w="1419" w:type="dxa"/>
            <w:vAlign w:val="center"/>
          </w:tcPr>
          <w:p w14:paraId="05F0F97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16</w:t>
            </w:r>
          </w:p>
        </w:tc>
        <w:tc>
          <w:tcPr>
            <w:tcW w:w="1176" w:type="dxa"/>
            <w:vAlign w:val="center"/>
          </w:tcPr>
          <w:p w14:paraId="2A22E84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64</w:t>
            </w:r>
          </w:p>
        </w:tc>
      </w:tr>
      <w:tr w14:paraId="39222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751" w:type="dxa"/>
            <w:vAlign w:val="center"/>
          </w:tcPr>
          <w:p w14:paraId="2423485D">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2</w:t>
            </w:r>
          </w:p>
        </w:tc>
        <w:tc>
          <w:tcPr>
            <w:tcW w:w="1735" w:type="dxa"/>
            <w:vAlign w:val="center"/>
          </w:tcPr>
          <w:p w14:paraId="448E0EC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氯化镍</w:t>
            </w:r>
          </w:p>
        </w:tc>
        <w:tc>
          <w:tcPr>
            <w:tcW w:w="1734" w:type="dxa"/>
            <w:vAlign w:val="center"/>
          </w:tcPr>
          <w:p w14:paraId="7D5E5B7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7718-54-9</w:t>
            </w:r>
          </w:p>
        </w:tc>
        <w:tc>
          <w:tcPr>
            <w:tcW w:w="1261" w:type="dxa"/>
            <w:vAlign w:val="center"/>
          </w:tcPr>
          <w:p w14:paraId="381AF32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0.25</w:t>
            </w:r>
          </w:p>
        </w:tc>
        <w:tc>
          <w:tcPr>
            <w:tcW w:w="1419" w:type="dxa"/>
            <w:vAlign w:val="center"/>
          </w:tcPr>
          <w:p w14:paraId="4CD224E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3</w:t>
            </w:r>
          </w:p>
        </w:tc>
        <w:tc>
          <w:tcPr>
            <w:tcW w:w="1176" w:type="dxa"/>
            <w:vAlign w:val="center"/>
          </w:tcPr>
          <w:p w14:paraId="2D24ED8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12</w:t>
            </w:r>
          </w:p>
        </w:tc>
      </w:tr>
      <w:tr w14:paraId="1C5B2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751" w:type="dxa"/>
            <w:vAlign w:val="center"/>
          </w:tcPr>
          <w:p w14:paraId="44CA28C5">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3</w:t>
            </w:r>
          </w:p>
        </w:tc>
        <w:tc>
          <w:tcPr>
            <w:tcW w:w="1735" w:type="dxa"/>
            <w:vAlign w:val="center"/>
          </w:tcPr>
          <w:p w14:paraId="311F799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镍及其化合物（</w:t>
            </w:r>
            <w:r>
              <w:rPr>
                <w:rFonts w:hint="default" w:ascii="Times New Roman" w:hAnsi="Times New Roman" w:eastAsia="宋体" w:cs="Times New Roman"/>
                <w:color w:val="auto"/>
                <w:sz w:val="21"/>
                <w:szCs w:val="21"/>
                <w:highlight w:val="none"/>
                <w:u w:val="none" w:color="auto"/>
              </w:rPr>
              <w:t>以镍计）</w:t>
            </w:r>
          </w:p>
        </w:tc>
        <w:tc>
          <w:tcPr>
            <w:tcW w:w="1734" w:type="dxa"/>
            <w:vAlign w:val="center"/>
          </w:tcPr>
          <w:p w14:paraId="3822A0B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1261" w:type="dxa"/>
            <w:vAlign w:val="center"/>
          </w:tcPr>
          <w:p w14:paraId="597D3E4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0.25</w:t>
            </w:r>
          </w:p>
        </w:tc>
        <w:tc>
          <w:tcPr>
            <w:tcW w:w="1419" w:type="dxa"/>
            <w:vAlign w:val="center"/>
          </w:tcPr>
          <w:p w14:paraId="3D37C39F">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0.3</w:t>
            </w:r>
          </w:p>
        </w:tc>
        <w:tc>
          <w:tcPr>
            <w:tcW w:w="1176" w:type="dxa"/>
            <w:vAlign w:val="center"/>
          </w:tcPr>
          <w:p w14:paraId="1DD063B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1.2</w:t>
            </w:r>
          </w:p>
        </w:tc>
      </w:tr>
      <w:tr w14:paraId="2F0F1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5" w:hRule="atLeast"/>
          <w:jc w:val="center"/>
        </w:trPr>
        <w:tc>
          <w:tcPr>
            <w:tcW w:w="751" w:type="dxa"/>
            <w:vAlign w:val="center"/>
          </w:tcPr>
          <w:p w14:paraId="3F0EC205">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4</w:t>
            </w:r>
          </w:p>
        </w:tc>
        <w:tc>
          <w:tcPr>
            <w:tcW w:w="1735" w:type="dxa"/>
            <w:vAlign w:val="center"/>
          </w:tcPr>
          <w:p w14:paraId="12A3696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硫酸铜（以铜离子计）</w:t>
            </w:r>
          </w:p>
        </w:tc>
        <w:tc>
          <w:tcPr>
            <w:tcW w:w="1734" w:type="dxa"/>
            <w:vAlign w:val="center"/>
          </w:tcPr>
          <w:p w14:paraId="671E63F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1261" w:type="dxa"/>
            <w:vAlign w:val="center"/>
          </w:tcPr>
          <w:p w14:paraId="40D7F3A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0.25</w:t>
            </w:r>
          </w:p>
        </w:tc>
        <w:tc>
          <w:tcPr>
            <w:tcW w:w="1419" w:type="dxa"/>
            <w:vAlign w:val="center"/>
          </w:tcPr>
          <w:p w14:paraId="703FC8C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1176" w:type="dxa"/>
            <w:vAlign w:val="center"/>
          </w:tcPr>
          <w:p w14:paraId="7DF8871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4</w:t>
            </w:r>
          </w:p>
        </w:tc>
      </w:tr>
      <w:tr w14:paraId="40587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751" w:type="dxa"/>
            <w:vAlign w:val="center"/>
          </w:tcPr>
          <w:p w14:paraId="656D788C">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5</w:t>
            </w:r>
          </w:p>
        </w:tc>
        <w:tc>
          <w:tcPr>
            <w:tcW w:w="1735" w:type="dxa"/>
            <w:vAlign w:val="center"/>
          </w:tcPr>
          <w:p w14:paraId="7077161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w:t>
            </w:r>
          </w:p>
        </w:tc>
        <w:tc>
          <w:tcPr>
            <w:tcW w:w="1734" w:type="dxa"/>
            <w:vAlign w:val="center"/>
          </w:tcPr>
          <w:p w14:paraId="3FAAF04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7664-93-9</w:t>
            </w:r>
          </w:p>
        </w:tc>
        <w:tc>
          <w:tcPr>
            <w:tcW w:w="1261" w:type="dxa"/>
            <w:vAlign w:val="center"/>
          </w:tcPr>
          <w:p w14:paraId="5474A4B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c>
          <w:tcPr>
            <w:tcW w:w="1419" w:type="dxa"/>
            <w:vAlign w:val="center"/>
          </w:tcPr>
          <w:p w14:paraId="6F0A939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15</w:t>
            </w:r>
          </w:p>
        </w:tc>
        <w:tc>
          <w:tcPr>
            <w:tcW w:w="1176" w:type="dxa"/>
            <w:vAlign w:val="center"/>
          </w:tcPr>
          <w:p w14:paraId="12B2ACC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1.5</w:t>
            </w:r>
          </w:p>
        </w:tc>
      </w:tr>
      <w:tr w14:paraId="0F2FC5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751" w:type="dxa"/>
            <w:vAlign w:val="center"/>
          </w:tcPr>
          <w:p w14:paraId="345D5CAC">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6</w:t>
            </w:r>
          </w:p>
        </w:tc>
        <w:tc>
          <w:tcPr>
            <w:tcW w:w="1735" w:type="dxa"/>
            <w:vAlign w:val="center"/>
          </w:tcPr>
          <w:p w14:paraId="6EBEE87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硝酸</w:t>
            </w:r>
          </w:p>
        </w:tc>
        <w:tc>
          <w:tcPr>
            <w:tcW w:w="1734" w:type="dxa"/>
            <w:vAlign w:val="center"/>
          </w:tcPr>
          <w:p w14:paraId="56488B5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7697-37-2</w:t>
            </w:r>
          </w:p>
        </w:tc>
        <w:tc>
          <w:tcPr>
            <w:tcW w:w="1261" w:type="dxa"/>
            <w:vAlign w:val="center"/>
          </w:tcPr>
          <w:p w14:paraId="47F12F4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w:t>
            </w:r>
          </w:p>
        </w:tc>
        <w:tc>
          <w:tcPr>
            <w:tcW w:w="1419" w:type="dxa"/>
            <w:vAlign w:val="center"/>
          </w:tcPr>
          <w:p w14:paraId="58F2705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4</w:t>
            </w:r>
          </w:p>
        </w:tc>
        <w:tc>
          <w:tcPr>
            <w:tcW w:w="1176" w:type="dxa"/>
            <w:vAlign w:val="center"/>
          </w:tcPr>
          <w:p w14:paraId="104885D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0.533</w:t>
            </w:r>
          </w:p>
        </w:tc>
      </w:tr>
      <w:tr w14:paraId="483FB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751" w:type="dxa"/>
            <w:vAlign w:val="center"/>
          </w:tcPr>
          <w:p w14:paraId="5903614B">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7</w:t>
            </w:r>
          </w:p>
        </w:tc>
        <w:tc>
          <w:tcPr>
            <w:tcW w:w="1735" w:type="dxa"/>
            <w:vAlign w:val="center"/>
          </w:tcPr>
          <w:p w14:paraId="24F2BC6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盐酸</w:t>
            </w:r>
          </w:p>
        </w:tc>
        <w:tc>
          <w:tcPr>
            <w:tcW w:w="1734" w:type="dxa"/>
            <w:vAlign w:val="center"/>
          </w:tcPr>
          <w:p w14:paraId="2D5C251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7647-01-0</w:t>
            </w:r>
          </w:p>
        </w:tc>
        <w:tc>
          <w:tcPr>
            <w:tcW w:w="1261" w:type="dxa"/>
            <w:vAlign w:val="center"/>
          </w:tcPr>
          <w:p w14:paraId="18085D0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w:t>
            </w:r>
          </w:p>
        </w:tc>
        <w:tc>
          <w:tcPr>
            <w:tcW w:w="1419" w:type="dxa"/>
            <w:vAlign w:val="center"/>
          </w:tcPr>
          <w:p w14:paraId="103428D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19</w:t>
            </w:r>
          </w:p>
        </w:tc>
        <w:tc>
          <w:tcPr>
            <w:tcW w:w="1176" w:type="dxa"/>
            <w:vAlign w:val="center"/>
          </w:tcPr>
          <w:p w14:paraId="678084E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2.533</w:t>
            </w:r>
          </w:p>
        </w:tc>
      </w:tr>
      <w:tr w14:paraId="666FB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5" w:hRule="atLeast"/>
          <w:jc w:val="center"/>
        </w:trPr>
        <w:tc>
          <w:tcPr>
            <w:tcW w:w="751" w:type="dxa"/>
            <w:vAlign w:val="center"/>
          </w:tcPr>
          <w:p w14:paraId="6E67C8F5">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8</w:t>
            </w:r>
          </w:p>
        </w:tc>
        <w:tc>
          <w:tcPr>
            <w:tcW w:w="1735" w:type="dxa"/>
            <w:vAlign w:val="center"/>
          </w:tcPr>
          <w:p w14:paraId="13B064D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铜粉（以铜离子计）</w:t>
            </w:r>
          </w:p>
        </w:tc>
        <w:tc>
          <w:tcPr>
            <w:tcW w:w="1734" w:type="dxa"/>
            <w:vAlign w:val="center"/>
          </w:tcPr>
          <w:p w14:paraId="3593410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261" w:type="dxa"/>
            <w:vAlign w:val="center"/>
          </w:tcPr>
          <w:p w14:paraId="5FCCB54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0.25</w:t>
            </w:r>
          </w:p>
        </w:tc>
        <w:tc>
          <w:tcPr>
            <w:tcW w:w="1419" w:type="dxa"/>
            <w:vAlign w:val="center"/>
          </w:tcPr>
          <w:p w14:paraId="13CAF68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w:t>
            </w:r>
          </w:p>
        </w:tc>
        <w:tc>
          <w:tcPr>
            <w:tcW w:w="1176" w:type="dxa"/>
            <w:vAlign w:val="center"/>
          </w:tcPr>
          <w:p w14:paraId="6B85E0F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4</w:t>
            </w:r>
          </w:p>
        </w:tc>
      </w:tr>
      <w:tr w14:paraId="14CFE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4" w:hRule="atLeast"/>
          <w:jc w:val="center"/>
        </w:trPr>
        <w:tc>
          <w:tcPr>
            <w:tcW w:w="751" w:type="dxa"/>
            <w:vAlign w:val="center"/>
          </w:tcPr>
          <w:p w14:paraId="21BAC8A7">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9</w:t>
            </w:r>
          </w:p>
        </w:tc>
        <w:tc>
          <w:tcPr>
            <w:tcW w:w="1735" w:type="dxa"/>
            <w:vAlign w:val="center"/>
          </w:tcPr>
          <w:p w14:paraId="0E41C3C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光亮剂、1-4丁炔二醇、切削液、</w:t>
            </w:r>
            <w:r>
              <w:rPr>
                <w:rFonts w:hint="default" w:ascii="Times New Roman" w:hAnsi="Times New Roman" w:eastAsia="宋体" w:cs="Times New Roman"/>
                <w:color w:val="auto"/>
                <w:sz w:val="21"/>
                <w:szCs w:val="21"/>
                <w:highlight w:val="none"/>
                <w:u w:val="none" w:color="auto"/>
                <w:lang w:val="en-US" w:eastAsia="zh-CN"/>
              </w:rPr>
              <w:t>磷酸三钠</w:t>
            </w:r>
            <w:r>
              <w:rPr>
                <w:rFonts w:hint="default" w:ascii="Times New Roman" w:hAnsi="Times New Roman" w:eastAsia="宋体" w:cs="Times New Roman"/>
                <w:color w:val="auto"/>
                <w:sz w:val="21"/>
                <w:szCs w:val="21"/>
                <w:highlight w:val="none"/>
                <w:u w:val="none" w:color="auto"/>
                <w:lang w:eastAsia="zh-CN"/>
              </w:rPr>
              <w:t>等</w:t>
            </w:r>
          </w:p>
        </w:tc>
        <w:tc>
          <w:tcPr>
            <w:tcW w:w="1734" w:type="dxa"/>
            <w:vAlign w:val="center"/>
          </w:tcPr>
          <w:p w14:paraId="1A8306F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1261" w:type="dxa"/>
            <w:vAlign w:val="center"/>
          </w:tcPr>
          <w:p w14:paraId="5330AB7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w:t>
            </w:r>
          </w:p>
        </w:tc>
        <w:tc>
          <w:tcPr>
            <w:tcW w:w="1419" w:type="dxa"/>
            <w:vAlign w:val="center"/>
          </w:tcPr>
          <w:p w14:paraId="3062CD9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33.5</w:t>
            </w:r>
          </w:p>
        </w:tc>
        <w:tc>
          <w:tcPr>
            <w:tcW w:w="1176" w:type="dxa"/>
            <w:vAlign w:val="center"/>
          </w:tcPr>
          <w:p w14:paraId="3847D7D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0.335</w:t>
            </w:r>
          </w:p>
        </w:tc>
      </w:tr>
      <w:tr w14:paraId="667C4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900" w:type="dxa"/>
            <w:gridSpan w:val="5"/>
            <w:tcBorders>
              <w:right w:val="single" w:color="auto" w:sz="4" w:space="0"/>
            </w:tcBorders>
            <w:vAlign w:val="center"/>
          </w:tcPr>
          <w:p w14:paraId="09060B76">
            <w:pPr>
              <w:spacing w:line="240" w:lineRule="auto"/>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eastAsia="zh-CN"/>
              </w:rPr>
              <w:t>合计</w:t>
            </w:r>
          </w:p>
        </w:tc>
        <w:tc>
          <w:tcPr>
            <w:tcW w:w="1176" w:type="dxa"/>
            <w:vAlign w:val="center"/>
          </w:tcPr>
          <w:p w14:paraId="00E0FE1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90.</w:t>
            </w:r>
            <w:r>
              <w:rPr>
                <w:rFonts w:hint="eastAsia" w:ascii="Times New Roman" w:hAnsi="Times New Roman" w:eastAsia="宋体" w:cs="Times New Roman"/>
                <w:color w:val="auto"/>
                <w:sz w:val="21"/>
                <w:szCs w:val="21"/>
                <w:highlight w:val="none"/>
                <w:u w:val="none" w:color="auto"/>
                <w:lang w:val="en-US" w:eastAsia="zh-CN"/>
              </w:rPr>
              <w:t>10</w:t>
            </w:r>
            <w:r>
              <w:rPr>
                <w:rFonts w:hint="default" w:ascii="Times New Roman" w:hAnsi="Times New Roman" w:eastAsia="宋体" w:cs="Times New Roman"/>
                <w:color w:val="auto"/>
                <w:sz w:val="21"/>
                <w:szCs w:val="21"/>
                <w:highlight w:val="none"/>
                <w:u w:val="none" w:color="auto"/>
                <w:lang w:val="en-US" w:eastAsia="zh-CN"/>
              </w:rPr>
              <w:t>1</w:t>
            </w:r>
          </w:p>
        </w:tc>
      </w:tr>
      <w:tr w14:paraId="3064F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8076" w:type="dxa"/>
            <w:gridSpan w:val="6"/>
            <w:vAlign w:val="center"/>
          </w:tcPr>
          <w:p w14:paraId="516512ED">
            <w:pPr>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备注：</w:t>
            </w:r>
            <w:r>
              <w:rPr>
                <w:rFonts w:hint="default" w:ascii="Times New Roman" w:hAnsi="Times New Roman" w:eastAsia="宋体" w:cs="Times New Roman"/>
                <w:color w:val="auto"/>
                <w:sz w:val="21"/>
                <w:szCs w:val="21"/>
                <w:highlight w:val="none"/>
                <w:u w:val="none" w:color="auto"/>
                <w:lang w:eastAsia="zh-CN"/>
              </w:rPr>
              <w:t>氨基磺酸</w:t>
            </w:r>
            <w:r>
              <w:rPr>
                <w:rFonts w:hint="default" w:ascii="Times New Roman" w:hAnsi="Times New Roman" w:eastAsia="宋体" w:cs="Times New Roman"/>
                <w:color w:val="auto"/>
                <w:sz w:val="21"/>
                <w:szCs w:val="21"/>
                <w:highlight w:val="none"/>
                <w:u w:val="none" w:color="auto"/>
              </w:rPr>
              <w:t>、光亮剂、1-4丁炔二醇、切削液</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磷酸三钠</w:t>
            </w:r>
            <w:r>
              <w:rPr>
                <w:rFonts w:hint="default" w:ascii="Times New Roman" w:hAnsi="Times New Roman" w:eastAsia="宋体" w:cs="Times New Roman"/>
                <w:color w:val="auto"/>
                <w:sz w:val="21"/>
                <w:szCs w:val="21"/>
                <w:highlight w:val="none"/>
                <w:u w:val="none" w:color="auto"/>
              </w:rPr>
              <w:t>等计入危害水环境物质，临界量为100</w:t>
            </w:r>
          </w:p>
        </w:tc>
      </w:tr>
    </w:tbl>
    <w:p w14:paraId="5C28DA8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根据上表，本项目危险物质与临界量比值的Q=</w:t>
      </w:r>
      <w:r>
        <w:rPr>
          <w:rFonts w:hint="default" w:ascii="Times New Roman" w:hAnsi="Times New Roman" w:eastAsia="宋体" w:cs="Times New Roman"/>
          <w:color w:val="auto"/>
          <w:sz w:val="24"/>
          <w:szCs w:val="24"/>
          <w:highlight w:val="none"/>
          <w:u w:val="none" w:color="auto"/>
          <w:lang w:val="en-US" w:eastAsia="zh-CN"/>
        </w:rPr>
        <w:t>90.</w:t>
      </w:r>
      <w:r>
        <w:rPr>
          <w:rFonts w:hint="eastAsia" w:ascii="Times New Roman" w:hAnsi="Times New Roman" w:eastAsia="宋体" w:cs="Times New Roman"/>
          <w:color w:val="auto"/>
          <w:sz w:val="24"/>
          <w:szCs w:val="24"/>
          <w:highlight w:val="none"/>
          <w:u w:val="none" w:color="auto"/>
          <w:lang w:val="en-US" w:eastAsia="zh-CN"/>
        </w:rPr>
        <w:t>10</w:t>
      </w: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rPr>
        <w:t>，属“10≤Q &lt;100”。</w:t>
      </w:r>
    </w:p>
    <w:p w14:paraId="613642C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（2）行业及生产工艺（M）</w:t>
      </w:r>
    </w:p>
    <w:p w14:paraId="2005FEF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本项目所属行业及生产工艺（M）分析情况详见下表。</w:t>
      </w:r>
    </w:p>
    <w:p w14:paraId="72566516">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.1-2 项目所属行业及生产工艺评估</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0"/>
        <w:gridCol w:w="4392"/>
        <w:gridCol w:w="994"/>
        <w:gridCol w:w="1418"/>
        <w:gridCol w:w="758"/>
      </w:tblGrid>
      <w:tr w14:paraId="3CF156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3" w:type="pct"/>
            <w:vAlign w:val="center"/>
          </w:tcPr>
          <w:p w14:paraId="06E56C31">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行业</w:t>
            </w:r>
          </w:p>
        </w:tc>
        <w:tc>
          <w:tcPr>
            <w:tcW w:w="2577" w:type="pct"/>
            <w:vAlign w:val="center"/>
          </w:tcPr>
          <w:p w14:paraId="03BD0C88">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评估依据</w:t>
            </w:r>
          </w:p>
        </w:tc>
        <w:tc>
          <w:tcPr>
            <w:tcW w:w="583" w:type="pct"/>
            <w:vAlign w:val="center"/>
          </w:tcPr>
          <w:p w14:paraId="330BD4CB">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分值</w:t>
            </w:r>
          </w:p>
        </w:tc>
        <w:tc>
          <w:tcPr>
            <w:tcW w:w="832" w:type="pct"/>
            <w:vAlign w:val="center"/>
          </w:tcPr>
          <w:p w14:paraId="3115757A">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项目情况</w:t>
            </w:r>
          </w:p>
        </w:tc>
        <w:tc>
          <w:tcPr>
            <w:tcW w:w="445" w:type="pct"/>
            <w:vAlign w:val="center"/>
          </w:tcPr>
          <w:p w14:paraId="431AF443">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得分</w:t>
            </w:r>
          </w:p>
        </w:tc>
      </w:tr>
      <w:tr w14:paraId="28EAA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563" w:type="pct"/>
            <w:vMerge w:val="restart"/>
            <w:vAlign w:val="center"/>
          </w:tcPr>
          <w:p w14:paraId="5B0B0B04">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石化、化工、医药、轻工、化纤、有色冶炼等</w:t>
            </w:r>
          </w:p>
        </w:tc>
        <w:tc>
          <w:tcPr>
            <w:tcW w:w="2577" w:type="pct"/>
            <w:vAlign w:val="center"/>
          </w:tcPr>
          <w:p w14:paraId="7FC011EA">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583" w:type="pct"/>
            <w:vAlign w:val="center"/>
          </w:tcPr>
          <w:p w14:paraId="108AF1D1">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10/每套</w:t>
            </w:r>
          </w:p>
        </w:tc>
        <w:tc>
          <w:tcPr>
            <w:tcW w:w="832" w:type="pct"/>
            <w:vAlign w:val="center"/>
          </w:tcPr>
          <w:p w14:paraId="408C276A">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本项目不涉及</w:t>
            </w:r>
          </w:p>
        </w:tc>
        <w:tc>
          <w:tcPr>
            <w:tcW w:w="445" w:type="pct"/>
            <w:vAlign w:val="center"/>
          </w:tcPr>
          <w:p w14:paraId="1B60E374">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w:t>
            </w:r>
          </w:p>
        </w:tc>
      </w:tr>
      <w:tr w14:paraId="54050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563" w:type="pct"/>
            <w:vMerge w:val="continue"/>
            <w:vAlign w:val="center"/>
          </w:tcPr>
          <w:p w14:paraId="366FF243">
            <w:pPr>
              <w:widowControl/>
              <w:spacing w:line="240" w:lineRule="auto"/>
              <w:rPr>
                <w:rFonts w:hint="default" w:ascii="Times New Roman" w:hAnsi="Times New Roman" w:eastAsia="宋体" w:cs="Times New Roman"/>
                <w:color w:val="auto"/>
                <w:kern w:val="0"/>
                <w:sz w:val="21"/>
                <w:szCs w:val="21"/>
                <w:highlight w:val="none"/>
                <w:u w:val="none" w:color="auto"/>
              </w:rPr>
            </w:pPr>
          </w:p>
        </w:tc>
        <w:tc>
          <w:tcPr>
            <w:tcW w:w="2577" w:type="pct"/>
            <w:vAlign w:val="center"/>
          </w:tcPr>
          <w:p w14:paraId="5FB7021E">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无机酸制酸工艺、焦化工艺</w:t>
            </w:r>
          </w:p>
        </w:tc>
        <w:tc>
          <w:tcPr>
            <w:tcW w:w="583" w:type="pct"/>
            <w:vAlign w:val="center"/>
          </w:tcPr>
          <w:p w14:paraId="2DEE34FC">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5/套</w:t>
            </w:r>
          </w:p>
        </w:tc>
        <w:tc>
          <w:tcPr>
            <w:tcW w:w="832" w:type="pct"/>
            <w:vAlign w:val="center"/>
          </w:tcPr>
          <w:p w14:paraId="381DA3D2">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本项目不涉及</w:t>
            </w:r>
          </w:p>
        </w:tc>
        <w:tc>
          <w:tcPr>
            <w:tcW w:w="445" w:type="pct"/>
            <w:vAlign w:val="center"/>
          </w:tcPr>
          <w:p w14:paraId="6E71BB8B">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w:t>
            </w:r>
          </w:p>
        </w:tc>
      </w:tr>
      <w:tr w14:paraId="15B2E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563" w:type="pct"/>
            <w:vMerge w:val="continue"/>
            <w:vAlign w:val="center"/>
          </w:tcPr>
          <w:p w14:paraId="5B985E6C">
            <w:pPr>
              <w:widowControl/>
              <w:spacing w:line="240" w:lineRule="auto"/>
              <w:rPr>
                <w:rFonts w:hint="default" w:ascii="Times New Roman" w:hAnsi="Times New Roman" w:eastAsia="宋体" w:cs="Times New Roman"/>
                <w:color w:val="auto"/>
                <w:kern w:val="0"/>
                <w:sz w:val="21"/>
                <w:szCs w:val="21"/>
                <w:highlight w:val="none"/>
                <w:u w:val="none" w:color="auto"/>
              </w:rPr>
            </w:pPr>
          </w:p>
        </w:tc>
        <w:tc>
          <w:tcPr>
            <w:tcW w:w="2577" w:type="pct"/>
            <w:vAlign w:val="center"/>
          </w:tcPr>
          <w:p w14:paraId="78BE52D7">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其他高温或高压，且涉及危险物质的工艺过程、危险物质贮存罐区</w:t>
            </w:r>
          </w:p>
        </w:tc>
        <w:tc>
          <w:tcPr>
            <w:tcW w:w="583" w:type="pct"/>
            <w:vAlign w:val="center"/>
          </w:tcPr>
          <w:p w14:paraId="52E70753">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5/套</w:t>
            </w:r>
          </w:p>
          <w:p w14:paraId="18E664D8">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（罐区）</w:t>
            </w:r>
          </w:p>
        </w:tc>
        <w:tc>
          <w:tcPr>
            <w:tcW w:w="832" w:type="pct"/>
            <w:vAlign w:val="center"/>
          </w:tcPr>
          <w:p w14:paraId="5F0EA712">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本项目不涉及</w:t>
            </w:r>
          </w:p>
        </w:tc>
        <w:tc>
          <w:tcPr>
            <w:tcW w:w="445" w:type="pct"/>
            <w:vAlign w:val="center"/>
          </w:tcPr>
          <w:p w14:paraId="65CE991B">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w:t>
            </w:r>
          </w:p>
        </w:tc>
      </w:tr>
      <w:tr w14:paraId="02CBC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3" w:type="pct"/>
            <w:vAlign w:val="center"/>
          </w:tcPr>
          <w:p w14:paraId="373A0742">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管道、港口/码头等</w:t>
            </w:r>
          </w:p>
        </w:tc>
        <w:tc>
          <w:tcPr>
            <w:tcW w:w="2577" w:type="pct"/>
            <w:vAlign w:val="center"/>
          </w:tcPr>
          <w:p w14:paraId="747BDF6C">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涉及危险物质管道运输项目、港口/码头等</w:t>
            </w:r>
          </w:p>
        </w:tc>
        <w:tc>
          <w:tcPr>
            <w:tcW w:w="583" w:type="pct"/>
            <w:vAlign w:val="center"/>
          </w:tcPr>
          <w:p w14:paraId="56204BAF">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w:t>
            </w:r>
          </w:p>
        </w:tc>
        <w:tc>
          <w:tcPr>
            <w:tcW w:w="832" w:type="pct"/>
            <w:vAlign w:val="center"/>
          </w:tcPr>
          <w:p w14:paraId="70ECFC47">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不涉及</w:t>
            </w:r>
          </w:p>
        </w:tc>
        <w:tc>
          <w:tcPr>
            <w:tcW w:w="445" w:type="pct"/>
            <w:vAlign w:val="center"/>
          </w:tcPr>
          <w:p w14:paraId="1B5CE867">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w:t>
            </w:r>
          </w:p>
        </w:tc>
      </w:tr>
      <w:tr w14:paraId="3043C0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3" w:type="pct"/>
            <w:vAlign w:val="center"/>
          </w:tcPr>
          <w:p w14:paraId="59E28102">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石油天然气</w:t>
            </w:r>
          </w:p>
        </w:tc>
        <w:tc>
          <w:tcPr>
            <w:tcW w:w="2577" w:type="pct"/>
            <w:vAlign w:val="center"/>
          </w:tcPr>
          <w:p w14:paraId="6E8C53A1">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石油、天然气、页岩气开采（含净化），气库（不含加气站的气库），油库（不含加气站的油库）、油气管线（不含城镇燃气管线）</w:t>
            </w:r>
          </w:p>
        </w:tc>
        <w:tc>
          <w:tcPr>
            <w:tcW w:w="583" w:type="pct"/>
            <w:vAlign w:val="center"/>
          </w:tcPr>
          <w:p w14:paraId="28507BD5">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w:t>
            </w:r>
          </w:p>
        </w:tc>
        <w:tc>
          <w:tcPr>
            <w:tcW w:w="832" w:type="pct"/>
            <w:vAlign w:val="center"/>
          </w:tcPr>
          <w:p w14:paraId="6CEC6697">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不涉及</w:t>
            </w:r>
          </w:p>
        </w:tc>
        <w:tc>
          <w:tcPr>
            <w:tcW w:w="445" w:type="pct"/>
            <w:vAlign w:val="center"/>
          </w:tcPr>
          <w:p w14:paraId="7259B159">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w:t>
            </w:r>
          </w:p>
        </w:tc>
      </w:tr>
      <w:tr w14:paraId="48517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3" w:type="pct"/>
            <w:vAlign w:val="center"/>
          </w:tcPr>
          <w:p w14:paraId="6D9580F8">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其他</w:t>
            </w:r>
          </w:p>
        </w:tc>
        <w:tc>
          <w:tcPr>
            <w:tcW w:w="2577" w:type="pct"/>
            <w:vAlign w:val="center"/>
          </w:tcPr>
          <w:p w14:paraId="78E7102D">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涉及危险物质使用、贮存的项目</w:t>
            </w:r>
          </w:p>
        </w:tc>
        <w:tc>
          <w:tcPr>
            <w:tcW w:w="583" w:type="pct"/>
            <w:vAlign w:val="center"/>
          </w:tcPr>
          <w:p w14:paraId="1D0608CD">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832" w:type="pct"/>
            <w:vAlign w:val="center"/>
          </w:tcPr>
          <w:p w14:paraId="5A8A66AE">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本项目涉及镍、硝酸、盐酸等风险物质的贮存、使用</w:t>
            </w:r>
          </w:p>
        </w:tc>
        <w:tc>
          <w:tcPr>
            <w:tcW w:w="445" w:type="pct"/>
            <w:vAlign w:val="center"/>
          </w:tcPr>
          <w:p w14:paraId="0B1BDCD9">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r>
    </w:tbl>
    <w:p w14:paraId="0EF7D55D">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.1-3企业生产工艺与大气环境风险控制水平</w:t>
      </w:r>
    </w:p>
    <w:tbl>
      <w:tblPr>
        <w:tblStyle w:val="2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071"/>
        <w:gridCol w:w="2898"/>
        <w:gridCol w:w="1367"/>
      </w:tblGrid>
      <w:tr w14:paraId="7A4601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442" w:type="pct"/>
            <w:vAlign w:val="center"/>
          </w:tcPr>
          <w:p w14:paraId="50DFF4B4">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pacing w:val="-1"/>
                <w:kern w:val="0"/>
                <w:sz w:val="21"/>
                <w:szCs w:val="21"/>
                <w:highlight w:val="none"/>
                <w:u w:val="none" w:color="auto"/>
              </w:rPr>
              <w:t>工</w:t>
            </w:r>
            <w:r>
              <w:rPr>
                <w:rFonts w:hint="default" w:ascii="Times New Roman" w:hAnsi="Times New Roman" w:eastAsia="宋体" w:cs="Times New Roman"/>
                <w:color w:val="auto"/>
                <w:spacing w:val="2"/>
                <w:kern w:val="0"/>
                <w:sz w:val="21"/>
                <w:szCs w:val="21"/>
                <w:highlight w:val="none"/>
                <w:u w:val="none" w:color="auto"/>
              </w:rPr>
              <w:t>艺</w:t>
            </w:r>
            <w:r>
              <w:rPr>
                <w:rFonts w:hint="default" w:ascii="Times New Roman" w:hAnsi="Times New Roman" w:eastAsia="宋体" w:cs="Times New Roman"/>
                <w:color w:val="auto"/>
                <w:spacing w:val="-1"/>
                <w:kern w:val="0"/>
                <w:sz w:val="21"/>
                <w:szCs w:val="21"/>
                <w:highlight w:val="none"/>
                <w:u w:val="none" w:color="auto"/>
              </w:rPr>
              <w:t>与</w:t>
            </w:r>
            <w:r>
              <w:rPr>
                <w:rFonts w:hint="default" w:ascii="Times New Roman" w:hAnsi="Times New Roman" w:eastAsia="宋体" w:cs="Times New Roman"/>
                <w:color w:val="auto"/>
                <w:spacing w:val="2"/>
                <w:kern w:val="0"/>
                <w:sz w:val="21"/>
                <w:szCs w:val="21"/>
                <w:highlight w:val="none"/>
                <w:u w:val="none" w:color="auto"/>
              </w:rPr>
              <w:t>环</w:t>
            </w:r>
            <w:r>
              <w:rPr>
                <w:rFonts w:hint="default" w:ascii="Times New Roman" w:hAnsi="Times New Roman" w:eastAsia="宋体" w:cs="Times New Roman"/>
                <w:color w:val="auto"/>
                <w:spacing w:val="-1"/>
                <w:kern w:val="0"/>
                <w:sz w:val="21"/>
                <w:szCs w:val="21"/>
                <w:highlight w:val="none"/>
                <w:u w:val="none" w:color="auto"/>
              </w:rPr>
              <w:t>境</w:t>
            </w:r>
            <w:r>
              <w:rPr>
                <w:rFonts w:hint="default" w:ascii="Times New Roman" w:hAnsi="Times New Roman" w:eastAsia="宋体" w:cs="Times New Roman"/>
                <w:color w:val="auto"/>
                <w:spacing w:val="2"/>
                <w:kern w:val="0"/>
                <w:sz w:val="21"/>
                <w:szCs w:val="21"/>
                <w:highlight w:val="none"/>
                <w:u w:val="none" w:color="auto"/>
              </w:rPr>
              <w:t>风</w:t>
            </w:r>
            <w:r>
              <w:rPr>
                <w:rFonts w:hint="default" w:ascii="Times New Roman" w:hAnsi="Times New Roman" w:eastAsia="宋体" w:cs="Times New Roman"/>
                <w:color w:val="auto"/>
                <w:spacing w:val="-1"/>
                <w:kern w:val="0"/>
                <w:sz w:val="21"/>
                <w:szCs w:val="21"/>
                <w:highlight w:val="none"/>
                <w:u w:val="none" w:color="auto"/>
              </w:rPr>
              <w:t>险</w:t>
            </w:r>
            <w:r>
              <w:rPr>
                <w:rFonts w:hint="default" w:ascii="Times New Roman" w:hAnsi="Times New Roman" w:eastAsia="宋体" w:cs="Times New Roman"/>
                <w:color w:val="auto"/>
                <w:spacing w:val="2"/>
                <w:kern w:val="0"/>
                <w:sz w:val="21"/>
                <w:szCs w:val="21"/>
                <w:highlight w:val="none"/>
                <w:u w:val="none" w:color="auto"/>
              </w:rPr>
              <w:t>控</w:t>
            </w:r>
            <w:r>
              <w:rPr>
                <w:rFonts w:hint="default" w:ascii="Times New Roman" w:hAnsi="Times New Roman" w:eastAsia="宋体" w:cs="Times New Roman"/>
                <w:color w:val="auto"/>
                <w:spacing w:val="-1"/>
                <w:kern w:val="0"/>
                <w:sz w:val="21"/>
                <w:szCs w:val="21"/>
                <w:highlight w:val="none"/>
                <w:u w:val="none" w:color="auto"/>
              </w:rPr>
              <w:t>制</w:t>
            </w:r>
            <w:r>
              <w:rPr>
                <w:rFonts w:hint="default" w:ascii="Times New Roman" w:hAnsi="Times New Roman" w:eastAsia="宋体" w:cs="Times New Roman"/>
                <w:color w:val="auto"/>
                <w:spacing w:val="2"/>
                <w:kern w:val="0"/>
                <w:sz w:val="21"/>
                <w:szCs w:val="21"/>
                <w:highlight w:val="none"/>
                <w:u w:val="none" w:color="auto"/>
              </w:rPr>
              <w:t>水</w:t>
            </w:r>
            <w:r>
              <w:rPr>
                <w:rFonts w:hint="default" w:ascii="Times New Roman" w:hAnsi="Times New Roman" w:eastAsia="宋体" w:cs="Times New Roman"/>
                <w:color w:val="auto"/>
                <w:spacing w:val="-1"/>
                <w:kern w:val="0"/>
                <w:sz w:val="21"/>
                <w:szCs w:val="21"/>
                <w:highlight w:val="none"/>
                <w:u w:val="none" w:color="auto"/>
              </w:rPr>
              <w:t>平</w:t>
            </w:r>
            <w:r>
              <w:rPr>
                <w:rFonts w:hint="default" w:ascii="Times New Roman" w:hAnsi="Times New Roman" w:eastAsia="宋体" w:cs="Times New Roman"/>
                <w:color w:val="auto"/>
                <w:spacing w:val="2"/>
                <w:kern w:val="0"/>
                <w:sz w:val="21"/>
                <w:szCs w:val="21"/>
                <w:highlight w:val="none"/>
                <w:u w:val="none" w:color="auto"/>
              </w:rPr>
              <w:t>值</w:t>
            </w:r>
            <w:r>
              <w:rPr>
                <w:rFonts w:hint="default" w:ascii="Times New Roman" w:hAnsi="Times New Roman" w:eastAsia="宋体" w:cs="Times New Roman"/>
                <w:color w:val="auto"/>
                <w:spacing w:val="-1"/>
                <w:kern w:val="0"/>
                <w:sz w:val="21"/>
                <w:szCs w:val="21"/>
                <w:highlight w:val="none"/>
                <w:u w:val="none" w:color="auto"/>
              </w:rPr>
              <w:t>（</w:t>
            </w:r>
            <w:r>
              <w:rPr>
                <w:rFonts w:hint="default" w:ascii="Times New Roman" w:hAnsi="Times New Roman" w:eastAsia="宋体" w:cs="Times New Roman"/>
                <w:color w:val="auto"/>
                <w:spacing w:val="1"/>
                <w:kern w:val="0"/>
                <w:sz w:val="21"/>
                <w:szCs w:val="21"/>
                <w:highlight w:val="none"/>
                <w:u w:val="none" w:color="auto"/>
              </w:rPr>
              <w:t>M</w:t>
            </w:r>
            <w:r>
              <w:rPr>
                <w:rFonts w:hint="default" w:ascii="Times New Roman" w:hAnsi="Times New Roman" w:eastAsia="宋体" w:cs="Times New Roman"/>
                <w:color w:val="auto"/>
                <w:kern w:val="0"/>
                <w:sz w:val="21"/>
                <w:szCs w:val="21"/>
                <w:highlight w:val="none"/>
                <w:u w:val="none" w:color="auto"/>
              </w:rPr>
              <w:t>）</w:t>
            </w:r>
          </w:p>
        </w:tc>
        <w:tc>
          <w:tcPr>
            <w:tcW w:w="1738" w:type="pct"/>
            <w:vAlign w:val="center"/>
          </w:tcPr>
          <w:p w14:paraId="0D34DE31">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pacing w:val="-1"/>
                <w:kern w:val="0"/>
                <w:sz w:val="21"/>
                <w:szCs w:val="21"/>
                <w:highlight w:val="none"/>
                <w:u w:val="none" w:color="auto"/>
              </w:rPr>
              <w:t>工</w:t>
            </w:r>
            <w:r>
              <w:rPr>
                <w:rFonts w:hint="default" w:ascii="Times New Roman" w:hAnsi="Times New Roman" w:eastAsia="宋体" w:cs="Times New Roman"/>
                <w:color w:val="auto"/>
                <w:spacing w:val="2"/>
                <w:kern w:val="0"/>
                <w:sz w:val="21"/>
                <w:szCs w:val="21"/>
                <w:highlight w:val="none"/>
                <w:u w:val="none" w:color="auto"/>
              </w:rPr>
              <w:t>艺</w:t>
            </w:r>
            <w:r>
              <w:rPr>
                <w:rFonts w:hint="default" w:ascii="Times New Roman" w:hAnsi="Times New Roman" w:eastAsia="宋体" w:cs="Times New Roman"/>
                <w:color w:val="auto"/>
                <w:spacing w:val="-1"/>
                <w:kern w:val="0"/>
                <w:sz w:val="21"/>
                <w:szCs w:val="21"/>
                <w:highlight w:val="none"/>
                <w:u w:val="none" w:color="auto"/>
              </w:rPr>
              <w:t>过</w:t>
            </w:r>
            <w:r>
              <w:rPr>
                <w:rFonts w:hint="default" w:ascii="Times New Roman" w:hAnsi="Times New Roman" w:eastAsia="宋体" w:cs="Times New Roman"/>
                <w:color w:val="auto"/>
                <w:spacing w:val="2"/>
                <w:kern w:val="0"/>
                <w:sz w:val="21"/>
                <w:szCs w:val="21"/>
                <w:highlight w:val="none"/>
                <w:u w:val="none" w:color="auto"/>
              </w:rPr>
              <w:t>程</w:t>
            </w:r>
            <w:r>
              <w:rPr>
                <w:rFonts w:hint="default" w:ascii="Times New Roman" w:hAnsi="Times New Roman" w:eastAsia="宋体" w:cs="Times New Roman"/>
                <w:color w:val="auto"/>
                <w:spacing w:val="-1"/>
                <w:kern w:val="0"/>
                <w:sz w:val="21"/>
                <w:szCs w:val="21"/>
                <w:highlight w:val="none"/>
                <w:u w:val="none" w:color="auto"/>
              </w:rPr>
              <w:t>与</w:t>
            </w:r>
            <w:r>
              <w:rPr>
                <w:rFonts w:hint="default" w:ascii="Times New Roman" w:hAnsi="Times New Roman" w:eastAsia="宋体" w:cs="Times New Roman"/>
                <w:color w:val="auto"/>
                <w:spacing w:val="2"/>
                <w:kern w:val="0"/>
                <w:sz w:val="21"/>
                <w:szCs w:val="21"/>
                <w:highlight w:val="none"/>
                <w:u w:val="none" w:color="auto"/>
              </w:rPr>
              <w:t>环</w:t>
            </w:r>
            <w:r>
              <w:rPr>
                <w:rFonts w:hint="default" w:ascii="Times New Roman" w:hAnsi="Times New Roman" w:eastAsia="宋体" w:cs="Times New Roman"/>
                <w:color w:val="auto"/>
                <w:spacing w:val="-1"/>
                <w:kern w:val="0"/>
                <w:sz w:val="21"/>
                <w:szCs w:val="21"/>
                <w:highlight w:val="none"/>
                <w:u w:val="none" w:color="auto"/>
              </w:rPr>
              <w:t>境</w:t>
            </w:r>
            <w:r>
              <w:rPr>
                <w:rFonts w:hint="default" w:ascii="Times New Roman" w:hAnsi="Times New Roman" w:eastAsia="宋体" w:cs="Times New Roman"/>
                <w:color w:val="auto"/>
                <w:spacing w:val="2"/>
                <w:kern w:val="0"/>
                <w:sz w:val="21"/>
                <w:szCs w:val="21"/>
                <w:highlight w:val="none"/>
                <w:u w:val="none" w:color="auto"/>
              </w:rPr>
              <w:t>风</w:t>
            </w:r>
            <w:r>
              <w:rPr>
                <w:rFonts w:hint="default" w:ascii="Times New Roman" w:hAnsi="Times New Roman" w:eastAsia="宋体" w:cs="Times New Roman"/>
                <w:color w:val="auto"/>
                <w:spacing w:val="-1"/>
                <w:kern w:val="0"/>
                <w:sz w:val="21"/>
                <w:szCs w:val="21"/>
                <w:highlight w:val="none"/>
                <w:u w:val="none" w:color="auto"/>
              </w:rPr>
              <w:t>险</w:t>
            </w:r>
            <w:r>
              <w:rPr>
                <w:rFonts w:hint="default" w:ascii="Times New Roman" w:hAnsi="Times New Roman" w:eastAsia="宋体" w:cs="Times New Roman"/>
                <w:color w:val="auto"/>
                <w:spacing w:val="2"/>
                <w:kern w:val="0"/>
                <w:sz w:val="21"/>
                <w:szCs w:val="21"/>
                <w:highlight w:val="none"/>
                <w:u w:val="none" w:color="auto"/>
              </w:rPr>
              <w:t>控</w:t>
            </w:r>
            <w:r>
              <w:rPr>
                <w:rFonts w:hint="default" w:ascii="Times New Roman" w:hAnsi="Times New Roman" w:eastAsia="宋体" w:cs="Times New Roman"/>
                <w:color w:val="auto"/>
                <w:spacing w:val="-1"/>
                <w:kern w:val="0"/>
                <w:sz w:val="21"/>
                <w:szCs w:val="21"/>
                <w:highlight w:val="none"/>
                <w:u w:val="none" w:color="auto"/>
              </w:rPr>
              <w:t>制</w:t>
            </w:r>
            <w:r>
              <w:rPr>
                <w:rFonts w:hint="default" w:ascii="Times New Roman" w:hAnsi="Times New Roman" w:eastAsia="宋体" w:cs="Times New Roman"/>
                <w:color w:val="auto"/>
                <w:spacing w:val="2"/>
                <w:kern w:val="0"/>
                <w:sz w:val="21"/>
                <w:szCs w:val="21"/>
                <w:highlight w:val="none"/>
                <w:u w:val="none" w:color="auto"/>
              </w:rPr>
              <w:t>水</w:t>
            </w:r>
            <w:r>
              <w:rPr>
                <w:rFonts w:hint="default" w:ascii="Times New Roman" w:hAnsi="Times New Roman" w:eastAsia="宋体" w:cs="Times New Roman"/>
                <w:color w:val="auto"/>
                <w:kern w:val="0"/>
                <w:sz w:val="21"/>
                <w:szCs w:val="21"/>
                <w:highlight w:val="none"/>
                <w:u w:val="none" w:color="auto"/>
              </w:rPr>
              <w:t>平</w:t>
            </w:r>
          </w:p>
        </w:tc>
        <w:tc>
          <w:tcPr>
            <w:tcW w:w="821" w:type="pct"/>
            <w:vAlign w:val="center"/>
          </w:tcPr>
          <w:p w14:paraId="381FDBD2">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本项目</w:t>
            </w:r>
          </w:p>
        </w:tc>
      </w:tr>
      <w:tr w14:paraId="6EA516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442" w:type="pct"/>
            <w:vAlign w:val="center"/>
          </w:tcPr>
          <w:p w14:paraId="2DA8453B">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pacing w:val="1"/>
                <w:kern w:val="0"/>
                <w:sz w:val="21"/>
                <w:szCs w:val="21"/>
                <w:highlight w:val="none"/>
                <w:u w:val="none" w:color="auto"/>
                <w:lang w:eastAsia="en-US"/>
              </w:rPr>
              <w:t>M</w:t>
            </w:r>
            <w:r>
              <w:rPr>
                <w:rFonts w:hint="default" w:ascii="Times New Roman" w:hAnsi="Times New Roman" w:eastAsia="宋体" w:cs="Times New Roman"/>
                <w:color w:val="auto"/>
                <w:spacing w:val="-1"/>
                <w:kern w:val="0"/>
                <w:sz w:val="21"/>
                <w:szCs w:val="21"/>
                <w:highlight w:val="none"/>
                <w:u w:val="none" w:color="auto"/>
                <w:lang w:eastAsia="en-US"/>
              </w:rPr>
              <w:t>＞</w:t>
            </w:r>
            <w:r>
              <w:rPr>
                <w:rFonts w:hint="default" w:ascii="Times New Roman" w:hAnsi="Times New Roman" w:eastAsia="宋体" w:cs="Times New Roman"/>
                <w:color w:val="auto"/>
                <w:spacing w:val="1"/>
                <w:kern w:val="0"/>
                <w:sz w:val="21"/>
                <w:szCs w:val="21"/>
                <w:highlight w:val="none"/>
                <w:u w:val="none" w:color="auto"/>
              </w:rPr>
              <w:t>20</w:t>
            </w:r>
          </w:p>
        </w:tc>
        <w:tc>
          <w:tcPr>
            <w:tcW w:w="1738" w:type="pct"/>
            <w:vAlign w:val="center"/>
          </w:tcPr>
          <w:p w14:paraId="722C78C3">
            <w:pPr>
              <w:spacing w:line="240" w:lineRule="auto"/>
              <w:jc w:val="center"/>
              <w:rPr>
                <w:rFonts w:hint="default" w:ascii="Times New Roman" w:hAnsi="Times New Roman" w:eastAsia="宋体" w:cs="Times New Roman"/>
                <w:color w:val="auto"/>
                <w:kern w:val="0"/>
                <w:sz w:val="21"/>
                <w:szCs w:val="21"/>
                <w:highlight w:val="none"/>
                <w:u w:val="none" w:color="auto"/>
                <w:lang w:eastAsia="en-US"/>
              </w:rPr>
            </w:pPr>
            <w:r>
              <w:rPr>
                <w:rFonts w:hint="default" w:ascii="Times New Roman" w:hAnsi="Times New Roman" w:eastAsia="宋体" w:cs="Times New Roman"/>
                <w:color w:val="auto"/>
                <w:spacing w:val="1"/>
                <w:kern w:val="0"/>
                <w:sz w:val="21"/>
                <w:szCs w:val="21"/>
                <w:highlight w:val="none"/>
                <w:u w:val="none" w:color="auto"/>
                <w:lang w:eastAsia="en-US"/>
              </w:rPr>
              <w:t>M1</w:t>
            </w:r>
          </w:p>
        </w:tc>
        <w:tc>
          <w:tcPr>
            <w:tcW w:w="821" w:type="pct"/>
            <w:vAlign w:val="center"/>
          </w:tcPr>
          <w:p w14:paraId="7CF47FD1">
            <w:pPr>
              <w:spacing w:line="240" w:lineRule="auto"/>
              <w:jc w:val="center"/>
              <w:rPr>
                <w:rFonts w:hint="default" w:ascii="Times New Roman" w:hAnsi="Times New Roman" w:eastAsia="宋体" w:cs="Times New Roman"/>
                <w:color w:val="auto"/>
                <w:kern w:val="0"/>
                <w:sz w:val="21"/>
                <w:szCs w:val="21"/>
                <w:highlight w:val="none"/>
                <w:u w:val="none" w:color="auto"/>
                <w:lang w:eastAsia="en-US"/>
              </w:rPr>
            </w:pPr>
          </w:p>
        </w:tc>
      </w:tr>
      <w:tr w14:paraId="4F2EB2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442" w:type="pct"/>
            <w:vAlign w:val="center"/>
          </w:tcPr>
          <w:p w14:paraId="2BC39158">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pacing w:val="1"/>
                <w:kern w:val="0"/>
                <w:sz w:val="21"/>
                <w:szCs w:val="21"/>
                <w:highlight w:val="none"/>
                <w:u w:val="none" w:color="auto"/>
              </w:rPr>
              <w:t>10</w:t>
            </w:r>
            <w:r>
              <w:rPr>
                <w:rFonts w:hint="default" w:ascii="Times New Roman" w:hAnsi="Times New Roman" w:eastAsia="宋体" w:cs="Times New Roman"/>
                <w:color w:val="auto"/>
                <w:spacing w:val="2"/>
                <w:kern w:val="0"/>
                <w:sz w:val="21"/>
                <w:szCs w:val="21"/>
                <w:highlight w:val="none"/>
                <w:u w:val="none" w:color="auto"/>
                <w:lang w:eastAsia="en-US"/>
              </w:rPr>
              <w:t>＜</w:t>
            </w:r>
            <w:r>
              <w:rPr>
                <w:rFonts w:hint="default" w:ascii="Times New Roman" w:hAnsi="Times New Roman" w:eastAsia="宋体" w:cs="Times New Roman"/>
                <w:color w:val="auto"/>
                <w:spacing w:val="1"/>
                <w:kern w:val="0"/>
                <w:sz w:val="21"/>
                <w:szCs w:val="21"/>
                <w:highlight w:val="none"/>
                <w:u w:val="none" w:color="auto"/>
                <w:lang w:eastAsia="en-US"/>
              </w:rPr>
              <w:t>M≤</w:t>
            </w:r>
            <w:r>
              <w:rPr>
                <w:rFonts w:hint="default" w:ascii="Times New Roman" w:hAnsi="Times New Roman" w:eastAsia="宋体" w:cs="Times New Roman"/>
                <w:color w:val="auto"/>
                <w:spacing w:val="1"/>
                <w:kern w:val="0"/>
                <w:sz w:val="21"/>
                <w:szCs w:val="21"/>
                <w:highlight w:val="none"/>
                <w:u w:val="none" w:color="auto"/>
              </w:rPr>
              <w:t>20</w:t>
            </w:r>
          </w:p>
        </w:tc>
        <w:tc>
          <w:tcPr>
            <w:tcW w:w="1738" w:type="pct"/>
            <w:vAlign w:val="center"/>
          </w:tcPr>
          <w:p w14:paraId="44056ACC">
            <w:pPr>
              <w:spacing w:line="240" w:lineRule="auto"/>
              <w:jc w:val="center"/>
              <w:rPr>
                <w:rFonts w:hint="default" w:ascii="Times New Roman" w:hAnsi="Times New Roman" w:eastAsia="宋体" w:cs="Times New Roman"/>
                <w:color w:val="auto"/>
                <w:kern w:val="0"/>
                <w:sz w:val="21"/>
                <w:szCs w:val="21"/>
                <w:highlight w:val="none"/>
                <w:u w:val="none" w:color="auto"/>
                <w:lang w:eastAsia="en-US"/>
              </w:rPr>
            </w:pPr>
            <w:r>
              <w:rPr>
                <w:rFonts w:hint="default" w:ascii="Times New Roman" w:hAnsi="Times New Roman" w:eastAsia="宋体" w:cs="Times New Roman"/>
                <w:color w:val="auto"/>
                <w:spacing w:val="1"/>
                <w:kern w:val="0"/>
                <w:sz w:val="21"/>
                <w:szCs w:val="21"/>
                <w:highlight w:val="none"/>
                <w:u w:val="none" w:color="auto"/>
                <w:lang w:eastAsia="en-US"/>
              </w:rPr>
              <w:t>M2</w:t>
            </w:r>
          </w:p>
        </w:tc>
        <w:tc>
          <w:tcPr>
            <w:tcW w:w="821" w:type="pct"/>
            <w:vAlign w:val="center"/>
          </w:tcPr>
          <w:p w14:paraId="58EF982F">
            <w:pPr>
              <w:spacing w:line="240" w:lineRule="auto"/>
              <w:jc w:val="center"/>
              <w:rPr>
                <w:rFonts w:hint="default" w:ascii="Times New Roman" w:hAnsi="Times New Roman" w:eastAsia="宋体" w:cs="Times New Roman"/>
                <w:color w:val="auto"/>
                <w:kern w:val="0"/>
                <w:sz w:val="21"/>
                <w:szCs w:val="21"/>
                <w:highlight w:val="none"/>
                <w:u w:val="none" w:color="auto"/>
                <w:lang w:eastAsia="en-US"/>
              </w:rPr>
            </w:pPr>
          </w:p>
        </w:tc>
      </w:tr>
      <w:tr w14:paraId="139F12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442" w:type="pct"/>
            <w:vAlign w:val="center"/>
          </w:tcPr>
          <w:p w14:paraId="7327CD4D">
            <w:pPr>
              <w:spacing w:line="240" w:lineRule="auto"/>
              <w:jc w:val="center"/>
              <w:rPr>
                <w:rFonts w:hint="default" w:ascii="Times New Roman" w:hAnsi="Times New Roman" w:eastAsia="宋体" w:cs="Times New Roman"/>
                <w:color w:val="auto"/>
                <w:kern w:val="0"/>
                <w:sz w:val="21"/>
                <w:szCs w:val="21"/>
                <w:highlight w:val="none"/>
                <w:u w:val="none" w:color="auto"/>
                <w:lang w:eastAsia="en-US"/>
              </w:rPr>
            </w:pPr>
            <w:r>
              <w:rPr>
                <w:rFonts w:hint="default" w:ascii="Times New Roman" w:hAnsi="Times New Roman" w:eastAsia="宋体" w:cs="Times New Roman"/>
                <w:color w:val="auto"/>
                <w:spacing w:val="1"/>
                <w:kern w:val="0"/>
                <w:sz w:val="21"/>
                <w:szCs w:val="21"/>
                <w:highlight w:val="none"/>
                <w:u w:val="none" w:color="auto"/>
              </w:rPr>
              <w:t>5</w:t>
            </w:r>
            <w:r>
              <w:rPr>
                <w:rFonts w:hint="default" w:ascii="Times New Roman" w:hAnsi="Times New Roman" w:eastAsia="宋体" w:cs="Times New Roman"/>
                <w:color w:val="auto"/>
                <w:spacing w:val="2"/>
                <w:kern w:val="0"/>
                <w:sz w:val="21"/>
                <w:szCs w:val="21"/>
                <w:highlight w:val="none"/>
                <w:u w:val="none" w:color="auto"/>
                <w:lang w:eastAsia="en-US"/>
              </w:rPr>
              <w:t>＜</w:t>
            </w:r>
            <w:r>
              <w:rPr>
                <w:rFonts w:hint="default" w:ascii="Times New Roman" w:hAnsi="Times New Roman" w:eastAsia="宋体" w:cs="Times New Roman"/>
                <w:color w:val="auto"/>
                <w:spacing w:val="1"/>
                <w:kern w:val="0"/>
                <w:sz w:val="21"/>
                <w:szCs w:val="21"/>
                <w:highlight w:val="none"/>
                <w:u w:val="none" w:color="auto"/>
                <w:lang w:eastAsia="en-US"/>
              </w:rPr>
              <w:t>M≤</w:t>
            </w:r>
            <w:r>
              <w:rPr>
                <w:rFonts w:hint="default" w:ascii="Times New Roman" w:hAnsi="Times New Roman" w:eastAsia="宋体" w:cs="Times New Roman"/>
                <w:color w:val="auto"/>
                <w:spacing w:val="1"/>
                <w:kern w:val="0"/>
                <w:sz w:val="21"/>
                <w:szCs w:val="21"/>
                <w:highlight w:val="none"/>
                <w:u w:val="none" w:color="auto"/>
              </w:rPr>
              <w:t>10</w:t>
            </w:r>
          </w:p>
        </w:tc>
        <w:tc>
          <w:tcPr>
            <w:tcW w:w="1738" w:type="pct"/>
            <w:vAlign w:val="center"/>
          </w:tcPr>
          <w:p w14:paraId="68913286">
            <w:pPr>
              <w:spacing w:line="240" w:lineRule="auto"/>
              <w:jc w:val="center"/>
              <w:rPr>
                <w:rFonts w:hint="default" w:ascii="Times New Roman" w:hAnsi="Times New Roman" w:eastAsia="宋体" w:cs="Times New Roman"/>
                <w:color w:val="auto"/>
                <w:kern w:val="0"/>
                <w:sz w:val="21"/>
                <w:szCs w:val="21"/>
                <w:highlight w:val="none"/>
                <w:u w:val="none" w:color="auto"/>
                <w:lang w:eastAsia="en-US"/>
              </w:rPr>
            </w:pPr>
            <w:r>
              <w:rPr>
                <w:rFonts w:hint="default" w:ascii="Times New Roman" w:hAnsi="Times New Roman" w:eastAsia="宋体" w:cs="Times New Roman"/>
                <w:color w:val="auto"/>
                <w:spacing w:val="1"/>
                <w:kern w:val="0"/>
                <w:sz w:val="21"/>
                <w:szCs w:val="21"/>
                <w:highlight w:val="none"/>
                <w:u w:val="none" w:color="auto"/>
                <w:lang w:eastAsia="en-US"/>
              </w:rPr>
              <w:t>M3</w:t>
            </w:r>
          </w:p>
        </w:tc>
        <w:tc>
          <w:tcPr>
            <w:tcW w:w="821" w:type="pct"/>
            <w:vAlign w:val="center"/>
          </w:tcPr>
          <w:p w14:paraId="1DCCE58B">
            <w:pPr>
              <w:spacing w:line="240" w:lineRule="auto"/>
              <w:jc w:val="center"/>
              <w:rPr>
                <w:rFonts w:hint="default" w:ascii="Times New Roman" w:hAnsi="Times New Roman" w:eastAsia="宋体" w:cs="Times New Roman"/>
                <w:color w:val="auto"/>
                <w:kern w:val="0"/>
                <w:sz w:val="21"/>
                <w:szCs w:val="21"/>
                <w:highlight w:val="none"/>
                <w:u w:val="none" w:color="auto"/>
                <w:lang w:eastAsia="en-US"/>
              </w:rPr>
            </w:pPr>
          </w:p>
        </w:tc>
      </w:tr>
      <w:tr w14:paraId="582D83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exact"/>
          <w:jc w:val="center"/>
        </w:trPr>
        <w:tc>
          <w:tcPr>
            <w:tcW w:w="2442" w:type="pct"/>
            <w:vAlign w:val="center"/>
          </w:tcPr>
          <w:p w14:paraId="62D54F7F">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pacing w:val="1"/>
                <w:kern w:val="0"/>
                <w:sz w:val="21"/>
                <w:szCs w:val="21"/>
                <w:highlight w:val="none"/>
                <w:u w:val="none" w:color="auto"/>
                <w:lang w:eastAsia="en-US"/>
              </w:rPr>
              <w:t>M</w:t>
            </w:r>
            <w:r>
              <w:rPr>
                <w:rFonts w:hint="default" w:ascii="Times New Roman" w:hAnsi="Times New Roman" w:eastAsia="宋体" w:cs="Times New Roman"/>
                <w:color w:val="auto"/>
                <w:spacing w:val="-1"/>
                <w:kern w:val="0"/>
                <w:sz w:val="21"/>
                <w:szCs w:val="21"/>
                <w:highlight w:val="none"/>
                <w:u w:val="none" w:color="auto"/>
              </w:rPr>
              <w:t>=</w:t>
            </w:r>
            <w:r>
              <w:rPr>
                <w:rFonts w:hint="default" w:ascii="Times New Roman" w:hAnsi="Times New Roman" w:eastAsia="宋体" w:cs="Times New Roman"/>
                <w:color w:val="auto"/>
                <w:spacing w:val="1"/>
                <w:kern w:val="0"/>
                <w:sz w:val="21"/>
                <w:szCs w:val="21"/>
                <w:highlight w:val="none"/>
                <w:u w:val="none" w:color="auto"/>
              </w:rPr>
              <w:t>5</w:t>
            </w:r>
          </w:p>
        </w:tc>
        <w:tc>
          <w:tcPr>
            <w:tcW w:w="1738" w:type="pct"/>
            <w:vAlign w:val="center"/>
          </w:tcPr>
          <w:p w14:paraId="373F7561">
            <w:pPr>
              <w:spacing w:line="240" w:lineRule="auto"/>
              <w:jc w:val="center"/>
              <w:rPr>
                <w:rFonts w:hint="default" w:ascii="Times New Roman" w:hAnsi="Times New Roman" w:eastAsia="宋体" w:cs="Times New Roman"/>
                <w:color w:val="auto"/>
                <w:kern w:val="0"/>
                <w:sz w:val="21"/>
                <w:szCs w:val="21"/>
                <w:highlight w:val="none"/>
                <w:u w:val="none" w:color="auto"/>
                <w:lang w:eastAsia="en-US"/>
              </w:rPr>
            </w:pPr>
            <w:r>
              <w:rPr>
                <w:rFonts w:hint="default" w:ascii="Times New Roman" w:hAnsi="Times New Roman" w:eastAsia="宋体" w:cs="Times New Roman"/>
                <w:color w:val="auto"/>
                <w:spacing w:val="1"/>
                <w:kern w:val="0"/>
                <w:sz w:val="21"/>
                <w:szCs w:val="21"/>
                <w:highlight w:val="none"/>
                <w:u w:val="none" w:color="auto"/>
                <w:lang w:eastAsia="en-US"/>
              </w:rPr>
              <w:t>M4</w:t>
            </w:r>
          </w:p>
        </w:tc>
        <w:tc>
          <w:tcPr>
            <w:tcW w:w="821" w:type="pct"/>
            <w:vAlign w:val="center"/>
          </w:tcPr>
          <w:p w14:paraId="08770573">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highlight w:val="none"/>
                <w:u w:val="none" w:color="auto"/>
                <w:lang w:eastAsia="en-US"/>
              </w:rPr>
              <w:t>M＝</w:t>
            </w:r>
            <w:r>
              <w:rPr>
                <w:rFonts w:hint="default" w:ascii="Times New Roman" w:hAnsi="Times New Roman" w:eastAsia="宋体" w:cs="Times New Roman"/>
                <w:color w:val="auto"/>
                <w:kern w:val="0"/>
                <w:sz w:val="21"/>
                <w:highlight w:val="none"/>
                <w:u w:val="none" w:color="auto"/>
              </w:rPr>
              <w:t>5</w:t>
            </w:r>
          </w:p>
        </w:tc>
      </w:tr>
    </w:tbl>
    <w:p w14:paraId="7ED2679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根据上表，本项目所属行业及生产工艺（M）属M4。</w:t>
      </w:r>
    </w:p>
    <w:p w14:paraId="30CC2D1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（3）危险物质及工艺系统危险性（P）分级</w:t>
      </w:r>
    </w:p>
    <w:p w14:paraId="40B6A83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危险物质及工艺系统危险性（P）判定依据详见下表。</w:t>
      </w:r>
    </w:p>
    <w:p w14:paraId="41B36A8B">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.1-4危险物质及工艺系统危险性等级判断（P）</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2"/>
        <w:gridCol w:w="1559"/>
        <w:gridCol w:w="1560"/>
        <w:gridCol w:w="1560"/>
        <w:gridCol w:w="1611"/>
      </w:tblGrid>
      <w:tr w14:paraId="4FFDC2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10" w:type="pct"/>
            <w:vMerge w:val="restart"/>
            <w:vAlign w:val="center"/>
          </w:tcPr>
          <w:p w14:paraId="7E90BB3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危险物质数量与临界量比值（Q）</w:t>
            </w:r>
          </w:p>
        </w:tc>
        <w:tc>
          <w:tcPr>
            <w:tcW w:w="3690" w:type="pct"/>
            <w:gridSpan w:val="4"/>
            <w:vAlign w:val="center"/>
          </w:tcPr>
          <w:p w14:paraId="3874619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行业及生产工艺（M）</w:t>
            </w:r>
          </w:p>
        </w:tc>
      </w:tr>
      <w:tr w14:paraId="5F13F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10" w:type="pct"/>
            <w:vMerge w:val="continue"/>
            <w:vAlign w:val="center"/>
          </w:tcPr>
          <w:p w14:paraId="2D644987">
            <w:pPr>
              <w:widowControl/>
              <w:spacing w:line="240" w:lineRule="auto"/>
              <w:rPr>
                <w:rFonts w:hint="default" w:ascii="Times New Roman" w:hAnsi="Times New Roman" w:eastAsia="宋体" w:cs="Times New Roman"/>
                <w:color w:val="auto"/>
                <w:sz w:val="21"/>
                <w:szCs w:val="21"/>
                <w:highlight w:val="none"/>
                <w:u w:val="none" w:color="auto"/>
              </w:rPr>
            </w:pPr>
          </w:p>
        </w:tc>
        <w:tc>
          <w:tcPr>
            <w:tcW w:w="915" w:type="pct"/>
            <w:vAlign w:val="center"/>
          </w:tcPr>
          <w:p w14:paraId="5F9F340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M1</w:t>
            </w:r>
          </w:p>
        </w:tc>
        <w:tc>
          <w:tcPr>
            <w:tcW w:w="915" w:type="pct"/>
            <w:vAlign w:val="center"/>
          </w:tcPr>
          <w:p w14:paraId="3FAF097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M2</w:t>
            </w:r>
          </w:p>
        </w:tc>
        <w:tc>
          <w:tcPr>
            <w:tcW w:w="915" w:type="pct"/>
            <w:vAlign w:val="center"/>
          </w:tcPr>
          <w:p w14:paraId="446907E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M3</w:t>
            </w:r>
          </w:p>
        </w:tc>
        <w:tc>
          <w:tcPr>
            <w:tcW w:w="945" w:type="pct"/>
            <w:vAlign w:val="center"/>
          </w:tcPr>
          <w:p w14:paraId="1F0FABC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M4</w:t>
            </w:r>
          </w:p>
        </w:tc>
      </w:tr>
      <w:tr w14:paraId="3004D8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10" w:type="pct"/>
            <w:vAlign w:val="center"/>
          </w:tcPr>
          <w:p w14:paraId="7900445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Q≥100</w:t>
            </w:r>
          </w:p>
        </w:tc>
        <w:tc>
          <w:tcPr>
            <w:tcW w:w="915" w:type="pct"/>
            <w:vAlign w:val="center"/>
          </w:tcPr>
          <w:p w14:paraId="0D382EB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P1</w:t>
            </w:r>
          </w:p>
        </w:tc>
        <w:tc>
          <w:tcPr>
            <w:tcW w:w="915" w:type="pct"/>
            <w:vAlign w:val="center"/>
          </w:tcPr>
          <w:p w14:paraId="52008F4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P1</w:t>
            </w:r>
          </w:p>
        </w:tc>
        <w:tc>
          <w:tcPr>
            <w:tcW w:w="915" w:type="pct"/>
            <w:vAlign w:val="center"/>
          </w:tcPr>
          <w:p w14:paraId="6CF2955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P2</w:t>
            </w:r>
          </w:p>
        </w:tc>
        <w:tc>
          <w:tcPr>
            <w:tcW w:w="945" w:type="pct"/>
            <w:shd w:val="clear" w:color="auto" w:fill="auto"/>
            <w:vAlign w:val="center"/>
          </w:tcPr>
          <w:p w14:paraId="1A0F7A6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P3</w:t>
            </w:r>
          </w:p>
        </w:tc>
      </w:tr>
      <w:tr w14:paraId="3AB65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10" w:type="pct"/>
            <w:vAlign w:val="center"/>
          </w:tcPr>
          <w:p w14:paraId="22B7B26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10≤Q &lt;100</w:t>
            </w:r>
          </w:p>
        </w:tc>
        <w:tc>
          <w:tcPr>
            <w:tcW w:w="915" w:type="pct"/>
            <w:shd w:val="clear" w:color="auto" w:fill="auto"/>
            <w:vAlign w:val="center"/>
          </w:tcPr>
          <w:p w14:paraId="4C3053C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P1</w:t>
            </w:r>
          </w:p>
        </w:tc>
        <w:tc>
          <w:tcPr>
            <w:tcW w:w="915" w:type="pct"/>
            <w:vAlign w:val="center"/>
          </w:tcPr>
          <w:p w14:paraId="206133D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P2</w:t>
            </w:r>
          </w:p>
        </w:tc>
        <w:tc>
          <w:tcPr>
            <w:tcW w:w="915" w:type="pct"/>
            <w:vAlign w:val="center"/>
          </w:tcPr>
          <w:p w14:paraId="13A7D7C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P3</w:t>
            </w:r>
          </w:p>
        </w:tc>
        <w:tc>
          <w:tcPr>
            <w:tcW w:w="945" w:type="pct"/>
            <w:vAlign w:val="center"/>
          </w:tcPr>
          <w:p w14:paraId="5EAA08F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P4</w:t>
            </w:r>
          </w:p>
        </w:tc>
      </w:tr>
      <w:tr w14:paraId="7FA15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10" w:type="pct"/>
            <w:vAlign w:val="center"/>
          </w:tcPr>
          <w:p w14:paraId="3E41045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1≤Q &lt; 10</w:t>
            </w:r>
          </w:p>
        </w:tc>
        <w:tc>
          <w:tcPr>
            <w:tcW w:w="915" w:type="pct"/>
            <w:vAlign w:val="center"/>
          </w:tcPr>
          <w:p w14:paraId="5E4EC33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P2</w:t>
            </w:r>
          </w:p>
        </w:tc>
        <w:tc>
          <w:tcPr>
            <w:tcW w:w="915" w:type="pct"/>
            <w:vAlign w:val="center"/>
          </w:tcPr>
          <w:p w14:paraId="715685D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P3</w:t>
            </w:r>
          </w:p>
        </w:tc>
        <w:tc>
          <w:tcPr>
            <w:tcW w:w="915" w:type="pct"/>
            <w:vAlign w:val="center"/>
          </w:tcPr>
          <w:p w14:paraId="00B6883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P4</w:t>
            </w:r>
          </w:p>
        </w:tc>
        <w:tc>
          <w:tcPr>
            <w:tcW w:w="945" w:type="pct"/>
            <w:vAlign w:val="center"/>
          </w:tcPr>
          <w:p w14:paraId="0F6AE8A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P4</w:t>
            </w:r>
          </w:p>
        </w:tc>
      </w:tr>
    </w:tbl>
    <w:p w14:paraId="475B8C3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根据上表判定本项目危险物质及工艺系统危险性等级P为P4。</w:t>
      </w:r>
    </w:p>
    <w:p w14:paraId="01F735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8.1.1.2各环境要素敏感程度（E值）等级分析</w:t>
      </w:r>
    </w:p>
    <w:p w14:paraId="7F42882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环境敏感性分为：①E1为环境高度敏感区；②E2为环境中度敏感区；③E3为环境低度敏感区。</w:t>
      </w:r>
    </w:p>
    <w:p w14:paraId="66ADF8C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（1）大气环境</w:t>
      </w:r>
    </w:p>
    <w:p w14:paraId="376AA9D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依据环境敏感目标环境敏感性及人口密度划分环境风险受体的敏感性，分级情况见下表。</w:t>
      </w:r>
    </w:p>
    <w:p w14:paraId="510F6E3D">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.1-5大气环境敏感程度分级</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9"/>
        <w:gridCol w:w="7653"/>
      </w:tblGrid>
      <w:tr w14:paraId="4CB57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69" w:type="dxa"/>
            <w:vAlign w:val="center"/>
          </w:tcPr>
          <w:p w14:paraId="639A9802">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类别</w:t>
            </w:r>
          </w:p>
        </w:tc>
        <w:tc>
          <w:tcPr>
            <w:tcW w:w="7653" w:type="dxa"/>
            <w:vAlign w:val="center"/>
          </w:tcPr>
          <w:p w14:paraId="685C77A7">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大气环境敏感性</w:t>
            </w:r>
          </w:p>
        </w:tc>
      </w:tr>
      <w:tr w14:paraId="77F3D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69" w:type="dxa"/>
            <w:vAlign w:val="center"/>
          </w:tcPr>
          <w:p w14:paraId="29AD18E8">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E1</w:t>
            </w:r>
          </w:p>
        </w:tc>
        <w:tc>
          <w:tcPr>
            <w:tcW w:w="7653" w:type="dxa"/>
            <w:vAlign w:val="center"/>
          </w:tcPr>
          <w:p w14:paraId="6E5D4769">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周边5公里范围内居住区、医疗卫生结构、文化教育机构、科研单位、行政机关、企事业单位、商场、公园等人口总数大于5万人；或周边500米范围内人口总数大于1000人；油气、化学品输送管线管段周边200m范围内，每千米管段人口数大于200人</w:t>
            </w:r>
          </w:p>
        </w:tc>
      </w:tr>
      <w:tr w14:paraId="5BD13A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69" w:type="dxa"/>
            <w:vAlign w:val="center"/>
          </w:tcPr>
          <w:p w14:paraId="16D10CF8">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E2</w:t>
            </w:r>
          </w:p>
        </w:tc>
        <w:tc>
          <w:tcPr>
            <w:tcW w:w="7653" w:type="dxa"/>
            <w:vAlign w:val="center"/>
          </w:tcPr>
          <w:p w14:paraId="67B303DE">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周边5公里范围内居住区、医疗卫生结构、文化教育机构、科研单位、行政机关、企事业单位、商场、公园等人口总数大于1万人，小于5万人；或周边500米范围内人口总数大于500人，小于1000人；油气、化学品输送管线管段周边200m范围内，每千米管段人口数大于100人，小于200人</w:t>
            </w:r>
          </w:p>
        </w:tc>
      </w:tr>
      <w:tr w14:paraId="52B897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69" w:type="dxa"/>
            <w:vAlign w:val="center"/>
          </w:tcPr>
          <w:p w14:paraId="2043EB23">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E3</w:t>
            </w:r>
          </w:p>
        </w:tc>
        <w:tc>
          <w:tcPr>
            <w:tcW w:w="7653" w:type="dxa"/>
            <w:vAlign w:val="center"/>
          </w:tcPr>
          <w:p w14:paraId="719207E9">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周边5公里范围内居住区、医疗卫生结构、文化教育机构、科研单位、行政机关、企事业单位、商场、公园等人口总数小于1万人；或周边500米范围内人口总数小于500人；油气、化学品输送管线管段周边200m范围内，每千米管段人口数小于100人</w:t>
            </w:r>
          </w:p>
        </w:tc>
      </w:tr>
    </w:tbl>
    <w:p w14:paraId="70A27A6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项目周边5公里范围内人口总数大于1万人，小于5万人。本项目大气环境敏感程度为E2。</w:t>
      </w:r>
    </w:p>
    <w:p w14:paraId="288D1F0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（2）地表水环境</w:t>
      </w:r>
    </w:p>
    <w:p w14:paraId="0B276DA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依据事故情况下危险物质泄漏到水体的排放点受纳地表水体功能敏感性，与下游环境敏感目标情况，分级情况见下表。</w:t>
      </w:r>
    </w:p>
    <w:p w14:paraId="16743C2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①地表水功能敏感性分区</w:t>
      </w:r>
    </w:p>
    <w:p w14:paraId="6698C31A">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.1-6地表水功能敏感性分区</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9"/>
        <w:gridCol w:w="7653"/>
      </w:tblGrid>
      <w:tr w14:paraId="0CC41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14:paraId="77BAF9C1">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敏感性</w:t>
            </w:r>
          </w:p>
        </w:tc>
        <w:tc>
          <w:tcPr>
            <w:tcW w:w="4490" w:type="pct"/>
            <w:vAlign w:val="center"/>
          </w:tcPr>
          <w:p w14:paraId="3F2C78AB">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地表水环境敏感特征</w:t>
            </w:r>
          </w:p>
        </w:tc>
      </w:tr>
      <w:tr w14:paraId="1DC4B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14:paraId="29BE4D69">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敏感F1</w:t>
            </w:r>
          </w:p>
        </w:tc>
        <w:tc>
          <w:tcPr>
            <w:tcW w:w="4490" w:type="pct"/>
            <w:vAlign w:val="center"/>
          </w:tcPr>
          <w:p w14:paraId="017975E2">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排放点进入地表水水域环境功能为Ⅱ类及以上，或海水水质分类第一类；</w:t>
            </w:r>
          </w:p>
          <w:p w14:paraId="6770199A">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或以发生事故时，危险物质泄漏到水体的排放点算起，排放进入受纳河流最大流速时，24h流经范围内涉跨国界的</w:t>
            </w:r>
          </w:p>
        </w:tc>
      </w:tr>
      <w:tr w14:paraId="63D43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14:paraId="02FC4D7A">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较敏感F2</w:t>
            </w:r>
          </w:p>
        </w:tc>
        <w:tc>
          <w:tcPr>
            <w:tcW w:w="4490" w:type="pct"/>
            <w:vAlign w:val="center"/>
          </w:tcPr>
          <w:p w14:paraId="647191FA">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排放点进入地表水水域环境功能为Ⅲ类，或海水水质分类第二类；</w:t>
            </w:r>
          </w:p>
          <w:p w14:paraId="23784B40">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或以发生事故时，危险物质泄漏到水体的排放点算起，排放进入受纳河流最大流速时，24h流经范围内涉跨省界的</w:t>
            </w:r>
          </w:p>
        </w:tc>
      </w:tr>
      <w:tr w14:paraId="41C6A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vAlign w:val="center"/>
          </w:tcPr>
          <w:p w14:paraId="57291B5D">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低敏感F3</w:t>
            </w:r>
          </w:p>
        </w:tc>
        <w:tc>
          <w:tcPr>
            <w:tcW w:w="4490" w:type="pct"/>
            <w:vAlign w:val="center"/>
          </w:tcPr>
          <w:p w14:paraId="04DA038F">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上述地区之外的其他地区</w:t>
            </w:r>
          </w:p>
        </w:tc>
      </w:tr>
    </w:tbl>
    <w:p w14:paraId="1DB1728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项目所在区域地表水体为</w:t>
      </w:r>
      <w:r>
        <w:rPr>
          <w:rFonts w:hint="default" w:ascii="Times New Roman" w:hAnsi="Times New Roman" w:eastAsia="宋体" w:cs="Times New Roman"/>
          <w:color w:val="auto"/>
          <w:sz w:val="24"/>
          <w:szCs w:val="24"/>
          <w:highlight w:val="none"/>
          <w:u w:val="none" w:color="auto"/>
          <w:lang w:eastAsia="zh-CN"/>
        </w:rPr>
        <w:t>湘江</w:t>
      </w:r>
      <w:r>
        <w:rPr>
          <w:rFonts w:hint="default" w:ascii="Times New Roman" w:hAnsi="Times New Roman" w:eastAsia="宋体" w:cs="Times New Roman"/>
          <w:color w:val="auto"/>
          <w:sz w:val="24"/>
          <w:szCs w:val="24"/>
          <w:highlight w:val="none"/>
          <w:u w:val="none" w:color="auto"/>
        </w:rPr>
        <w:t>，水环境功能区划为Ⅲ类，地表水功能敏感性分区属于较敏感F2。</w:t>
      </w:r>
    </w:p>
    <w:p w14:paraId="7605E12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②环境敏感目标分级</w:t>
      </w:r>
    </w:p>
    <w:p w14:paraId="6602E11E">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.1-7环境敏感目标分级</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9"/>
        <w:gridCol w:w="7653"/>
      </w:tblGrid>
      <w:tr w14:paraId="22AC9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4F796BD1">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类别</w:t>
            </w:r>
          </w:p>
        </w:tc>
        <w:tc>
          <w:tcPr>
            <w:tcW w:w="7653" w:type="dxa"/>
            <w:vAlign w:val="center"/>
          </w:tcPr>
          <w:p w14:paraId="61CA79BD">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环境敏感目标</w:t>
            </w:r>
          </w:p>
        </w:tc>
      </w:tr>
      <w:tr w14:paraId="3FD4D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316F97CA">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S1</w:t>
            </w:r>
          </w:p>
        </w:tc>
        <w:tc>
          <w:tcPr>
            <w:tcW w:w="7653" w:type="dxa"/>
            <w:vAlign w:val="center"/>
          </w:tcPr>
          <w:p w14:paraId="18C663A5">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发生事故时，危险物质泄漏到内陆水体的排放点下游（顺水流向）10km范围内、近岸海域一个潮周期水质点可能达到的最大水平距离的两倍范围内，有如下一类或多类环境风险受体：集中式地表水、地下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0A99A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40C355DA">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S2</w:t>
            </w:r>
          </w:p>
        </w:tc>
        <w:tc>
          <w:tcPr>
            <w:tcW w:w="7653" w:type="dxa"/>
            <w:vAlign w:val="center"/>
          </w:tcPr>
          <w:p w14:paraId="7BEC6B77">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发生事故时，危险物质泄漏到内陆水体的排放点下游（顺水流向）10km范围内、近岸海域一个潮周期水质点可能达到的最大水平距离的两倍范围内，有如下一类或多类环境风险受体：水产养殖区；天然渔场、森林公园、地质公园；海滨风景游览区；具有重要经济价值的海洋生物生存区域</w:t>
            </w:r>
          </w:p>
        </w:tc>
      </w:tr>
      <w:tr w14:paraId="287CC7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395C201F">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S3</w:t>
            </w:r>
          </w:p>
        </w:tc>
        <w:tc>
          <w:tcPr>
            <w:tcW w:w="7653" w:type="dxa"/>
            <w:vAlign w:val="center"/>
          </w:tcPr>
          <w:p w14:paraId="1B32E17B">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排放点下游（顺水流向）10km范围内、近岸海域一个潮周期水质点可能达到的最大水平距离的两倍范围内无上述类型1和类型2包括的敏感保护目标</w:t>
            </w:r>
          </w:p>
        </w:tc>
      </w:tr>
    </w:tbl>
    <w:p w14:paraId="4236A6C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由于</w:t>
      </w:r>
      <w:r>
        <w:rPr>
          <w:rFonts w:hint="default" w:ascii="Times New Roman" w:hAnsi="Times New Roman" w:eastAsia="宋体" w:cs="Times New Roman"/>
          <w:color w:val="auto"/>
          <w:sz w:val="24"/>
          <w:szCs w:val="24"/>
          <w:highlight w:val="none"/>
          <w:u w:val="single" w:color="auto"/>
          <w:lang w:eastAsia="zh-CN"/>
        </w:rPr>
        <w:t>本项目</w:t>
      </w:r>
      <w:r>
        <w:rPr>
          <w:rFonts w:hint="default" w:ascii="Times New Roman" w:hAnsi="Times New Roman" w:eastAsia="宋体" w:cs="Times New Roman"/>
          <w:color w:val="auto"/>
          <w:sz w:val="24"/>
          <w:szCs w:val="24"/>
          <w:highlight w:val="none"/>
          <w:u w:val="single" w:color="auto"/>
        </w:rPr>
        <w:t>所处的江段位于湘江衡阳段四大家鱼国家级水产种质资源保护区实验区内</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发生事故时，本项目风险物质排放点下游10km范围内</w:t>
      </w:r>
      <w:r>
        <w:rPr>
          <w:rFonts w:hint="default" w:ascii="Times New Roman" w:hAnsi="Times New Roman" w:eastAsia="宋体" w:cs="Times New Roman"/>
          <w:color w:val="auto"/>
          <w:sz w:val="24"/>
          <w:szCs w:val="24"/>
          <w:highlight w:val="none"/>
          <w:u w:val="single" w:color="auto"/>
          <w:lang w:eastAsia="zh-CN"/>
        </w:rPr>
        <w:t>涉及</w:t>
      </w:r>
      <w:r>
        <w:rPr>
          <w:rFonts w:hint="default" w:ascii="Times New Roman" w:hAnsi="Times New Roman" w:eastAsia="宋体" w:cs="Times New Roman"/>
          <w:color w:val="auto"/>
          <w:sz w:val="24"/>
          <w:szCs w:val="24"/>
          <w:highlight w:val="none"/>
          <w:u w:val="single" w:color="auto"/>
        </w:rPr>
        <w:t>湘江衡阳段四大家鱼国家级水产种质资源保护区实验区，地表水环境敏感目标为S</w:t>
      </w:r>
      <w:r>
        <w:rPr>
          <w:rFonts w:hint="default" w:ascii="Times New Roman" w:hAnsi="Times New Roman" w:eastAsia="宋体" w:cs="Times New Roman"/>
          <w:color w:val="auto"/>
          <w:sz w:val="24"/>
          <w:szCs w:val="24"/>
          <w:highlight w:val="none"/>
          <w:u w:val="single" w:color="auto"/>
          <w:lang w:val="en-US" w:eastAsia="zh-CN"/>
        </w:rPr>
        <w:t>1</w:t>
      </w:r>
      <w:r>
        <w:rPr>
          <w:rFonts w:hint="default" w:ascii="Times New Roman" w:hAnsi="Times New Roman" w:eastAsia="宋体" w:cs="Times New Roman"/>
          <w:color w:val="auto"/>
          <w:sz w:val="24"/>
          <w:szCs w:val="24"/>
          <w:highlight w:val="none"/>
          <w:u w:val="single" w:color="auto"/>
        </w:rPr>
        <w:t>。</w:t>
      </w:r>
    </w:p>
    <w:p w14:paraId="183D72B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③地表水环境敏感程度分级</w:t>
      </w:r>
    </w:p>
    <w:p w14:paraId="4771F4C2">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.1-8地表水环境敏感程度分级</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55"/>
        <w:gridCol w:w="1923"/>
        <w:gridCol w:w="1923"/>
        <w:gridCol w:w="1921"/>
      </w:tblGrid>
      <w:tr w14:paraId="5ABCB9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Merge w:val="restart"/>
            <w:vAlign w:val="center"/>
          </w:tcPr>
          <w:p w14:paraId="49B76D7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环境敏感目标</w:t>
            </w:r>
          </w:p>
        </w:tc>
        <w:tc>
          <w:tcPr>
            <w:tcW w:w="5767" w:type="dxa"/>
            <w:gridSpan w:val="3"/>
            <w:vAlign w:val="center"/>
          </w:tcPr>
          <w:p w14:paraId="0B13D21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地表水功能敏感性</w:t>
            </w:r>
          </w:p>
        </w:tc>
      </w:tr>
      <w:tr w14:paraId="38FC6A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Merge w:val="continue"/>
            <w:vAlign w:val="center"/>
          </w:tcPr>
          <w:p w14:paraId="6C1BADBC">
            <w:pPr>
              <w:widowControl/>
              <w:spacing w:line="240" w:lineRule="auto"/>
              <w:rPr>
                <w:rFonts w:hint="default" w:ascii="Times New Roman" w:hAnsi="Times New Roman" w:eastAsia="宋体" w:cs="Times New Roman"/>
                <w:color w:val="auto"/>
                <w:sz w:val="21"/>
                <w:szCs w:val="21"/>
                <w:highlight w:val="none"/>
                <w:u w:val="none" w:color="auto"/>
              </w:rPr>
            </w:pPr>
          </w:p>
        </w:tc>
        <w:tc>
          <w:tcPr>
            <w:tcW w:w="1923" w:type="dxa"/>
            <w:vAlign w:val="center"/>
          </w:tcPr>
          <w:p w14:paraId="318B818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F1</w:t>
            </w:r>
          </w:p>
        </w:tc>
        <w:tc>
          <w:tcPr>
            <w:tcW w:w="1923" w:type="dxa"/>
            <w:vAlign w:val="center"/>
          </w:tcPr>
          <w:p w14:paraId="2F71665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F2</w:t>
            </w:r>
          </w:p>
        </w:tc>
        <w:tc>
          <w:tcPr>
            <w:tcW w:w="1921" w:type="dxa"/>
            <w:vAlign w:val="center"/>
          </w:tcPr>
          <w:p w14:paraId="1E5BB93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F3</w:t>
            </w:r>
          </w:p>
        </w:tc>
      </w:tr>
      <w:tr w14:paraId="2B157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Align w:val="center"/>
          </w:tcPr>
          <w:p w14:paraId="5B9F9EF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S1</w:t>
            </w:r>
          </w:p>
        </w:tc>
        <w:tc>
          <w:tcPr>
            <w:tcW w:w="1923" w:type="dxa"/>
            <w:vAlign w:val="center"/>
          </w:tcPr>
          <w:p w14:paraId="019D972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E1</w:t>
            </w:r>
          </w:p>
        </w:tc>
        <w:tc>
          <w:tcPr>
            <w:tcW w:w="1923" w:type="dxa"/>
            <w:vAlign w:val="center"/>
          </w:tcPr>
          <w:p w14:paraId="237FF91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E1</w:t>
            </w:r>
          </w:p>
        </w:tc>
        <w:tc>
          <w:tcPr>
            <w:tcW w:w="1921" w:type="dxa"/>
            <w:vAlign w:val="center"/>
          </w:tcPr>
          <w:p w14:paraId="53E21DC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E2</w:t>
            </w:r>
          </w:p>
        </w:tc>
      </w:tr>
      <w:tr w14:paraId="57BDE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Align w:val="center"/>
          </w:tcPr>
          <w:p w14:paraId="34F9BE0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S2</w:t>
            </w:r>
          </w:p>
        </w:tc>
        <w:tc>
          <w:tcPr>
            <w:tcW w:w="1923" w:type="dxa"/>
            <w:vAlign w:val="center"/>
          </w:tcPr>
          <w:p w14:paraId="0603FF6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E1</w:t>
            </w:r>
          </w:p>
        </w:tc>
        <w:tc>
          <w:tcPr>
            <w:tcW w:w="1923" w:type="dxa"/>
            <w:vAlign w:val="center"/>
          </w:tcPr>
          <w:p w14:paraId="457020C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E2</w:t>
            </w:r>
          </w:p>
        </w:tc>
        <w:tc>
          <w:tcPr>
            <w:tcW w:w="1921" w:type="dxa"/>
            <w:vAlign w:val="center"/>
          </w:tcPr>
          <w:p w14:paraId="7E6C515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E3</w:t>
            </w:r>
          </w:p>
        </w:tc>
      </w:tr>
      <w:tr w14:paraId="07642B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Align w:val="center"/>
          </w:tcPr>
          <w:p w14:paraId="40EDD05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S3</w:t>
            </w:r>
          </w:p>
        </w:tc>
        <w:tc>
          <w:tcPr>
            <w:tcW w:w="1923" w:type="dxa"/>
            <w:vAlign w:val="center"/>
          </w:tcPr>
          <w:p w14:paraId="7352B4C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E1</w:t>
            </w:r>
          </w:p>
        </w:tc>
        <w:tc>
          <w:tcPr>
            <w:tcW w:w="1923" w:type="dxa"/>
            <w:vAlign w:val="center"/>
          </w:tcPr>
          <w:p w14:paraId="71348048">
            <w:pPr>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E2</w:t>
            </w:r>
          </w:p>
        </w:tc>
        <w:tc>
          <w:tcPr>
            <w:tcW w:w="1921" w:type="dxa"/>
            <w:vAlign w:val="center"/>
          </w:tcPr>
          <w:p w14:paraId="2C313F4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E3</w:t>
            </w:r>
          </w:p>
        </w:tc>
      </w:tr>
    </w:tbl>
    <w:p w14:paraId="7ED7433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根据上表，地表水功能敏感性为F2，环境敏感目标为S</w:t>
      </w:r>
      <w:r>
        <w:rPr>
          <w:rFonts w:hint="default" w:ascii="Times New Roman" w:hAnsi="Times New Roman" w:eastAsia="宋体" w:cs="Times New Roman"/>
          <w:color w:val="auto"/>
          <w:sz w:val="24"/>
          <w:szCs w:val="24"/>
          <w:highlight w:val="none"/>
          <w:u w:val="single" w:color="auto"/>
          <w:lang w:val="en-US" w:eastAsia="zh-CN"/>
        </w:rPr>
        <w:t>1</w:t>
      </w:r>
      <w:r>
        <w:rPr>
          <w:rFonts w:hint="default" w:ascii="Times New Roman" w:hAnsi="Times New Roman" w:eastAsia="宋体" w:cs="Times New Roman"/>
          <w:color w:val="auto"/>
          <w:sz w:val="24"/>
          <w:szCs w:val="24"/>
          <w:highlight w:val="none"/>
          <w:u w:val="single" w:color="auto"/>
        </w:rPr>
        <w:t>，判定地表水环境敏感程度为E</w:t>
      </w:r>
      <w:r>
        <w:rPr>
          <w:rFonts w:hint="default" w:ascii="Times New Roman" w:hAnsi="Times New Roman" w:eastAsia="宋体" w:cs="Times New Roman"/>
          <w:color w:val="auto"/>
          <w:sz w:val="24"/>
          <w:szCs w:val="24"/>
          <w:highlight w:val="none"/>
          <w:u w:val="single" w:color="auto"/>
          <w:lang w:val="en-US" w:eastAsia="zh-CN"/>
        </w:rPr>
        <w:t>1</w:t>
      </w:r>
      <w:r>
        <w:rPr>
          <w:rFonts w:hint="default" w:ascii="Times New Roman" w:hAnsi="Times New Roman" w:eastAsia="宋体" w:cs="Times New Roman"/>
          <w:color w:val="auto"/>
          <w:sz w:val="24"/>
          <w:szCs w:val="24"/>
          <w:highlight w:val="none"/>
          <w:u w:val="single" w:color="auto"/>
        </w:rPr>
        <w:t>。</w:t>
      </w:r>
    </w:p>
    <w:p w14:paraId="04072B8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（3）地下水环境</w:t>
      </w:r>
    </w:p>
    <w:p w14:paraId="508D9EC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依据地下水功能敏感性与包气带防污性能确定地下水环境敏感程度。</w:t>
      </w:r>
    </w:p>
    <w:p w14:paraId="2FCC205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微软雅黑" w:cs="Times New Roman"/>
          <w:color w:val="auto"/>
          <w:sz w:val="24"/>
          <w:szCs w:val="24"/>
          <w:highlight w:val="none"/>
          <w:u w:val="none" w:color="auto"/>
        </w:rPr>
        <w:t>①</w:t>
      </w:r>
      <w:r>
        <w:rPr>
          <w:rFonts w:hint="default" w:ascii="Times New Roman" w:hAnsi="Times New Roman" w:eastAsia="宋体" w:cs="Times New Roman"/>
          <w:color w:val="auto"/>
          <w:sz w:val="24"/>
          <w:szCs w:val="24"/>
          <w:highlight w:val="none"/>
          <w:u w:val="none" w:color="auto"/>
        </w:rPr>
        <w:t>地下水功能敏感性分区</w:t>
      </w:r>
    </w:p>
    <w:p w14:paraId="7CD1B3F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地下水功能敏感性分区详见下表。</w:t>
      </w:r>
    </w:p>
    <w:p w14:paraId="0B450D5A">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.1-9 地下水功能敏感性分区</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9"/>
        <w:gridCol w:w="7653"/>
      </w:tblGrid>
      <w:tr w14:paraId="117BAF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7F756312">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敏感性</w:t>
            </w:r>
          </w:p>
        </w:tc>
        <w:tc>
          <w:tcPr>
            <w:tcW w:w="7653" w:type="dxa"/>
            <w:vAlign w:val="center"/>
          </w:tcPr>
          <w:p w14:paraId="76E6E120">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地下水环境敏感特征</w:t>
            </w:r>
          </w:p>
        </w:tc>
      </w:tr>
      <w:tr w14:paraId="011658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1BE0BFCE">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敏感G1</w:t>
            </w:r>
          </w:p>
        </w:tc>
        <w:tc>
          <w:tcPr>
            <w:tcW w:w="7653" w:type="dxa"/>
            <w:vAlign w:val="center"/>
          </w:tcPr>
          <w:p w14:paraId="20A62F8D">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362FF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7FC8BC94">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较敏感G2</w:t>
            </w:r>
          </w:p>
        </w:tc>
        <w:tc>
          <w:tcPr>
            <w:tcW w:w="7653" w:type="dxa"/>
            <w:vAlign w:val="center"/>
          </w:tcPr>
          <w:p w14:paraId="3359587D">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区等其他未列入上述敏感分级的环境敏感区</w:t>
            </w:r>
          </w:p>
        </w:tc>
      </w:tr>
      <w:tr w14:paraId="48EDBE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7FF93728">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不敏感G3</w:t>
            </w:r>
          </w:p>
        </w:tc>
        <w:tc>
          <w:tcPr>
            <w:tcW w:w="7653" w:type="dxa"/>
            <w:vAlign w:val="center"/>
          </w:tcPr>
          <w:p w14:paraId="44860175">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上述地区之外的其他地区</w:t>
            </w:r>
          </w:p>
        </w:tc>
      </w:tr>
    </w:tbl>
    <w:p w14:paraId="4597054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项目位于</w:t>
      </w:r>
      <w:r>
        <w:rPr>
          <w:rFonts w:hint="default" w:ascii="Times New Roman" w:hAnsi="Times New Roman" w:eastAsia="宋体" w:cs="Times New Roman"/>
          <w:color w:val="auto"/>
          <w:sz w:val="24"/>
          <w:szCs w:val="24"/>
          <w:highlight w:val="none"/>
          <w:u w:val="none" w:color="auto"/>
          <w:lang w:eastAsia="zh-CN"/>
        </w:rPr>
        <w:t>衡阳松木经济开发区</w:t>
      </w:r>
      <w:r>
        <w:rPr>
          <w:rFonts w:hint="default" w:ascii="Times New Roman" w:hAnsi="Times New Roman" w:eastAsia="宋体" w:cs="Times New Roman"/>
          <w:color w:val="auto"/>
          <w:sz w:val="24"/>
          <w:szCs w:val="24"/>
          <w:highlight w:val="none"/>
          <w:u w:val="none" w:color="auto"/>
        </w:rPr>
        <w:t>，地下水功能敏感性为不敏感G3。</w:t>
      </w:r>
    </w:p>
    <w:p w14:paraId="55A5036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微软雅黑" w:cs="Times New Roman"/>
          <w:color w:val="auto"/>
          <w:sz w:val="24"/>
          <w:szCs w:val="24"/>
          <w:highlight w:val="none"/>
          <w:u w:val="none" w:color="auto"/>
        </w:rPr>
        <w:t>②</w:t>
      </w:r>
      <w:r>
        <w:rPr>
          <w:rFonts w:hint="default" w:ascii="Times New Roman" w:hAnsi="Times New Roman" w:eastAsia="宋体" w:cs="Times New Roman"/>
          <w:color w:val="auto"/>
          <w:sz w:val="24"/>
          <w:szCs w:val="24"/>
          <w:highlight w:val="none"/>
          <w:u w:val="none" w:color="auto"/>
        </w:rPr>
        <w:t>包气带防污性能分级</w:t>
      </w:r>
    </w:p>
    <w:p w14:paraId="6A00FB1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包气带防污性能分级详见下表</w:t>
      </w:r>
    </w:p>
    <w:p w14:paraId="24D11E2F">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.1-10包气带防污性能分级</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9"/>
        <w:gridCol w:w="7653"/>
      </w:tblGrid>
      <w:tr w14:paraId="5F782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39CC81BB">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分级</w:t>
            </w:r>
          </w:p>
        </w:tc>
        <w:tc>
          <w:tcPr>
            <w:tcW w:w="7653" w:type="dxa"/>
            <w:vAlign w:val="center"/>
          </w:tcPr>
          <w:p w14:paraId="4DA8C20B">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包气带岩土的渗透性能</w:t>
            </w:r>
          </w:p>
        </w:tc>
      </w:tr>
      <w:tr w14:paraId="1689E6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790D5FE0">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D3</w:t>
            </w:r>
          </w:p>
        </w:tc>
        <w:tc>
          <w:tcPr>
            <w:tcW w:w="7653" w:type="dxa"/>
            <w:vAlign w:val="center"/>
          </w:tcPr>
          <w:p w14:paraId="440E791B">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Mb≥1.0m，K≤1.0×10</w:t>
            </w:r>
            <w:r>
              <w:rPr>
                <w:rFonts w:hint="default" w:ascii="Times New Roman" w:hAnsi="Times New Roman" w:eastAsia="宋体" w:cs="Times New Roman"/>
                <w:color w:val="auto"/>
                <w:kern w:val="0"/>
                <w:sz w:val="21"/>
                <w:szCs w:val="21"/>
                <w:highlight w:val="none"/>
                <w:u w:val="none" w:color="auto"/>
                <w:vertAlign w:val="superscript"/>
              </w:rPr>
              <w:t>-6</w:t>
            </w:r>
            <w:r>
              <w:rPr>
                <w:rFonts w:hint="default" w:ascii="Times New Roman" w:hAnsi="Times New Roman" w:eastAsia="宋体" w:cs="Times New Roman"/>
                <w:color w:val="auto"/>
                <w:kern w:val="0"/>
                <w:sz w:val="21"/>
                <w:szCs w:val="21"/>
                <w:highlight w:val="none"/>
                <w:u w:val="none" w:color="auto"/>
              </w:rPr>
              <w:t>cm/s，且分布连续、稳定</w:t>
            </w:r>
          </w:p>
        </w:tc>
      </w:tr>
      <w:tr w14:paraId="3D3ECB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08D8DEB2">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D2</w:t>
            </w:r>
          </w:p>
        </w:tc>
        <w:tc>
          <w:tcPr>
            <w:tcW w:w="7653" w:type="dxa"/>
            <w:vAlign w:val="center"/>
          </w:tcPr>
          <w:p w14:paraId="73CA67D3">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0.5m≤Mb＜1.0m，K≤1.0×10</w:t>
            </w:r>
            <w:r>
              <w:rPr>
                <w:rFonts w:hint="default" w:ascii="Times New Roman" w:hAnsi="Times New Roman" w:eastAsia="宋体" w:cs="Times New Roman"/>
                <w:color w:val="auto"/>
                <w:kern w:val="0"/>
                <w:sz w:val="21"/>
                <w:szCs w:val="21"/>
                <w:highlight w:val="none"/>
                <w:u w:val="none" w:color="auto"/>
                <w:vertAlign w:val="superscript"/>
              </w:rPr>
              <w:t>-6</w:t>
            </w:r>
            <w:r>
              <w:rPr>
                <w:rFonts w:hint="default" w:ascii="Times New Roman" w:hAnsi="Times New Roman" w:eastAsia="宋体" w:cs="Times New Roman"/>
                <w:color w:val="auto"/>
                <w:kern w:val="0"/>
                <w:sz w:val="21"/>
                <w:szCs w:val="21"/>
                <w:highlight w:val="none"/>
                <w:u w:val="none" w:color="auto"/>
              </w:rPr>
              <w:t>cm/s，且分布连续、稳定</w:t>
            </w:r>
          </w:p>
          <w:p w14:paraId="72027F99">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Mb≥1.0m，1.0×10</w:t>
            </w:r>
            <w:r>
              <w:rPr>
                <w:rFonts w:hint="default" w:ascii="Times New Roman" w:hAnsi="Times New Roman" w:eastAsia="宋体" w:cs="Times New Roman"/>
                <w:color w:val="auto"/>
                <w:kern w:val="0"/>
                <w:sz w:val="21"/>
                <w:szCs w:val="21"/>
                <w:highlight w:val="none"/>
                <w:u w:val="none" w:color="auto"/>
                <w:vertAlign w:val="superscript"/>
              </w:rPr>
              <w:t>-6</w:t>
            </w:r>
            <w:r>
              <w:rPr>
                <w:rFonts w:hint="default" w:ascii="Times New Roman" w:hAnsi="Times New Roman" w:eastAsia="宋体" w:cs="Times New Roman"/>
                <w:color w:val="auto"/>
                <w:kern w:val="0"/>
                <w:sz w:val="21"/>
                <w:szCs w:val="21"/>
                <w:highlight w:val="none"/>
                <w:u w:val="none" w:color="auto"/>
              </w:rPr>
              <w:t>cm/s＜K≤1.0×10</w:t>
            </w:r>
            <w:r>
              <w:rPr>
                <w:rFonts w:hint="default" w:ascii="Times New Roman" w:hAnsi="Times New Roman" w:eastAsia="宋体" w:cs="Times New Roman"/>
                <w:color w:val="auto"/>
                <w:kern w:val="0"/>
                <w:sz w:val="21"/>
                <w:szCs w:val="21"/>
                <w:highlight w:val="none"/>
                <w:u w:val="none" w:color="auto"/>
                <w:vertAlign w:val="superscript"/>
              </w:rPr>
              <w:t>-4</w:t>
            </w:r>
            <w:r>
              <w:rPr>
                <w:rFonts w:hint="default" w:ascii="Times New Roman" w:hAnsi="Times New Roman" w:eastAsia="宋体" w:cs="Times New Roman"/>
                <w:color w:val="auto"/>
                <w:kern w:val="0"/>
                <w:sz w:val="21"/>
                <w:szCs w:val="21"/>
                <w:highlight w:val="none"/>
                <w:u w:val="none" w:color="auto"/>
              </w:rPr>
              <w:t>cm/s，且分布连续、稳定</w:t>
            </w:r>
          </w:p>
        </w:tc>
      </w:tr>
      <w:tr w14:paraId="11C37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69" w:type="dxa"/>
            <w:vAlign w:val="center"/>
          </w:tcPr>
          <w:p w14:paraId="2854BE43">
            <w:pPr>
              <w:autoSpaceDE w:val="0"/>
              <w:autoSpaceDN w:val="0"/>
              <w:adjustRightInd w:val="0"/>
              <w:spacing w:line="240" w:lineRule="auto"/>
              <w:jc w:val="center"/>
              <w:rPr>
                <w:rFonts w:hint="default" w:ascii="Times New Roman" w:hAnsi="Times New Roman" w:eastAsia="宋体" w:cs="Times New Roman"/>
                <w:color w:val="auto"/>
                <w:kern w:val="0"/>
                <w:sz w:val="21"/>
                <w:szCs w:val="24"/>
                <w:highlight w:val="none"/>
                <w:u w:val="none" w:color="auto"/>
              </w:rPr>
            </w:pPr>
            <w:r>
              <w:rPr>
                <w:rFonts w:hint="default" w:ascii="Times New Roman" w:hAnsi="Times New Roman" w:eastAsia="宋体" w:cs="Times New Roman"/>
                <w:color w:val="auto"/>
                <w:kern w:val="0"/>
                <w:sz w:val="21"/>
                <w:szCs w:val="24"/>
                <w:highlight w:val="none"/>
                <w:u w:val="none" w:color="auto"/>
              </w:rPr>
              <w:t>D1</w:t>
            </w:r>
          </w:p>
        </w:tc>
        <w:tc>
          <w:tcPr>
            <w:tcW w:w="7653" w:type="dxa"/>
            <w:vAlign w:val="center"/>
          </w:tcPr>
          <w:p w14:paraId="48035A8E">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岩（土）层不满足上述“D2”和“D3”条件</w:t>
            </w:r>
          </w:p>
        </w:tc>
      </w:tr>
    </w:tbl>
    <w:p w14:paraId="33FC58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项目所在区域包气带防污性能为D1。</w:t>
      </w:r>
    </w:p>
    <w:p w14:paraId="0B8BE5D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微软雅黑" w:cs="Times New Roman"/>
          <w:color w:val="auto"/>
          <w:sz w:val="24"/>
          <w:szCs w:val="24"/>
          <w:highlight w:val="none"/>
          <w:u w:val="none" w:color="auto"/>
        </w:rPr>
        <w:t>③</w:t>
      </w:r>
      <w:r>
        <w:rPr>
          <w:rFonts w:hint="default" w:ascii="Times New Roman" w:hAnsi="Times New Roman" w:eastAsia="宋体" w:cs="Times New Roman"/>
          <w:color w:val="auto"/>
          <w:sz w:val="24"/>
          <w:szCs w:val="24"/>
          <w:highlight w:val="none"/>
          <w:u w:val="none" w:color="auto"/>
        </w:rPr>
        <w:t>地下水环境敏感程度分级</w:t>
      </w:r>
    </w:p>
    <w:p w14:paraId="7DCF6BFB">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.1-11地下水环境敏感程度分级</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55"/>
        <w:gridCol w:w="1923"/>
        <w:gridCol w:w="1923"/>
        <w:gridCol w:w="1921"/>
      </w:tblGrid>
      <w:tr w14:paraId="13CC9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Merge w:val="restart"/>
            <w:vAlign w:val="center"/>
          </w:tcPr>
          <w:p w14:paraId="783CB50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包气带防污性能</w:t>
            </w:r>
          </w:p>
        </w:tc>
        <w:tc>
          <w:tcPr>
            <w:tcW w:w="5767" w:type="dxa"/>
            <w:gridSpan w:val="3"/>
            <w:vAlign w:val="center"/>
          </w:tcPr>
          <w:p w14:paraId="08D880F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地下水功能敏感性</w:t>
            </w:r>
          </w:p>
        </w:tc>
      </w:tr>
      <w:tr w14:paraId="437D7F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Merge w:val="continue"/>
            <w:vAlign w:val="center"/>
          </w:tcPr>
          <w:p w14:paraId="4CDF8933">
            <w:pPr>
              <w:widowControl/>
              <w:spacing w:line="240" w:lineRule="auto"/>
              <w:rPr>
                <w:rFonts w:hint="default" w:ascii="Times New Roman" w:hAnsi="Times New Roman" w:eastAsia="宋体" w:cs="Times New Roman"/>
                <w:color w:val="auto"/>
                <w:sz w:val="21"/>
                <w:szCs w:val="21"/>
                <w:highlight w:val="none"/>
                <w:u w:val="none" w:color="auto"/>
              </w:rPr>
            </w:pPr>
          </w:p>
        </w:tc>
        <w:tc>
          <w:tcPr>
            <w:tcW w:w="1923" w:type="dxa"/>
            <w:vAlign w:val="center"/>
          </w:tcPr>
          <w:p w14:paraId="2A8FE71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G1</w:t>
            </w:r>
          </w:p>
        </w:tc>
        <w:tc>
          <w:tcPr>
            <w:tcW w:w="1923" w:type="dxa"/>
            <w:vAlign w:val="center"/>
          </w:tcPr>
          <w:p w14:paraId="4B1D4AC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G2</w:t>
            </w:r>
          </w:p>
        </w:tc>
        <w:tc>
          <w:tcPr>
            <w:tcW w:w="1921" w:type="dxa"/>
            <w:vAlign w:val="center"/>
          </w:tcPr>
          <w:p w14:paraId="61BCD33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G3</w:t>
            </w:r>
          </w:p>
        </w:tc>
      </w:tr>
      <w:tr w14:paraId="5C265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Align w:val="center"/>
          </w:tcPr>
          <w:p w14:paraId="12590CF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D1</w:t>
            </w:r>
          </w:p>
        </w:tc>
        <w:tc>
          <w:tcPr>
            <w:tcW w:w="1923" w:type="dxa"/>
            <w:vAlign w:val="center"/>
          </w:tcPr>
          <w:p w14:paraId="597E7A8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E1</w:t>
            </w:r>
          </w:p>
        </w:tc>
        <w:tc>
          <w:tcPr>
            <w:tcW w:w="1923" w:type="dxa"/>
            <w:vAlign w:val="center"/>
          </w:tcPr>
          <w:p w14:paraId="1C03DA5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E1</w:t>
            </w:r>
          </w:p>
        </w:tc>
        <w:tc>
          <w:tcPr>
            <w:tcW w:w="1921" w:type="dxa"/>
            <w:vAlign w:val="center"/>
          </w:tcPr>
          <w:p w14:paraId="20E3E5E9">
            <w:pPr>
              <w:spacing w:line="240" w:lineRule="auto"/>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E2</w:t>
            </w:r>
          </w:p>
        </w:tc>
      </w:tr>
      <w:tr w14:paraId="5A3A7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Align w:val="center"/>
          </w:tcPr>
          <w:p w14:paraId="48C5A37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D2</w:t>
            </w:r>
          </w:p>
        </w:tc>
        <w:tc>
          <w:tcPr>
            <w:tcW w:w="1923" w:type="dxa"/>
            <w:vAlign w:val="center"/>
          </w:tcPr>
          <w:p w14:paraId="468AA05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E1</w:t>
            </w:r>
          </w:p>
        </w:tc>
        <w:tc>
          <w:tcPr>
            <w:tcW w:w="1923" w:type="dxa"/>
            <w:vAlign w:val="center"/>
          </w:tcPr>
          <w:p w14:paraId="041FCAB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E2</w:t>
            </w:r>
          </w:p>
        </w:tc>
        <w:tc>
          <w:tcPr>
            <w:tcW w:w="1921" w:type="dxa"/>
            <w:vAlign w:val="center"/>
          </w:tcPr>
          <w:p w14:paraId="67E85A5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E3</w:t>
            </w:r>
          </w:p>
        </w:tc>
      </w:tr>
      <w:tr w14:paraId="343EB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755" w:type="dxa"/>
            <w:vAlign w:val="center"/>
          </w:tcPr>
          <w:p w14:paraId="77D2CD5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D3</w:t>
            </w:r>
          </w:p>
        </w:tc>
        <w:tc>
          <w:tcPr>
            <w:tcW w:w="1923" w:type="dxa"/>
            <w:vAlign w:val="center"/>
          </w:tcPr>
          <w:p w14:paraId="5C10BA6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E1</w:t>
            </w:r>
          </w:p>
        </w:tc>
        <w:tc>
          <w:tcPr>
            <w:tcW w:w="1923" w:type="dxa"/>
            <w:vAlign w:val="center"/>
          </w:tcPr>
          <w:p w14:paraId="27FEAFF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E2</w:t>
            </w:r>
          </w:p>
        </w:tc>
        <w:tc>
          <w:tcPr>
            <w:tcW w:w="1921" w:type="dxa"/>
            <w:vAlign w:val="center"/>
          </w:tcPr>
          <w:p w14:paraId="510DA16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E3</w:t>
            </w:r>
          </w:p>
        </w:tc>
      </w:tr>
    </w:tbl>
    <w:p w14:paraId="6C72172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根据上表，地下水功能敏感性为G3，包气带防污性能为D1，判定地下水环境敏感程度为E2。</w:t>
      </w:r>
    </w:p>
    <w:p w14:paraId="204A8F0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none" w:color="auto"/>
          <w:lang w:val="en-US" w:eastAsia="zh-CN"/>
        </w:rPr>
      </w:pPr>
      <w:r>
        <w:rPr>
          <w:rFonts w:hint="default" w:ascii="Times New Roman" w:hAnsi="Times New Roman" w:eastAsia="宋体" w:cs="Times New Roman"/>
          <w:b/>
          <w:bCs/>
          <w:color w:val="auto"/>
          <w:sz w:val="24"/>
          <w:szCs w:val="21"/>
          <w:highlight w:val="none"/>
          <w:u w:val="none" w:color="auto"/>
          <w:lang w:val="en-US" w:eastAsia="zh-CN"/>
        </w:rPr>
        <w:t>8.1.1.3本项目环境风险潜势分析</w:t>
      </w:r>
    </w:p>
    <w:p w14:paraId="2A1E52E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建设项目环境风险评价技术导则》（HJ169-2018），根据本项目涉及的物质和工艺系统的危险性及其所在地的环境敏感程度，并结合事故情形下环境影响途径，对建设项目潜在环境危害程度进行概化分析，环境风险潜势划分情况见下表。</w:t>
      </w:r>
    </w:p>
    <w:p w14:paraId="43C52DAA">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.1-12建设项目环境风险潜势划分表</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3"/>
        <w:gridCol w:w="1560"/>
        <w:gridCol w:w="1560"/>
        <w:gridCol w:w="1560"/>
        <w:gridCol w:w="1609"/>
      </w:tblGrid>
      <w:tr w14:paraId="7ED9E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233" w:type="dxa"/>
            <w:vMerge w:val="restart"/>
            <w:vAlign w:val="center"/>
          </w:tcPr>
          <w:p w14:paraId="6D63CE3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环境敏感程度（E）</w:t>
            </w:r>
          </w:p>
        </w:tc>
        <w:tc>
          <w:tcPr>
            <w:tcW w:w="6289" w:type="dxa"/>
            <w:gridSpan w:val="4"/>
            <w:vAlign w:val="center"/>
          </w:tcPr>
          <w:p w14:paraId="79331FD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危险物质及工艺系统危险性（P）</w:t>
            </w:r>
          </w:p>
        </w:tc>
      </w:tr>
      <w:tr w14:paraId="3C509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233" w:type="dxa"/>
            <w:vMerge w:val="continue"/>
            <w:vAlign w:val="center"/>
          </w:tcPr>
          <w:p w14:paraId="4B1D7368">
            <w:pPr>
              <w:widowControl/>
              <w:spacing w:line="240" w:lineRule="auto"/>
              <w:rPr>
                <w:rFonts w:hint="default" w:ascii="Times New Roman" w:hAnsi="Times New Roman" w:eastAsia="宋体" w:cs="Times New Roman"/>
                <w:color w:val="auto"/>
                <w:sz w:val="21"/>
                <w:szCs w:val="21"/>
                <w:highlight w:val="none"/>
                <w:u w:val="none" w:color="auto"/>
              </w:rPr>
            </w:pPr>
          </w:p>
        </w:tc>
        <w:tc>
          <w:tcPr>
            <w:tcW w:w="1560" w:type="dxa"/>
            <w:vAlign w:val="center"/>
          </w:tcPr>
          <w:p w14:paraId="7FD1323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极高危害（P1）</w:t>
            </w:r>
          </w:p>
        </w:tc>
        <w:tc>
          <w:tcPr>
            <w:tcW w:w="1560" w:type="dxa"/>
            <w:vAlign w:val="center"/>
          </w:tcPr>
          <w:p w14:paraId="25FE6CA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高度危害（P2）</w:t>
            </w:r>
          </w:p>
        </w:tc>
        <w:tc>
          <w:tcPr>
            <w:tcW w:w="1560" w:type="dxa"/>
            <w:vAlign w:val="center"/>
          </w:tcPr>
          <w:p w14:paraId="6504041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中毒危害（P3）</w:t>
            </w:r>
          </w:p>
        </w:tc>
        <w:tc>
          <w:tcPr>
            <w:tcW w:w="1609" w:type="dxa"/>
            <w:vAlign w:val="center"/>
          </w:tcPr>
          <w:p w14:paraId="6EC1A91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轻度危害（P4）</w:t>
            </w:r>
          </w:p>
        </w:tc>
      </w:tr>
      <w:tr w14:paraId="70F50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233" w:type="dxa"/>
            <w:vAlign w:val="center"/>
          </w:tcPr>
          <w:p w14:paraId="08A4093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环境高度敏感区（E1）</w:t>
            </w:r>
          </w:p>
        </w:tc>
        <w:tc>
          <w:tcPr>
            <w:tcW w:w="1560" w:type="dxa"/>
            <w:vAlign w:val="center"/>
          </w:tcPr>
          <w:p w14:paraId="14B3A61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Ⅳ</w:t>
            </w:r>
            <w:r>
              <w:rPr>
                <w:rFonts w:hint="default" w:ascii="Times New Roman" w:hAnsi="Times New Roman" w:eastAsia="宋体" w:cs="Times New Roman"/>
                <w:color w:val="auto"/>
                <w:sz w:val="21"/>
                <w:szCs w:val="21"/>
                <w:highlight w:val="none"/>
                <w:u w:val="none" w:color="auto"/>
                <w:vertAlign w:val="superscript"/>
              </w:rPr>
              <w:t>+</w:t>
            </w:r>
          </w:p>
        </w:tc>
        <w:tc>
          <w:tcPr>
            <w:tcW w:w="1560" w:type="dxa"/>
            <w:vAlign w:val="center"/>
          </w:tcPr>
          <w:p w14:paraId="0448B9D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Ⅳ</w:t>
            </w:r>
          </w:p>
        </w:tc>
        <w:tc>
          <w:tcPr>
            <w:tcW w:w="1560" w:type="dxa"/>
            <w:vAlign w:val="center"/>
          </w:tcPr>
          <w:p w14:paraId="4A2C7D8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w:t>
            </w:r>
          </w:p>
        </w:tc>
        <w:tc>
          <w:tcPr>
            <w:tcW w:w="1609" w:type="dxa"/>
            <w:vAlign w:val="center"/>
          </w:tcPr>
          <w:p w14:paraId="2AA5448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w:t>
            </w:r>
          </w:p>
        </w:tc>
      </w:tr>
      <w:tr w14:paraId="5A1BDE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233" w:type="dxa"/>
            <w:vAlign w:val="center"/>
          </w:tcPr>
          <w:p w14:paraId="0BD82CD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环境高度敏感区（E2）</w:t>
            </w:r>
          </w:p>
        </w:tc>
        <w:tc>
          <w:tcPr>
            <w:tcW w:w="1560" w:type="dxa"/>
            <w:vAlign w:val="center"/>
          </w:tcPr>
          <w:p w14:paraId="32FA9D9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Ⅳ</w:t>
            </w:r>
          </w:p>
        </w:tc>
        <w:tc>
          <w:tcPr>
            <w:tcW w:w="1560" w:type="dxa"/>
            <w:vAlign w:val="center"/>
          </w:tcPr>
          <w:p w14:paraId="6DD4A81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w:t>
            </w:r>
          </w:p>
        </w:tc>
        <w:tc>
          <w:tcPr>
            <w:tcW w:w="1560" w:type="dxa"/>
            <w:vAlign w:val="center"/>
          </w:tcPr>
          <w:p w14:paraId="1234797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w:t>
            </w:r>
          </w:p>
        </w:tc>
        <w:tc>
          <w:tcPr>
            <w:tcW w:w="1609" w:type="dxa"/>
            <w:vAlign w:val="center"/>
          </w:tcPr>
          <w:p w14:paraId="2DD6616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Ⅱ</w:t>
            </w:r>
          </w:p>
        </w:tc>
      </w:tr>
      <w:tr w14:paraId="62D7E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233" w:type="dxa"/>
            <w:vAlign w:val="center"/>
          </w:tcPr>
          <w:p w14:paraId="6E2F0D6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环境高度敏感区（E3）</w:t>
            </w:r>
          </w:p>
        </w:tc>
        <w:tc>
          <w:tcPr>
            <w:tcW w:w="1560" w:type="dxa"/>
            <w:vAlign w:val="center"/>
          </w:tcPr>
          <w:p w14:paraId="4FEBB91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w:t>
            </w:r>
          </w:p>
        </w:tc>
        <w:tc>
          <w:tcPr>
            <w:tcW w:w="1560" w:type="dxa"/>
            <w:vAlign w:val="center"/>
          </w:tcPr>
          <w:p w14:paraId="553DD66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w:t>
            </w:r>
          </w:p>
        </w:tc>
        <w:tc>
          <w:tcPr>
            <w:tcW w:w="1560" w:type="dxa"/>
            <w:vAlign w:val="center"/>
          </w:tcPr>
          <w:p w14:paraId="7A6926D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Ⅱ</w:t>
            </w:r>
          </w:p>
        </w:tc>
        <w:tc>
          <w:tcPr>
            <w:tcW w:w="1609" w:type="dxa"/>
            <w:vAlign w:val="center"/>
          </w:tcPr>
          <w:p w14:paraId="3CD6CA2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Ⅰ</w:t>
            </w:r>
          </w:p>
        </w:tc>
      </w:tr>
      <w:tr w14:paraId="21C70E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522" w:type="dxa"/>
            <w:gridSpan w:val="5"/>
            <w:vAlign w:val="center"/>
          </w:tcPr>
          <w:p w14:paraId="5CD42A56">
            <w:pPr>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注：Ⅳ</w:t>
            </w:r>
            <w:r>
              <w:rPr>
                <w:rFonts w:hint="default" w:ascii="Times New Roman" w:hAnsi="Times New Roman" w:eastAsia="宋体" w:cs="Times New Roman"/>
                <w:color w:val="auto"/>
                <w:sz w:val="21"/>
                <w:szCs w:val="21"/>
                <w:highlight w:val="none"/>
                <w:u w:val="none" w:color="auto"/>
                <w:vertAlign w:val="superscript"/>
              </w:rPr>
              <w:t>+</w:t>
            </w:r>
            <w:r>
              <w:rPr>
                <w:rFonts w:hint="default" w:ascii="Times New Roman" w:hAnsi="Times New Roman" w:eastAsia="宋体" w:cs="Times New Roman"/>
                <w:color w:val="auto"/>
                <w:sz w:val="21"/>
                <w:szCs w:val="21"/>
                <w:highlight w:val="none"/>
                <w:u w:val="none" w:color="auto"/>
              </w:rPr>
              <w:t>为极高环境风险</w:t>
            </w:r>
          </w:p>
        </w:tc>
      </w:tr>
    </w:tbl>
    <w:p w14:paraId="5CBAAAA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本项目各环境要素风险潜势详见下表。</w:t>
      </w:r>
    </w:p>
    <w:p w14:paraId="34B24B14">
      <w:pPr>
        <w:jc w:val="center"/>
        <w:rPr>
          <w:rFonts w:hint="default" w:ascii="Times New Roman" w:hAnsi="Times New Roman" w:eastAsia="宋体" w:cs="Times New Roman"/>
          <w:b/>
          <w:color w:val="auto"/>
          <w:sz w:val="21"/>
          <w:szCs w:val="18"/>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8</w:t>
      </w:r>
      <w:r>
        <w:rPr>
          <w:rFonts w:hint="default" w:ascii="Times New Roman" w:hAnsi="Times New Roman" w:eastAsia="宋体" w:cs="Times New Roman"/>
          <w:b/>
          <w:color w:val="auto"/>
          <w:sz w:val="21"/>
          <w:szCs w:val="18"/>
          <w:highlight w:val="none"/>
          <w:u w:val="single" w:color="auto"/>
        </w:rPr>
        <w:t>.1-13 本项目各环境要素风险潜势判定表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4"/>
        <w:gridCol w:w="2114"/>
        <w:gridCol w:w="2114"/>
        <w:gridCol w:w="2180"/>
      </w:tblGrid>
      <w:tr w14:paraId="5DC56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40" w:type="pct"/>
            <w:vAlign w:val="center"/>
          </w:tcPr>
          <w:p w14:paraId="5627507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环境要素</w:t>
            </w:r>
          </w:p>
        </w:tc>
        <w:tc>
          <w:tcPr>
            <w:tcW w:w="1240" w:type="pct"/>
            <w:vAlign w:val="center"/>
          </w:tcPr>
          <w:p w14:paraId="5F4ACB5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敏感程度分级（E）</w:t>
            </w:r>
          </w:p>
        </w:tc>
        <w:tc>
          <w:tcPr>
            <w:tcW w:w="1240" w:type="pct"/>
            <w:vAlign w:val="center"/>
          </w:tcPr>
          <w:p w14:paraId="567A79A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危险物质及工艺系统危险性（P）</w:t>
            </w:r>
          </w:p>
        </w:tc>
        <w:tc>
          <w:tcPr>
            <w:tcW w:w="1279" w:type="pct"/>
            <w:vAlign w:val="center"/>
          </w:tcPr>
          <w:p w14:paraId="441D6D3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环境风险潜势判断</w:t>
            </w:r>
          </w:p>
        </w:tc>
      </w:tr>
      <w:tr w14:paraId="3D9A8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40" w:type="pct"/>
            <w:vAlign w:val="center"/>
          </w:tcPr>
          <w:p w14:paraId="6F8CFFA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大气</w:t>
            </w:r>
          </w:p>
        </w:tc>
        <w:tc>
          <w:tcPr>
            <w:tcW w:w="1240" w:type="pct"/>
            <w:vAlign w:val="center"/>
          </w:tcPr>
          <w:p w14:paraId="7B63AAC4">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E2</w:t>
            </w:r>
          </w:p>
        </w:tc>
        <w:tc>
          <w:tcPr>
            <w:tcW w:w="1240" w:type="pct"/>
            <w:vAlign w:val="center"/>
          </w:tcPr>
          <w:p w14:paraId="3530740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P4</w:t>
            </w:r>
          </w:p>
        </w:tc>
        <w:tc>
          <w:tcPr>
            <w:tcW w:w="1279" w:type="pct"/>
            <w:vAlign w:val="center"/>
          </w:tcPr>
          <w:p w14:paraId="34363276">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Ⅱ</w:t>
            </w:r>
          </w:p>
        </w:tc>
      </w:tr>
      <w:tr w14:paraId="1843D2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40" w:type="pct"/>
            <w:vAlign w:val="center"/>
          </w:tcPr>
          <w:p w14:paraId="249A79FD">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地表水</w:t>
            </w:r>
          </w:p>
        </w:tc>
        <w:tc>
          <w:tcPr>
            <w:tcW w:w="1240" w:type="pct"/>
            <w:vAlign w:val="center"/>
          </w:tcPr>
          <w:p w14:paraId="1EF09728">
            <w:pPr>
              <w:spacing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E</w:t>
            </w:r>
            <w:r>
              <w:rPr>
                <w:rFonts w:hint="default" w:ascii="Times New Roman" w:hAnsi="Times New Roman" w:eastAsia="宋体" w:cs="Times New Roman"/>
                <w:color w:val="auto"/>
                <w:sz w:val="21"/>
                <w:szCs w:val="21"/>
                <w:highlight w:val="none"/>
                <w:u w:val="single" w:color="auto"/>
                <w:lang w:val="en-US" w:eastAsia="zh-CN"/>
              </w:rPr>
              <w:t>1</w:t>
            </w:r>
          </w:p>
        </w:tc>
        <w:tc>
          <w:tcPr>
            <w:tcW w:w="1240" w:type="pct"/>
            <w:vAlign w:val="center"/>
          </w:tcPr>
          <w:p w14:paraId="388712F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P4</w:t>
            </w:r>
          </w:p>
        </w:tc>
        <w:tc>
          <w:tcPr>
            <w:tcW w:w="1279" w:type="pct"/>
            <w:vAlign w:val="center"/>
          </w:tcPr>
          <w:p w14:paraId="2F9F6FD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Ⅲ</w:t>
            </w:r>
          </w:p>
        </w:tc>
      </w:tr>
      <w:tr w14:paraId="1A14D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240" w:type="pct"/>
            <w:vAlign w:val="center"/>
          </w:tcPr>
          <w:p w14:paraId="6271051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地下水</w:t>
            </w:r>
          </w:p>
        </w:tc>
        <w:tc>
          <w:tcPr>
            <w:tcW w:w="1240" w:type="pct"/>
            <w:vAlign w:val="center"/>
          </w:tcPr>
          <w:p w14:paraId="1EB83D85">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E2</w:t>
            </w:r>
          </w:p>
        </w:tc>
        <w:tc>
          <w:tcPr>
            <w:tcW w:w="1240" w:type="pct"/>
            <w:vAlign w:val="center"/>
          </w:tcPr>
          <w:p w14:paraId="6561FDD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P4</w:t>
            </w:r>
          </w:p>
        </w:tc>
        <w:tc>
          <w:tcPr>
            <w:tcW w:w="1279" w:type="pct"/>
            <w:vAlign w:val="center"/>
          </w:tcPr>
          <w:p w14:paraId="44FD7CD1">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Ⅱ</w:t>
            </w:r>
          </w:p>
        </w:tc>
      </w:tr>
    </w:tbl>
    <w:p w14:paraId="3F5D422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由上表可知，本项目环境风险潜势分级为Ⅲ级。</w:t>
      </w:r>
    </w:p>
    <w:p w14:paraId="1DBD3537">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8.1.2环境风险评价等级判定</w:t>
      </w:r>
    </w:p>
    <w:p w14:paraId="4D9A222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（1）评价工作等级</w:t>
      </w:r>
    </w:p>
    <w:p w14:paraId="403CA0A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根据《建设项目环境风险评价技术导则》（HJ169-2018），环境风险评价工作等级划分情况详见下表。</w:t>
      </w:r>
    </w:p>
    <w:p w14:paraId="7F8556EF">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eastAsia="zh-CN"/>
        </w:rPr>
        <w:t>8.1-1</w:t>
      </w:r>
      <w:r>
        <w:rPr>
          <w:rFonts w:hint="default" w:ascii="Times New Roman" w:hAnsi="Times New Roman" w:eastAsia="宋体" w:cs="Times New Roman"/>
          <w:b/>
          <w:color w:val="auto"/>
          <w:sz w:val="21"/>
          <w:szCs w:val="18"/>
          <w:highlight w:val="none"/>
          <w:u w:val="none" w:color="auto"/>
        </w:rPr>
        <w:t>4环境风险评价工作等级划分</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91"/>
        <w:gridCol w:w="1637"/>
        <w:gridCol w:w="1843"/>
        <w:gridCol w:w="1700"/>
        <w:gridCol w:w="1751"/>
      </w:tblGrid>
      <w:tr w14:paraId="03C22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3" w:type="pct"/>
            <w:vAlign w:val="center"/>
          </w:tcPr>
          <w:p w14:paraId="4B17E6A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环境风险潜势</w:t>
            </w:r>
          </w:p>
        </w:tc>
        <w:tc>
          <w:tcPr>
            <w:tcW w:w="960" w:type="pct"/>
            <w:vAlign w:val="center"/>
          </w:tcPr>
          <w:p w14:paraId="3D42A9E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Ⅳ、Ⅳ</w:t>
            </w:r>
            <w:r>
              <w:rPr>
                <w:rFonts w:hint="default" w:ascii="Times New Roman" w:hAnsi="Times New Roman" w:eastAsia="宋体" w:cs="Times New Roman"/>
                <w:color w:val="auto"/>
                <w:sz w:val="21"/>
                <w:szCs w:val="21"/>
                <w:highlight w:val="none"/>
                <w:u w:val="none" w:color="auto"/>
                <w:vertAlign w:val="superscript"/>
              </w:rPr>
              <w:t>+</w:t>
            </w:r>
          </w:p>
        </w:tc>
        <w:tc>
          <w:tcPr>
            <w:tcW w:w="1081" w:type="pct"/>
            <w:vAlign w:val="center"/>
          </w:tcPr>
          <w:p w14:paraId="23510F1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Ⅲ</w:t>
            </w:r>
          </w:p>
        </w:tc>
        <w:tc>
          <w:tcPr>
            <w:tcW w:w="997" w:type="pct"/>
            <w:vAlign w:val="center"/>
          </w:tcPr>
          <w:p w14:paraId="259E49C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Ⅱ</w:t>
            </w:r>
          </w:p>
        </w:tc>
        <w:tc>
          <w:tcPr>
            <w:tcW w:w="1027" w:type="pct"/>
            <w:vAlign w:val="center"/>
          </w:tcPr>
          <w:p w14:paraId="5A8517E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Ⅰ</w:t>
            </w:r>
          </w:p>
        </w:tc>
      </w:tr>
      <w:tr w14:paraId="6A765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3" w:type="pct"/>
            <w:vAlign w:val="center"/>
          </w:tcPr>
          <w:p w14:paraId="09DB14A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评价工作等级</w:t>
            </w:r>
          </w:p>
        </w:tc>
        <w:tc>
          <w:tcPr>
            <w:tcW w:w="960" w:type="pct"/>
            <w:shd w:val="clear" w:color="auto" w:fill="auto"/>
            <w:vAlign w:val="center"/>
          </w:tcPr>
          <w:p w14:paraId="21DE70F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一级</w:t>
            </w:r>
          </w:p>
        </w:tc>
        <w:tc>
          <w:tcPr>
            <w:tcW w:w="1081" w:type="pct"/>
            <w:vAlign w:val="center"/>
          </w:tcPr>
          <w:p w14:paraId="5543515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二级</w:t>
            </w:r>
          </w:p>
        </w:tc>
        <w:tc>
          <w:tcPr>
            <w:tcW w:w="997" w:type="pct"/>
            <w:vAlign w:val="center"/>
          </w:tcPr>
          <w:p w14:paraId="2EFEE23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三级</w:t>
            </w:r>
          </w:p>
        </w:tc>
        <w:tc>
          <w:tcPr>
            <w:tcW w:w="1027" w:type="pct"/>
            <w:vAlign w:val="center"/>
          </w:tcPr>
          <w:p w14:paraId="2B47B8E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简单分析</w:t>
            </w:r>
          </w:p>
        </w:tc>
      </w:tr>
    </w:tbl>
    <w:p w14:paraId="1679C0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根据上表，确定本项目环境风险评价等级为</w:t>
      </w:r>
      <w:r>
        <w:rPr>
          <w:rFonts w:hint="default" w:ascii="Times New Roman" w:hAnsi="Times New Roman" w:eastAsia="宋体" w:cs="Times New Roman"/>
          <w:color w:val="auto"/>
          <w:sz w:val="24"/>
          <w:szCs w:val="24"/>
          <w:highlight w:val="none"/>
          <w:u w:val="single" w:color="auto"/>
          <w:lang w:eastAsia="zh-CN"/>
        </w:rPr>
        <w:t>二</w:t>
      </w:r>
      <w:r>
        <w:rPr>
          <w:rFonts w:hint="default" w:ascii="Times New Roman" w:hAnsi="Times New Roman" w:eastAsia="宋体" w:cs="Times New Roman"/>
          <w:color w:val="auto"/>
          <w:sz w:val="24"/>
          <w:szCs w:val="24"/>
          <w:highlight w:val="none"/>
          <w:u w:val="single" w:color="auto"/>
        </w:rPr>
        <w:t>级评价。</w:t>
      </w:r>
    </w:p>
    <w:p w14:paraId="2D66984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（2）评价范围</w:t>
      </w:r>
    </w:p>
    <w:p w14:paraId="4BD08F8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大气评价风险评价范围：项目边界外</w:t>
      </w:r>
      <w:r>
        <w:rPr>
          <w:rFonts w:hint="default" w:ascii="Times New Roman" w:hAnsi="Times New Roman" w:eastAsia="宋体" w:cs="Times New Roman"/>
          <w:color w:val="auto"/>
          <w:sz w:val="24"/>
          <w:szCs w:val="24"/>
          <w:highlight w:val="none"/>
          <w:u w:val="single" w:color="auto"/>
          <w:lang w:val="en-US" w:eastAsia="zh-CN"/>
        </w:rPr>
        <w:t>3</w:t>
      </w:r>
      <w:r>
        <w:rPr>
          <w:rFonts w:hint="default" w:ascii="Times New Roman" w:hAnsi="Times New Roman" w:eastAsia="宋体" w:cs="Times New Roman"/>
          <w:color w:val="auto"/>
          <w:sz w:val="24"/>
          <w:szCs w:val="24"/>
          <w:highlight w:val="none"/>
          <w:u w:val="single" w:color="auto"/>
        </w:rPr>
        <w:t>km范围的区域，地表水风险评价范围：</w:t>
      </w:r>
      <w:r>
        <w:rPr>
          <w:rFonts w:hint="default" w:ascii="Times New Roman" w:hAnsi="Times New Roman" w:eastAsia="宋体" w:cs="Times New Roman"/>
          <w:color w:val="auto"/>
          <w:sz w:val="24"/>
          <w:szCs w:val="24"/>
          <w:highlight w:val="none"/>
          <w:u w:val="single" w:color="auto"/>
          <w:lang w:eastAsia="zh-CN"/>
        </w:rPr>
        <w:t>松木污水处理厂</w:t>
      </w:r>
      <w:r>
        <w:rPr>
          <w:rFonts w:hint="default" w:ascii="Times New Roman" w:hAnsi="Times New Roman" w:eastAsia="宋体" w:cs="Times New Roman"/>
          <w:color w:val="auto"/>
          <w:sz w:val="24"/>
          <w:szCs w:val="24"/>
          <w:highlight w:val="none"/>
          <w:u w:val="single" w:color="auto"/>
        </w:rPr>
        <w:t>污口上游500m的</w:t>
      </w:r>
      <w:r>
        <w:rPr>
          <w:rFonts w:hint="default" w:ascii="Times New Roman" w:hAnsi="Times New Roman" w:eastAsia="宋体" w:cs="Times New Roman"/>
          <w:color w:val="auto"/>
          <w:sz w:val="24"/>
          <w:szCs w:val="24"/>
          <w:highlight w:val="none"/>
          <w:u w:val="single" w:color="auto"/>
          <w:lang w:eastAsia="zh-CN"/>
        </w:rPr>
        <w:t>湘江</w:t>
      </w:r>
      <w:r>
        <w:rPr>
          <w:rFonts w:hint="default" w:ascii="Times New Roman" w:hAnsi="Times New Roman" w:eastAsia="宋体" w:cs="Times New Roman"/>
          <w:color w:val="auto"/>
          <w:sz w:val="24"/>
          <w:szCs w:val="24"/>
          <w:highlight w:val="none"/>
          <w:u w:val="single" w:color="auto"/>
        </w:rPr>
        <w:t>断面至下游5000m之间5.5km</w:t>
      </w:r>
      <w:r>
        <w:rPr>
          <w:rFonts w:hint="default"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rPr>
        <w:t>地下水环境风险评价范围为项目所在区域</w:t>
      </w:r>
      <w:r>
        <w:rPr>
          <w:rFonts w:hint="default" w:ascii="Times New Roman" w:hAnsi="Times New Roman" w:eastAsia="宋体" w:cs="Times New Roman"/>
          <w:color w:val="auto"/>
          <w:sz w:val="24"/>
          <w:szCs w:val="24"/>
          <w:highlight w:val="none"/>
          <w:u w:val="single" w:color="auto"/>
          <w:lang w:eastAsia="zh-CN"/>
        </w:rPr>
        <w:t>周边</w:t>
      </w:r>
      <w:r>
        <w:rPr>
          <w:rFonts w:hint="default" w:ascii="Times New Roman" w:hAnsi="Times New Roman" w:eastAsia="宋体" w:cs="Times New Roman"/>
          <w:color w:val="auto"/>
          <w:sz w:val="24"/>
          <w:szCs w:val="24"/>
          <w:highlight w:val="none"/>
          <w:u w:val="single" w:color="auto"/>
          <w:lang w:val="en-US" w:eastAsia="zh-CN"/>
        </w:rPr>
        <w:t>1000m</w:t>
      </w:r>
      <w:r>
        <w:rPr>
          <w:rFonts w:hint="default" w:ascii="Times New Roman" w:hAnsi="Times New Roman" w:eastAsia="宋体" w:cs="Times New Roman"/>
          <w:color w:val="auto"/>
          <w:sz w:val="24"/>
          <w:szCs w:val="24"/>
          <w:highlight w:val="none"/>
          <w:u w:val="single" w:color="auto"/>
        </w:rPr>
        <w:t>范围的区域。</w:t>
      </w:r>
    </w:p>
    <w:p w14:paraId="4B4BC012">
      <w:pPr>
        <w:jc w:val="center"/>
        <w:rPr>
          <w:rFonts w:hint="default" w:ascii="Times New Roman" w:hAnsi="Times New Roman" w:eastAsia="宋体" w:cs="Times New Roman"/>
          <w:b/>
          <w:color w:val="auto"/>
          <w:sz w:val="21"/>
          <w:szCs w:val="18"/>
          <w:highlight w:val="none"/>
          <w:u w:val="single" w:color="auto"/>
        </w:rPr>
      </w:pPr>
      <w:r>
        <w:rPr>
          <w:rFonts w:hint="eastAsia" w:ascii="Times New Roman" w:hAnsi="Times New Roman" w:eastAsia="宋体" w:cs="Times New Roman"/>
          <w:b/>
          <w:color w:val="auto"/>
          <w:sz w:val="21"/>
          <w:szCs w:val="18"/>
          <w:highlight w:val="none"/>
          <w:u w:val="single" w:color="auto"/>
        </w:rPr>
        <w:t>表</w:t>
      </w:r>
      <w:r>
        <w:rPr>
          <w:rFonts w:hint="eastAsia" w:ascii="Times New Roman" w:hAnsi="Times New Roman" w:eastAsia="宋体" w:cs="Times New Roman"/>
          <w:b/>
          <w:color w:val="auto"/>
          <w:sz w:val="21"/>
          <w:szCs w:val="18"/>
          <w:highlight w:val="none"/>
          <w:u w:val="single" w:color="auto"/>
          <w:lang w:val="en-US" w:eastAsia="zh-CN"/>
        </w:rPr>
        <w:t>8</w:t>
      </w:r>
      <w:r>
        <w:rPr>
          <w:rFonts w:hint="default" w:ascii="Times New Roman" w:hAnsi="Times New Roman" w:eastAsia="宋体" w:cs="Times New Roman"/>
          <w:b/>
          <w:color w:val="auto"/>
          <w:sz w:val="21"/>
          <w:szCs w:val="18"/>
          <w:highlight w:val="none"/>
          <w:u w:val="single" w:color="auto"/>
        </w:rPr>
        <w:t>.1-1</w:t>
      </w:r>
      <w:r>
        <w:rPr>
          <w:rFonts w:hint="eastAsia" w:ascii="Times New Roman" w:hAnsi="Times New Roman" w:eastAsia="宋体" w:cs="Times New Roman"/>
          <w:b/>
          <w:color w:val="auto"/>
          <w:sz w:val="21"/>
          <w:szCs w:val="18"/>
          <w:highlight w:val="none"/>
          <w:u w:val="single" w:color="auto"/>
        </w:rPr>
        <w:t>5项目风险保护目标表</w:t>
      </w:r>
    </w:p>
    <w:tbl>
      <w:tblPr>
        <w:tblStyle w:val="22"/>
        <w:tblW w:w="484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08"/>
        <w:gridCol w:w="2468"/>
        <w:gridCol w:w="1783"/>
        <w:gridCol w:w="1899"/>
      </w:tblGrid>
      <w:tr w14:paraId="227FF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vAlign w:val="center"/>
          </w:tcPr>
          <w:p w14:paraId="2167E002">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保护对象</w:t>
            </w:r>
          </w:p>
        </w:tc>
        <w:tc>
          <w:tcPr>
            <w:tcW w:w="1494" w:type="pct"/>
            <w:vAlign w:val="center"/>
          </w:tcPr>
          <w:p w14:paraId="37F9564D">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保护对象特征</w:t>
            </w:r>
          </w:p>
        </w:tc>
        <w:tc>
          <w:tcPr>
            <w:tcW w:w="1079" w:type="pct"/>
            <w:vAlign w:val="center"/>
          </w:tcPr>
          <w:p w14:paraId="7AD83955">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rPr>
              <w:t>方位</w:t>
            </w:r>
          </w:p>
        </w:tc>
        <w:tc>
          <w:tcPr>
            <w:tcW w:w="1149" w:type="pct"/>
            <w:vAlign w:val="center"/>
          </w:tcPr>
          <w:p w14:paraId="2E415F57">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ascii="Times New Roman" w:hAnsi="Times New Roman" w:eastAsia="宋体"/>
                <w:color w:val="auto"/>
                <w:sz w:val="21"/>
                <w:szCs w:val="21"/>
                <w:u w:val="single" w:color="auto"/>
              </w:rPr>
              <w:t>与本项目</w:t>
            </w:r>
            <w:r>
              <w:rPr>
                <w:rFonts w:hint="eastAsia" w:ascii="Times New Roman" w:hAnsi="Times New Roman" w:eastAsia="宋体"/>
                <w:color w:val="auto"/>
                <w:sz w:val="21"/>
                <w:szCs w:val="21"/>
                <w:u w:val="single" w:color="auto"/>
              </w:rPr>
              <w:t>最近距离</w:t>
            </w:r>
          </w:p>
        </w:tc>
      </w:tr>
      <w:tr w14:paraId="51757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bottom w:val="single" w:color="auto" w:sz="4" w:space="0"/>
            </w:tcBorders>
            <w:vAlign w:val="center"/>
          </w:tcPr>
          <w:p w14:paraId="6FDB923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金源街道办事处</w:t>
            </w:r>
          </w:p>
        </w:tc>
        <w:tc>
          <w:tcPr>
            <w:tcW w:w="1494" w:type="pct"/>
            <w:tcBorders>
              <w:bottom w:val="single" w:color="auto" w:sz="4" w:space="0"/>
            </w:tcBorders>
            <w:vAlign w:val="center"/>
          </w:tcPr>
          <w:p w14:paraId="5D91D305">
            <w:pPr>
              <w:adjustRightInd w:val="0"/>
              <w:snapToGrid w:val="0"/>
              <w:spacing w:line="240" w:lineRule="auto"/>
              <w:ind w:firstLine="0" w:firstLineChars="0"/>
              <w:jc w:val="center"/>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居民</w:t>
            </w:r>
          </w:p>
        </w:tc>
        <w:tc>
          <w:tcPr>
            <w:tcW w:w="1079" w:type="pct"/>
            <w:tcBorders>
              <w:bottom w:val="single" w:color="auto" w:sz="4" w:space="0"/>
            </w:tcBorders>
            <w:vAlign w:val="center"/>
          </w:tcPr>
          <w:p w14:paraId="0541AD5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w:t>
            </w:r>
          </w:p>
        </w:tc>
        <w:tc>
          <w:tcPr>
            <w:tcW w:w="1149" w:type="pct"/>
            <w:tcBorders>
              <w:bottom w:val="single" w:color="auto" w:sz="4" w:space="0"/>
            </w:tcBorders>
            <w:vAlign w:val="center"/>
          </w:tcPr>
          <w:p w14:paraId="7A5F248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840m</w:t>
            </w:r>
          </w:p>
        </w:tc>
      </w:tr>
      <w:tr w14:paraId="30872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top w:val="single" w:color="auto" w:sz="4" w:space="0"/>
            </w:tcBorders>
            <w:vAlign w:val="center"/>
          </w:tcPr>
          <w:p w14:paraId="23F9449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松木经开区公租房</w:t>
            </w:r>
          </w:p>
        </w:tc>
        <w:tc>
          <w:tcPr>
            <w:tcW w:w="1494" w:type="pct"/>
            <w:tcBorders>
              <w:top w:val="single" w:color="auto" w:sz="4" w:space="0"/>
            </w:tcBorders>
            <w:vAlign w:val="center"/>
          </w:tcPr>
          <w:p w14:paraId="7187157A">
            <w:pPr>
              <w:adjustRightInd w:val="0"/>
              <w:snapToGrid w:val="0"/>
              <w:spacing w:line="240" w:lineRule="auto"/>
              <w:ind w:firstLine="0" w:firstLineChars="0"/>
              <w:jc w:val="center"/>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居民</w:t>
            </w:r>
          </w:p>
        </w:tc>
        <w:tc>
          <w:tcPr>
            <w:tcW w:w="1079" w:type="pct"/>
            <w:tcBorders>
              <w:top w:val="single" w:color="auto" w:sz="4" w:space="0"/>
            </w:tcBorders>
            <w:vAlign w:val="center"/>
          </w:tcPr>
          <w:p w14:paraId="0AE4015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w:t>
            </w:r>
          </w:p>
        </w:tc>
        <w:tc>
          <w:tcPr>
            <w:tcW w:w="1149" w:type="pct"/>
            <w:tcBorders>
              <w:top w:val="single" w:color="auto" w:sz="4" w:space="0"/>
            </w:tcBorders>
            <w:vAlign w:val="center"/>
          </w:tcPr>
          <w:p w14:paraId="1556E90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1030m</w:t>
            </w:r>
          </w:p>
        </w:tc>
      </w:tr>
      <w:tr w14:paraId="36CEDA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bottom w:val="single" w:color="auto" w:sz="4" w:space="0"/>
            </w:tcBorders>
            <w:vAlign w:val="center"/>
          </w:tcPr>
          <w:p w14:paraId="7C7B665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金源社区居委会</w:t>
            </w:r>
          </w:p>
        </w:tc>
        <w:tc>
          <w:tcPr>
            <w:tcW w:w="1494" w:type="pct"/>
            <w:tcBorders>
              <w:bottom w:val="single" w:color="auto" w:sz="4" w:space="0"/>
            </w:tcBorders>
            <w:vAlign w:val="center"/>
          </w:tcPr>
          <w:p w14:paraId="2167C5DC">
            <w:pPr>
              <w:adjustRightInd w:val="0"/>
              <w:snapToGrid w:val="0"/>
              <w:spacing w:line="240" w:lineRule="auto"/>
              <w:ind w:firstLine="0" w:firstLineChars="0"/>
              <w:jc w:val="center"/>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行政办公</w:t>
            </w:r>
          </w:p>
        </w:tc>
        <w:tc>
          <w:tcPr>
            <w:tcW w:w="1079" w:type="pct"/>
            <w:tcBorders>
              <w:bottom w:val="single" w:color="auto" w:sz="4" w:space="0"/>
            </w:tcBorders>
            <w:vAlign w:val="center"/>
          </w:tcPr>
          <w:p w14:paraId="0D247E2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w:t>
            </w:r>
          </w:p>
        </w:tc>
        <w:tc>
          <w:tcPr>
            <w:tcW w:w="1149" w:type="pct"/>
            <w:tcBorders>
              <w:bottom w:val="single" w:color="auto" w:sz="4" w:space="0"/>
            </w:tcBorders>
            <w:vAlign w:val="center"/>
          </w:tcPr>
          <w:p w14:paraId="1A1642B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1650m</w:t>
            </w:r>
          </w:p>
        </w:tc>
      </w:tr>
      <w:tr w14:paraId="2E327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top w:val="single" w:color="auto" w:sz="4" w:space="0"/>
            </w:tcBorders>
            <w:vAlign w:val="center"/>
          </w:tcPr>
          <w:p w14:paraId="5C1BB1A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松木经开区管委会</w:t>
            </w:r>
          </w:p>
        </w:tc>
        <w:tc>
          <w:tcPr>
            <w:tcW w:w="1494" w:type="pct"/>
            <w:tcBorders>
              <w:top w:val="single" w:color="auto" w:sz="4" w:space="0"/>
            </w:tcBorders>
            <w:vAlign w:val="center"/>
          </w:tcPr>
          <w:p w14:paraId="0831D7D3">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行政办公</w:t>
            </w:r>
          </w:p>
        </w:tc>
        <w:tc>
          <w:tcPr>
            <w:tcW w:w="1079" w:type="pct"/>
            <w:tcBorders>
              <w:top w:val="single" w:color="auto" w:sz="4" w:space="0"/>
            </w:tcBorders>
            <w:vAlign w:val="center"/>
          </w:tcPr>
          <w:p w14:paraId="5E42872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w:t>
            </w:r>
          </w:p>
        </w:tc>
        <w:tc>
          <w:tcPr>
            <w:tcW w:w="1149" w:type="pct"/>
            <w:tcBorders>
              <w:top w:val="single" w:color="auto" w:sz="4" w:space="0"/>
            </w:tcBorders>
            <w:vAlign w:val="center"/>
          </w:tcPr>
          <w:p w14:paraId="0A824A3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1670m</w:t>
            </w:r>
          </w:p>
        </w:tc>
      </w:tr>
      <w:tr w14:paraId="1B518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bottom w:val="single" w:color="auto" w:sz="4" w:space="0"/>
            </w:tcBorders>
            <w:vAlign w:val="center"/>
          </w:tcPr>
          <w:p w14:paraId="3BF5ED70">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松木中学</w:t>
            </w:r>
          </w:p>
        </w:tc>
        <w:tc>
          <w:tcPr>
            <w:tcW w:w="1494" w:type="pct"/>
            <w:tcBorders>
              <w:bottom w:val="single" w:color="auto" w:sz="4" w:space="0"/>
            </w:tcBorders>
            <w:vAlign w:val="center"/>
          </w:tcPr>
          <w:p w14:paraId="727401F7">
            <w:pPr>
              <w:adjustRightInd w:val="0"/>
              <w:snapToGrid w:val="0"/>
              <w:spacing w:line="240" w:lineRule="auto"/>
              <w:ind w:firstLine="0" w:firstLineChars="0"/>
              <w:jc w:val="center"/>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师生</w:t>
            </w:r>
          </w:p>
        </w:tc>
        <w:tc>
          <w:tcPr>
            <w:tcW w:w="1079" w:type="pct"/>
            <w:tcBorders>
              <w:bottom w:val="single" w:color="auto" w:sz="4" w:space="0"/>
            </w:tcBorders>
            <w:vAlign w:val="center"/>
          </w:tcPr>
          <w:p w14:paraId="18EC211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w:t>
            </w:r>
          </w:p>
        </w:tc>
        <w:tc>
          <w:tcPr>
            <w:tcW w:w="1149" w:type="pct"/>
            <w:tcBorders>
              <w:bottom w:val="single" w:color="auto" w:sz="4" w:space="0"/>
            </w:tcBorders>
            <w:vAlign w:val="center"/>
          </w:tcPr>
          <w:p w14:paraId="0EE5D00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2020m</w:t>
            </w:r>
          </w:p>
        </w:tc>
      </w:tr>
      <w:tr w14:paraId="0080CA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top w:val="single" w:color="auto" w:sz="4" w:space="0"/>
            </w:tcBorders>
            <w:vAlign w:val="center"/>
          </w:tcPr>
          <w:p w14:paraId="009121F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湖南工商职业学院</w:t>
            </w:r>
          </w:p>
        </w:tc>
        <w:tc>
          <w:tcPr>
            <w:tcW w:w="1494" w:type="pct"/>
            <w:tcBorders>
              <w:top w:val="single" w:color="auto" w:sz="4" w:space="0"/>
              <w:bottom w:val="single" w:color="auto" w:sz="4" w:space="0"/>
            </w:tcBorders>
            <w:vAlign w:val="center"/>
          </w:tcPr>
          <w:p w14:paraId="3DF907F9">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师生</w:t>
            </w:r>
          </w:p>
        </w:tc>
        <w:tc>
          <w:tcPr>
            <w:tcW w:w="1079" w:type="pct"/>
            <w:tcBorders>
              <w:top w:val="single" w:color="auto" w:sz="4" w:space="0"/>
              <w:bottom w:val="single" w:color="auto" w:sz="4" w:space="0"/>
            </w:tcBorders>
            <w:vAlign w:val="center"/>
          </w:tcPr>
          <w:p w14:paraId="1BFD663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w:t>
            </w:r>
          </w:p>
        </w:tc>
        <w:tc>
          <w:tcPr>
            <w:tcW w:w="1149" w:type="pct"/>
            <w:tcBorders>
              <w:top w:val="single" w:color="auto" w:sz="4" w:space="0"/>
              <w:bottom w:val="single" w:color="auto" w:sz="4" w:space="0"/>
            </w:tcBorders>
            <w:vAlign w:val="center"/>
          </w:tcPr>
          <w:p w14:paraId="7A4E5C8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1700m</w:t>
            </w:r>
          </w:p>
        </w:tc>
      </w:tr>
      <w:tr w14:paraId="62E6C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bottom w:val="single" w:color="auto" w:sz="4" w:space="0"/>
            </w:tcBorders>
            <w:vAlign w:val="center"/>
          </w:tcPr>
          <w:p w14:paraId="3EA7634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松木胜利小区</w:t>
            </w:r>
          </w:p>
        </w:tc>
        <w:tc>
          <w:tcPr>
            <w:tcW w:w="1494" w:type="pct"/>
            <w:tcBorders>
              <w:top w:val="single" w:color="auto" w:sz="4" w:space="0"/>
              <w:bottom w:val="single" w:color="auto" w:sz="4" w:space="0"/>
            </w:tcBorders>
            <w:vAlign w:val="center"/>
          </w:tcPr>
          <w:p w14:paraId="503317CC">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tcBorders>
              <w:top w:val="single" w:color="auto" w:sz="4" w:space="0"/>
              <w:bottom w:val="single" w:color="auto" w:sz="4" w:space="0"/>
            </w:tcBorders>
            <w:vAlign w:val="center"/>
          </w:tcPr>
          <w:p w14:paraId="414B716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w:t>
            </w:r>
          </w:p>
        </w:tc>
        <w:tc>
          <w:tcPr>
            <w:tcW w:w="1149" w:type="pct"/>
            <w:tcBorders>
              <w:top w:val="single" w:color="auto" w:sz="4" w:space="0"/>
              <w:bottom w:val="single" w:color="auto" w:sz="4" w:space="0"/>
            </w:tcBorders>
            <w:vAlign w:val="center"/>
          </w:tcPr>
          <w:p w14:paraId="5157460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2100m</w:t>
            </w:r>
          </w:p>
        </w:tc>
      </w:tr>
      <w:tr w14:paraId="1BA516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top w:val="single" w:color="auto" w:sz="4" w:space="0"/>
            </w:tcBorders>
            <w:vAlign w:val="center"/>
          </w:tcPr>
          <w:p w14:paraId="218CB0C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松木小学</w:t>
            </w:r>
          </w:p>
        </w:tc>
        <w:tc>
          <w:tcPr>
            <w:tcW w:w="1494" w:type="pct"/>
            <w:tcBorders>
              <w:top w:val="single" w:color="auto" w:sz="4" w:space="0"/>
            </w:tcBorders>
            <w:vAlign w:val="center"/>
          </w:tcPr>
          <w:p w14:paraId="4D9FE44A">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师生</w:t>
            </w:r>
          </w:p>
        </w:tc>
        <w:tc>
          <w:tcPr>
            <w:tcW w:w="1079" w:type="pct"/>
            <w:tcBorders>
              <w:top w:val="single" w:color="auto" w:sz="4" w:space="0"/>
            </w:tcBorders>
            <w:vAlign w:val="center"/>
          </w:tcPr>
          <w:p w14:paraId="2B139E2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WN</w:t>
            </w:r>
          </w:p>
        </w:tc>
        <w:tc>
          <w:tcPr>
            <w:tcW w:w="1149" w:type="pct"/>
            <w:tcBorders>
              <w:top w:val="single" w:color="auto" w:sz="4" w:space="0"/>
            </w:tcBorders>
            <w:vAlign w:val="center"/>
          </w:tcPr>
          <w:p w14:paraId="7D7DAD4E">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2140</w:t>
            </w:r>
            <w:r>
              <w:rPr>
                <w:rFonts w:hint="default" w:ascii="Times New Roman" w:hAnsi="Times New Roman" w:eastAsia="宋体" w:cs="Times New Roman"/>
                <w:color w:val="auto"/>
                <w:sz w:val="21"/>
                <w:szCs w:val="21"/>
                <w:highlight w:val="none"/>
                <w:u w:val="single" w:color="auto"/>
              </w:rPr>
              <w:t>m</w:t>
            </w:r>
          </w:p>
        </w:tc>
      </w:tr>
      <w:tr w14:paraId="02169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top w:val="single" w:color="auto" w:sz="4" w:space="0"/>
            </w:tcBorders>
            <w:vAlign w:val="center"/>
          </w:tcPr>
          <w:p w14:paraId="5087E6F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金源小学</w:t>
            </w:r>
          </w:p>
        </w:tc>
        <w:tc>
          <w:tcPr>
            <w:tcW w:w="1494" w:type="pct"/>
            <w:vAlign w:val="center"/>
          </w:tcPr>
          <w:p w14:paraId="4C833A5C">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师生</w:t>
            </w:r>
          </w:p>
        </w:tc>
        <w:tc>
          <w:tcPr>
            <w:tcW w:w="1079" w:type="pct"/>
            <w:vAlign w:val="center"/>
          </w:tcPr>
          <w:p w14:paraId="0A24114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WN</w:t>
            </w:r>
          </w:p>
        </w:tc>
        <w:tc>
          <w:tcPr>
            <w:tcW w:w="1149" w:type="pct"/>
            <w:vAlign w:val="center"/>
          </w:tcPr>
          <w:p w14:paraId="50BF7B5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2160</w:t>
            </w:r>
            <w:r>
              <w:rPr>
                <w:rFonts w:hint="default" w:ascii="Times New Roman" w:hAnsi="Times New Roman" w:eastAsia="宋体" w:cs="Times New Roman"/>
                <w:color w:val="auto"/>
                <w:sz w:val="21"/>
                <w:szCs w:val="21"/>
                <w:highlight w:val="none"/>
                <w:u w:val="single" w:color="auto"/>
              </w:rPr>
              <w:t>m</w:t>
            </w:r>
          </w:p>
        </w:tc>
      </w:tr>
      <w:tr w14:paraId="0E234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top w:val="single" w:color="auto" w:sz="4" w:space="0"/>
            </w:tcBorders>
            <w:vAlign w:val="center"/>
          </w:tcPr>
          <w:p w14:paraId="479EC27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左家垅</w:t>
            </w:r>
          </w:p>
        </w:tc>
        <w:tc>
          <w:tcPr>
            <w:tcW w:w="1494" w:type="pct"/>
            <w:tcBorders>
              <w:top w:val="single" w:color="auto" w:sz="4" w:space="0"/>
            </w:tcBorders>
            <w:vAlign w:val="center"/>
          </w:tcPr>
          <w:p w14:paraId="6054D687">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tcBorders>
              <w:top w:val="single" w:color="auto" w:sz="4" w:space="0"/>
            </w:tcBorders>
            <w:vAlign w:val="center"/>
          </w:tcPr>
          <w:p w14:paraId="4EE8238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WN</w:t>
            </w:r>
          </w:p>
        </w:tc>
        <w:tc>
          <w:tcPr>
            <w:tcW w:w="1149" w:type="pct"/>
            <w:tcBorders>
              <w:top w:val="single" w:color="auto" w:sz="4" w:space="0"/>
            </w:tcBorders>
            <w:vAlign w:val="center"/>
          </w:tcPr>
          <w:p w14:paraId="4DD3C86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1840</w:t>
            </w:r>
            <w:r>
              <w:rPr>
                <w:rFonts w:hint="default" w:ascii="Times New Roman" w:hAnsi="Times New Roman" w:eastAsia="宋体" w:cs="Times New Roman"/>
                <w:color w:val="auto"/>
                <w:sz w:val="21"/>
                <w:szCs w:val="21"/>
                <w:highlight w:val="none"/>
                <w:u w:val="single" w:color="auto"/>
              </w:rPr>
              <w:t>m</w:t>
            </w:r>
          </w:p>
        </w:tc>
      </w:tr>
      <w:tr w14:paraId="765055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bottom w:val="single" w:color="auto" w:sz="4" w:space="0"/>
            </w:tcBorders>
            <w:vAlign w:val="center"/>
          </w:tcPr>
          <w:p w14:paraId="69C417F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鱼子塘</w:t>
            </w:r>
          </w:p>
        </w:tc>
        <w:tc>
          <w:tcPr>
            <w:tcW w:w="1494" w:type="pct"/>
            <w:vAlign w:val="center"/>
          </w:tcPr>
          <w:p w14:paraId="5FAE5091">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vAlign w:val="center"/>
          </w:tcPr>
          <w:p w14:paraId="1846966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WN</w:t>
            </w:r>
          </w:p>
        </w:tc>
        <w:tc>
          <w:tcPr>
            <w:tcW w:w="1149" w:type="pct"/>
            <w:vAlign w:val="center"/>
          </w:tcPr>
          <w:p w14:paraId="46FB0FD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2400</w:t>
            </w:r>
            <w:r>
              <w:rPr>
                <w:rFonts w:hint="default" w:ascii="Times New Roman" w:hAnsi="Times New Roman" w:eastAsia="宋体" w:cs="Times New Roman"/>
                <w:color w:val="auto"/>
                <w:sz w:val="21"/>
                <w:szCs w:val="21"/>
                <w:highlight w:val="none"/>
                <w:u w:val="single" w:color="auto"/>
              </w:rPr>
              <w:t>m</w:t>
            </w:r>
          </w:p>
        </w:tc>
      </w:tr>
      <w:tr w14:paraId="6AB65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tcBorders>
              <w:bottom w:val="single" w:color="auto" w:sz="4" w:space="0"/>
            </w:tcBorders>
            <w:vAlign w:val="center"/>
          </w:tcPr>
          <w:p w14:paraId="1BCBF9C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新安村</w:t>
            </w:r>
          </w:p>
        </w:tc>
        <w:tc>
          <w:tcPr>
            <w:tcW w:w="1494" w:type="pct"/>
            <w:vAlign w:val="center"/>
          </w:tcPr>
          <w:p w14:paraId="7F376041">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vAlign w:val="center"/>
          </w:tcPr>
          <w:p w14:paraId="61E03AE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EN</w:t>
            </w:r>
          </w:p>
        </w:tc>
        <w:tc>
          <w:tcPr>
            <w:tcW w:w="1149" w:type="pct"/>
            <w:vAlign w:val="center"/>
          </w:tcPr>
          <w:p w14:paraId="5A467BFB">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1970</w:t>
            </w:r>
            <w:r>
              <w:rPr>
                <w:rFonts w:hint="default" w:ascii="Times New Roman" w:hAnsi="Times New Roman" w:eastAsia="宋体" w:cs="Times New Roman"/>
                <w:color w:val="auto"/>
                <w:sz w:val="21"/>
                <w:szCs w:val="21"/>
                <w:highlight w:val="none"/>
                <w:u w:val="single" w:color="auto"/>
              </w:rPr>
              <w:t>m</w:t>
            </w:r>
          </w:p>
        </w:tc>
      </w:tr>
      <w:tr w14:paraId="3218B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vAlign w:val="center"/>
          </w:tcPr>
          <w:p w14:paraId="0659370A">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金甲村</w:t>
            </w:r>
          </w:p>
        </w:tc>
        <w:tc>
          <w:tcPr>
            <w:tcW w:w="1494" w:type="pct"/>
            <w:vAlign w:val="center"/>
          </w:tcPr>
          <w:p w14:paraId="0A565B4A">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vAlign w:val="center"/>
          </w:tcPr>
          <w:p w14:paraId="35C18713">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EN</w:t>
            </w:r>
          </w:p>
        </w:tc>
        <w:tc>
          <w:tcPr>
            <w:tcW w:w="1149" w:type="pct"/>
            <w:vAlign w:val="center"/>
          </w:tcPr>
          <w:p w14:paraId="3F121D7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2900</w:t>
            </w:r>
            <w:r>
              <w:rPr>
                <w:rFonts w:hint="default" w:ascii="Times New Roman" w:hAnsi="Times New Roman" w:eastAsia="宋体" w:cs="Times New Roman"/>
                <w:color w:val="auto"/>
                <w:sz w:val="21"/>
                <w:szCs w:val="21"/>
                <w:highlight w:val="none"/>
                <w:u w:val="single" w:color="auto"/>
              </w:rPr>
              <w:t>m</w:t>
            </w:r>
          </w:p>
        </w:tc>
      </w:tr>
      <w:tr w14:paraId="18D05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vAlign w:val="center"/>
          </w:tcPr>
          <w:p w14:paraId="102BB5E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龙谊村</w:t>
            </w:r>
          </w:p>
        </w:tc>
        <w:tc>
          <w:tcPr>
            <w:tcW w:w="1494" w:type="pct"/>
            <w:vAlign w:val="center"/>
          </w:tcPr>
          <w:p w14:paraId="629D0D41">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vAlign w:val="center"/>
          </w:tcPr>
          <w:p w14:paraId="73E3A08C">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S</w:t>
            </w:r>
          </w:p>
        </w:tc>
        <w:tc>
          <w:tcPr>
            <w:tcW w:w="1149" w:type="pct"/>
            <w:vAlign w:val="center"/>
          </w:tcPr>
          <w:p w14:paraId="41190F6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1050</w:t>
            </w:r>
            <w:r>
              <w:rPr>
                <w:rFonts w:hint="default" w:ascii="Times New Roman" w:hAnsi="Times New Roman" w:eastAsia="宋体" w:cs="Times New Roman"/>
                <w:color w:val="auto"/>
                <w:sz w:val="21"/>
                <w:szCs w:val="21"/>
                <w:highlight w:val="none"/>
                <w:u w:val="single" w:color="auto"/>
              </w:rPr>
              <w:t>m</w:t>
            </w:r>
          </w:p>
        </w:tc>
      </w:tr>
      <w:tr w14:paraId="224F2F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vAlign w:val="center"/>
          </w:tcPr>
          <w:p w14:paraId="742ABBB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冯家冲</w:t>
            </w:r>
          </w:p>
        </w:tc>
        <w:tc>
          <w:tcPr>
            <w:tcW w:w="1494" w:type="pct"/>
            <w:vAlign w:val="center"/>
          </w:tcPr>
          <w:p w14:paraId="082BC284">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vAlign w:val="center"/>
          </w:tcPr>
          <w:p w14:paraId="095ABA4F">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S</w:t>
            </w:r>
          </w:p>
        </w:tc>
        <w:tc>
          <w:tcPr>
            <w:tcW w:w="1149" w:type="pct"/>
            <w:vAlign w:val="center"/>
          </w:tcPr>
          <w:p w14:paraId="6FA17D0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2330</w:t>
            </w:r>
            <w:r>
              <w:rPr>
                <w:rFonts w:hint="default" w:ascii="Times New Roman" w:hAnsi="Times New Roman" w:eastAsia="宋体" w:cs="Times New Roman"/>
                <w:color w:val="auto"/>
                <w:sz w:val="21"/>
                <w:szCs w:val="21"/>
                <w:highlight w:val="none"/>
                <w:u w:val="single" w:color="auto"/>
              </w:rPr>
              <w:t>m</w:t>
            </w:r>
          </w:p>
        </w:tc>
      </w:tr>
      <w:tr w14:paraId="71072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vAlign w:val="center"/>
          </w:tcPr>
          <w:p w14:paraId="37D46E3D">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江霞村</w:t>
            </w:r>
          </w:p>
        </w:tc>
        <w:tc>
          <w:tcPr>
            <w:tcW w:w="1494" w:type="pct"/>
            <w:vAlign w:val="center"/>
          </w:tcPr>
          <w:p w14:paraId="6AE21A20">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vAlign w:val="center"/>
          </w:tcPr>
          <w:p w14:paraId="599E2166">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ES</w:t>
            </w:r>
          </w:p>
        </w:tc>
        <w:tc>
          <w:tcPr>
            <w:tcW w:w="1149" w:type="pct"/>
            <w:vAlign w:val="center"/>
          </w:tcPr>
          <w:p w14:paraId="76DEFE05">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2080</w:t>
            </w:r>
            <w:r>
              <w:rPr>
                <w:rFonts w:hint="default" w:ascii="Times New Roman" w:hAnsi="Times New Roman" w:eastAsia="宋体" w:cs="Times New Roman"/>
                <w:color w:val="auto"/>
                <w:sz w:val="21"/>
                <w:szCs w:val="21"/>
                <w:highlight w:val="none"/>
                <w:u w:val="single" w:color="auto"/>
              </w:rPr>
              <w:t>m</w:t>
            </w:r>
          </w:p>
        </w:tc>
      </w:tr>
      <w:tr w14:paraId="692D3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vAlign w:val="center"/>
          </w:tcPr>
          <w:p w14:paraId="4592E87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十方塘</w:t>
            </w:r>
          </w:p>
        </w:tc>
        <w:tc>
          <w:tcPr>
            <w:tcW w:w="1494" w:type="pct"/>
            <w:vAlign w:val="center"/>
          </w:tcPr>
          <w:p w14:paraId="3706D661">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vAlign w:val="center"/>
          </w:tcPr>
          <w:p w14:paraId="2EDAB817">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S</w:t>
            </w:r>
          </w:p>
        </w:tc>
        <w:tc>
          <w:tcPr>
            <w:tcW w:w="1149" w:type="pct"/>
            <w:vAlign w:val="center"/>
          </w:tcPr>
          <w:p w14:paraId="01FA9F5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2400</w:t>
            </w:r>
            <w:r>
              <w:rPr>
                <w:rFonts w:hint="default" w:ascii="Times New Roman" w:hAnsi="Times New Roman" w:eastAsia="宋体" w:cs="Times New Roman"/>
                <w:color w:val="auto"/>
                <w:sz w:val="21"/>
                <w:szCs w:val="21"/>
                <w:highlight w:val="none"/>
                <w:u w:val="single" w:color="auto"/>
              </w:rPr>
              <w:t>m</w:t>
            </w:r>
          </w:p>
        </w:tc>
      </w:tr>
      <w:tr w14:paraId="7D579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vAlign w:val="center"/>
          </w:tcPr>
          <w:p w14:paraId="61C06234">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eastAsia="zh-CN"/>
              </w:rPr>
              <w:t>团结村</w:t>
            </w:r>
          </w:p>
        </w:tc>
        <w:tc>
          <w:tcPr>
            <w:tcW w:w="1494" w:type="pct"/>
            <w:vAlign w:val="center"/>
          </w:tcPr>
          <w:p w14:paraId="4F1F0C70">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居民</w:t>
            </w:r>
          </w:p>
        </w:tc>
        <w:tc>
          <w:tcPr>
            <w:tcW w:w="1079" w:type="pct"/>
            <w:vAlign w:val="center"/>
          </w:tcPr>
          <w:p w14:paraId="6C85B248">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S</w:t>
            </w:r>
          </w:p>
        </w:tc>
        <w:tc>
          <w:tcPr>
            <w:tcW w:w="1149" w:type="pct"/>
            <w:vAlign w:val="center"/>
          </w:tcPr>
          <w:p w14:paraId="2C130CE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sz w:val="21"/>
                <w:szCs w:val="21"/>
                <w:highlight w:val="none"/>
                <w:u w:val="single" w:color="auto"/>
                <w:lang w:val="en-US" w:eastAsia="zh-CN"/>
              </w:rPr>
              <w:t>2020</w:t>
            </w:r>
            <w:r>
              <w:rPr>
                <w:rFonts w:hint="default" w:ascii="Times New Roman" w:hAnsi="Times New Roman" w:eastAsia="宋体" w:cs="Times New Roman"/>
                <w:color w:val="auto"/>
                <w:sz w:val="21"/>
                <w:szCs w:val="21"/>
                <w:highlight w:val="none"/>
                <w:u w:val="single" w:color="auto"/>
              </w:rPr>
              <w:t>m</w:t>
            </w:r>
          </w:p>
        </w:tc>
      </w:tr>
      <w:tr w14:paraId="31BA1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vAlign w:val="center"/>
          </w:tcPr>
          <w:p w14:paraId="6A7A0249">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新安完小</w:t>
            </w:r>
          </w:p>
        </w:tc>
        <w:tc>
          <w:tcPr>
            <w:tcW w:w="1494" w:type="pct"/>
            <w:vAlign w:val="center"/>
          </w:tcPr>
          <w:p w14:paraId="3ADBD4E7">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师生</w:t>
            </w:r>
          </w:p>
        </w:tc>
        <w:tc>
          <w:tcPr>
            <w:tcW w:w="1079" w:type="pct"/>
            <w:vAlign w:val="center"/>
          </w:tcPr>
          <w:p w14:paraId="06CB7940">
            <w:pPr>
              <w:adjustRightInd w:val="0"/>
              <w:snapToGrid w:val="0"/>
              <w:spacing w:line="240" w:lineRule="auto"/>
              <w:ind w:firstLine="0" w:firstLineChars="0"/>
              <w:jc w:val="center"/>
              <w:rPr>
                <w:rFonts w:ascii="Times New Roman" w:hAnsi="Times New Roman" w:eastAsia="宋体"/>
                <w:color w:val="auto"/>
                <w:sz w:val="21"/>
                <w:szCs w:val="21"/>
                <w:u w:val="single" w:color="auto"/>
              </w:rPr>
            </w:pPr>
            <w:r>
              <w:rPr>
                <w:rFonts w:hint="default" w:ascii="Times New Roman" w:hAnsi="Times New Roman" w:eastAsia="宋体" w:cs="Times New Roman"/>
                <w:color w:val="auto"/>
                <w:sz w:val="21"/>
                <w:szCs w:val="21"/>
                <w:highlight w:val="none"/>
                <w:u w:val="single" w:color="auto"/>
                <w:lang w:val="en-US" w:eastAsia="zh-CN"/>
              </w:rPr>
              <w:t>EN</w:t>
            </w:r>
          </w:p>
        </w:tc>
        <w:tc>
          <w:tcPr>
            <w:tcW w:w="1149" w:type="pct"/>
            <w:vAlign w:val="center"/>
          </w:tcPr>
          <w:p w14:paraId="1479A6B0">
            <w:pPr>
              <w:adjustRightInd w:val="0"/>
              <w:snapToGrid w:val="0"/>
              <w:spacing w:line="240" w:lineRule="auto"/>
              <w:ind w:firstLine="0" w:firstLineChars="0"/>
              <w:jc w:val="center"/>
              <w:rPr>
                <w:rFonts w:hint="default" w:ascii="Times New Roman" w:hAnsi="Times New Roman" w:eastAsia="宋体"/>
                <w:color w:val="auto"/>
                <w:sz w:val="21"/>
                <w:szCs w:val="21"/>
                <w:u w:val="single" w:color="auto"/>
                <w:lang w:val="en-US" w:eastAsia="zh-CN"/>
              </w:rPr>
            </w:pPr>
            <w:r>
              <w:rPr>
                <w:rFonts w:hint="eastAsia" w:ascii="Times New Roman" w:hAnsi="Times New Roman" w:eastAsia="宋体"/>
                <w:color w:val="auto"/>
                <w:sz w:val="21"/>
                <w:szCs w:val="21"/>
                <w:u w:val="single" w:color="auto"/>
                <w:lang w:val="en-US" w:eastAsia="zh-CN"/>
              </w:rPr>
              <w:t>2200m</w:t>
            </w:r>
          </w:p>
        </w:tc>
      </w:tr>
      <w:tr w14:paraId="703BF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6" w:type="pct"/>
            <w:vAlign w:val="center"/>
          </w:tcPr>
          <w:p w14:paraId="29FB9071">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highlight w:val="none"/>
                <w:u w:val="single" w:color="auto"/>
                <w:lang w:val="en-US" w:eastAsia="zh-CN"/>
              </w:rPr>
              <w:t>湘江衡阳段四大家鱼国家级水产种质资源保护区</w:t>
            </w:r>
          </w:p>
        </w:tc>
        <w:tc>
          <w:tcPr>
            <w:tcW w:w="1494" w:type="pct"/>
            <w:vAlign w:val="center"/>
          </w:tcPr>
          <w:p w14:paraId="192E1F24">
            <w:pPr>
              <w:adjustRightInd w:val="0"/>
              <w:snapToGrid w:val="0"/>
              <w:spacing w:line="240" w:lineRule="auto"/>
              <w:ind w:firstLine="0" w:firstLineChars="0"/>
              <w:jc w:val="center"/>
              <w:rPr>
                <w:rFonts w:ascii="Times New Roman" w:hAnsi="Times New Roman" w:eastAsia="宋体"/>
                <w:color w:val="auto"/>
                <w:sz w:val="21"/>
                <w:szCs w:val="21"/>
              </w:rPr>
            </w:pPr>
            <w:r>
              <w:rPr>
                <w:rFonts w:hint="default" w:ascii="Times New Roman" w:hAnsi="Times New Roman" w:eastAsia="宋体" w:cs="Times New Roman"/>
                <w:color w:val="auto"/>
                <w:sz w:val="21"/>
                <w:szCs w:val="21"/>
                <w:highlight w:val="none"/>
                <w:u w:val="single" w:color="auto"/>
                <w:lang w:val="en-US" w:eastAsia="zh-CN"/>
              </w:rPr>
              <w:t>水产种质资源保护区实验区</w:t>
            </w:r>
          </w:p>
        </w:tc>
        <w:tc>
          <w:tcPr>
            <w:tcW w:w="1079" w:type="pct"/>
            <w:vAlign w:val="center"/>
          </w:tcPr>
          <w:p w14:paraId="62179B2C">
            <w:pPr>
              <w:adjustRightInd w:val="0"/>
              <w:snapToGrid w:val="0"/>
              <w:spacing w:line="240" w:lineRule="auto"/>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东侧</w:t>
            </w:r>
          </w:p>
        </w:tc>
        <w:tc>
          <w:tcPr>
            <w:tcW w:w="1149" w:type="pct"/>
            <w:vAlign w:val="center"/>
          </w:tcPr>
          <w:p w14:paraId="03FC9280">
            <w:pPr>
              <w:adjustRightInd w:val="0"/>
              <w:snapToGrid w:val="0"/>
              <w:spacing w:line="240" w:lineRule="auto"/>
              <w:ind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1800m</w:t>
            </w:r>
          </w:p>
        </w:tc>
      </w:tr>
    </w:tbl>
    <w:p w14:paraId="6D6C7C65">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84" w:name="_Toc54079925"/>
      <w:bookmarkStart w:id="85" w:name="_Toc24487"/>
      <w:r>
        <w:rPr>
          <w:rFonts w:hint="default" w:ascii="Times New Roman" w:hAnsi="Times New Roman" w:eastAsia="宋体" w:cs="Times New Roman"/>
          <w:color w:val="auto"/>
          <w:sz w:val="28"/>
          <w:szCs w:val="28"/>
          <w:highlight w:val="none"/>
          <w:u w:val="none" w:color="auto"/>
          <w:lang w:val="en-US" w:eastAsia="zh-CN"/>
        </w:rPr>
        <w:t>8.2风险识别</w:t>
      </w:r>
      <w:bookmarkEnd w:id="84"/>
      <w:bookmarkEnd w:id="85"/>
    </w:p>
    <w:p w14:paraId="3074C92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（1）环境风险物质识别，包括主要原辅材料、燃料、中间产品、副产品、最终产品、污染物、火灾和爆炸伴生/次生物等。</w:t>
      </w:r>
    </w:p>
    <w:p w14:paraId="48DEB0E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（2）生产系统危险性识别，包括主要生产装置、储运设施、公用工程和辅助生产设施，以及环境保护设施等。</w:t>
      </w:r>
    </w:p>
    <w:p w14:paraId="07891F9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（3）危险物质向环境转移的途径识别，包括分析危险物质特性及可能的环境风险类型，识别危险物质影响环境的途径，分析可能影响的环境敏感目标。</w:t>
      </w:r>
    </w:p>
    <w:p w14:paraId="75FE1C8D">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8.2.1物质风险识别</w:t>
      </w:r>
    </w:p>
    <w:p w14:paraId="476889B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本项目环境风险物质危险性识别结果详见下表。</w:t>
      </w:r>
    </w:p>
    <w:p w14:paraId="060A3560">
      <w:pPr>
        <w:ind w:firstLine="562"/>
        <w:jc w:val="center"/>
        <w:rPr>
          <w:rFonts w:hint="default" w:ascii="Times New Roman" w:hAnsi="Times New Roman" w:cs="Times New Roman"/>
          <w:b/>
          <w:color w:val="auto"/>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.2-1项目涉及危险化学品识别汇总表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1887"/>
        <w:gridCol w:w="960"/>
        <w:gridCol w:w="1282"/>
        <w:gridCol w:w="3711"/>
      </w:tblGrid>
      <w:tr w14:paraId="307317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2D5DF5C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107" w:type="pct"/>
            <w:vAlign w:val="center"/>
          </w:tcPr>
          <w:p w14:paraId="4A93C1D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名称</w:t>
            </w:r>
          </w:p>
        </w:tc>
        <w:tc>
          <w:tcPr>
            <w:tcW w:w="563" w:type="pct"/>
            <w:vAlign w:val="center"/>
          </w:tcPr>
          <w:p w14:paraId="6D1AC3E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危化品序号</w:t>
            </w:r>
          </w:p>
        </w:tc>
        <w:tc>
          <w:tcPr>
            <w:tcW w:w="752" w:type="pct"/>
            <w:vAlign w:val="center"/>
          </w:tcPr>
          <w:p w14:paraId="16E66A0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CAS号</w:t>
            </w:r>
          </w:p>
        </w:tc>
        <w:tc>
          <w:tcPr>
            <w:tcW w:w="2177" w:type="pct"/>
            <w:vAlign w:val="center"/>
          </w:tcPr>
          <w:p w14:paraId="61764375">
            <w:pPr>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危险性类别</w:t>
            </w:r>
          </w:p>
        </w:tc>
      </w:tr>
      <w:tr w14:paraId="72EA89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75723200">
            <w:pPr>
              <w:spacing w:line="240" w:lineRule="auto"/>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w:t>
            </w:r>
          </w:p>
        </w:tc>
        <w:tc>
          <w:tcPr>
            <w:tcW w:w="1107" w:type="pct"/>
            <w:vAlign w:val="center"/>
          </w:tcPr>
          <w:p w14:paraId="6A3B9D1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氯化镍</w:t>
            </w:r>
          </w:p>
        </w:tc>
        <w:tc>
          <w:tcPr>
            <w:tcW w:w="563" w:type="pct"/>
            <w:vAlign w:val="center"/>
          </w:tcPr>
          <w:p w14:paraId="1765942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1473</w:t>
            </w:r>
          </w:p>
        </w:tc>
        <w:tc>
          <w:tcPr>
            <w:tcW w:w="752" w:type="pct"/>
            <w:vAlign w:val="center"/>
          </w:tcPr>
          <w:p w14:paraId="2BF8B4EE">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7718-54-9</w:t>
            </w:r>
          </w:p>
        </w:tc>
        <w:tc>
          <w:tcPr>
            <w:tcW w:w="2177" w:type="pct"/>
            <w:vAlign w:val="center"/>
          </w:tcPr>
          <w:p w14:paraId="435719DC">
            <w:pPr>
              <w:widowControl/>
              <w:spacing w:line="320" w:lineRule="exac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急性毒性-经口，类别3*</w:t>
            </w:r>
          </w:p>
          <w:p w14:paraId="7DA584C0">
            <w:pPr>
              <w:widowControl/>
              <w:spacing w:line="320" w:lineRule="exac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急性毒性-吸入，类别3*</w:t>
            </w:r>
          </w:p>
          <w:p w14:paraId="6C485401">
            <w:pPr>
              <w:widowControl/>
              <w:spacing w:line="320" w:lineRule="exac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皮肤腐蚀/刺激，类别2</w:t>
            </w:r>
          </w:p>
          <w:p w14:paraId="67965F7C">
            <w:pPr>
              <w:widowControl/>
              <w:spacing w:line="320" w:lineRule="exac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呼吸道致敏物，类别1</w:t>
            </w:r>
          </w:p>
          <w:p w14:paraId="554DA382">
            <w:pPr>
              <w:widowControl/>
              <w:spacing w:line="320" w:lineRule="exac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皮肤致敏物，类别1</w:t>
            </w:r>
          </w:p>
          <w:p w14:paraId="0B245040">
            <w:pPr>
              <w:widowControl/>
              <w:spacing w:line="320" w:lineRule="exac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危害水生环境-急性危害，类别1</w:t>
            </w:r>
          </w:p>
          <w:p w14:paraId="102A1C08">
            <w:pPr>
              <w:spacing w:line="240" w:lineRule="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危害水生环境-长期危害，类别1</w:t>
            </w:r>
          </w:p>
        </w:tc>
      </w:tr>
      <w:tr w14:paraId="21C2E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0D5B89BA">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2</w:t>
            </w:r>
          </w:p>
        </w:tc>
        <w:tc>
          <w:tcPr>
            <w:tcW w:w="1107" w:type="pct"/>
            <w:vAlign w:val="center"/>
          </w:tcPr>
          <w:p w14:paraId="214EAE6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硫酸镍</w:t>
            </w:r>
          </w:p>
        </w:tc>
        <w:tc>
          <w:tcPr>
            <w:tcW w:w="563" w:type="pct"/>
            <w:vAlign w:val="center"/>
          </w:tcPr>
          <w:p w14:paraId="7D9F947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1318</w:t>
            </w:r>
          </w:p>
        </w:tc>
        <w:tc>
          <w:tcPr>
            <w:tcW w:w="752" w:type="pct"/>
            <w:vAlign w:val="center"/>
          </w:tcPr>
          <w:p w14:paraId="6BF4EB82">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7786-81-4</w:t>
            </w:r>
          </w:p>
        </w:tc>
        <w:tc>
          <w:tcPr>
            <w:tcW w:w="2177" w:type="pct"/>
            <w:vAlign w:val="center"/>
          </w:tcPr>
          <w:p w14:paraId="4FD081DF">
            <w:pPr>
              <w:spacing w:line="240" w:lineRule="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皮肤腐蚀/刺激，类别2</w:t>
            </w:r>
          </w:p>
          <w:p w14:paraId="1D869D30">
            <w:pPr>
              <w:spacing w:line="240" w:lineRule="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呼吸道致敏物，类别1</w:t>
            </w:r>
          </w:p>
          <w:p w14:paraId="6A2819A2">
            <w:pPr>
              <w:spacing w:line="240" w:lineRule="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皮肤致敏物，类别1</w:t>
            </w:r>
          </w:p>
          <w:p w14:paraId="500FDAF0">
            <w:pPr>
              <w:spacing w:line="240" w:lineRule="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特异性靶器官毒性-反复接触,类别1</w:t>
            </w:r>
          </w:p>
          <w:p w14:paraId="2856045F">
            <w:pPr>
              <w:spacing w:line="240" w:lineRule="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危害水生环境-急性危害,类别1</w:t>
            </w:r>
          </w:p>
          <w:p w14:paraId="331553ED">
            <w:pPr>
              <w:spacing w:line="240" w:lineRule="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危害水生环境-长期危害,类别</w:t>
            </w:r>
          </w:p>
        </w:tc>
      </w:tr>
      <w:tr w14:paraId="3A566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7A3CB583">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3</w:t>
            </w:r>
          </w:p>
        </w:tc>
        <w:tc>
          <w:tcPr>
            <w:tcW w:w="1107" w:type="pct"/>
            <w:vAlign w:val="center"/>
          </w:tcPr>
          <w:p w14:paraId="11E7820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盐酸（31%）</w:t>
            </w:r>
          </w:p>
        </w:tc>
        <w:tc>
          <w:tcPr>
            <w:tcW w:w="563" w:type="pct"/>
            <w:vAlign w:val="center"/>
          </w:tcPr>
          <w:p w14:paraId="68A98D8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2507</w:t>
            </w:r>
          </w:p>
        </w:tc>
        <w:tc>
          <w:tcPr>
            <w:tcW w:w="752" w:type="pct"/>
            <w:vAlign w:val="center"/>
          </w:tcPr>
          <w:p w14:paraId="4192C6C1">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7647-01-0</w:t>
            </w:r>
          </w:p>
        </w:tc>
        <w:tc>
          <w:tcPr>
            <w:tcW w:w="2177" w:type="pct"/>
            <w:vAlign w:val="center"/>
          </w:tcPr>
          <w:p w14:paraId="0EF4EA76">
            <w:pPr>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皮肤腐蚀/刺激，类别1B</w:t>
            </w:r>
          </w:p>
          <w:p w14:paraId="797CFD97">
            <w:pPr>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严重眼损伤/眼刺激，类别1</w:t>
            </w:r>
          </w:p>
          <w:p w14:paraId="1F450E70">
            <w:pPr>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特异性靶器官毒性-一次接触，类别3（呼吸道刺激）</w:t>
            </w:r>
          </w:p>
          <w:p w14:paraId="606D1951">
            <w:pPr>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危害水生环境-急性危害，类别2</w:t>
            </w:r>
          </w:p>
        </w:tc>
      </w:tr>
      <w:tr w14:paraId="4E7D3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68490DE1">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4</w:t>
            </w:r>
          </w:p>
        </w:tc>
        <w:tc>
          <w:tcPr>
            <w:tcW w:w="1107" w:type="pct"/>
          </w:tcPr>
          <w:p w14:paraId="514271D6">
            <w:pPr>
              <w:spacing w:line="320" w:lineRule="exact"/>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硫酸（98%）</w:t>
            </w:r>
          </w:p>
        </w:tc>
        <w:tc>
          <w:tcPr>
            <w:tcW w:w="563" w:type="pct"/>
            <w:vAlign w:val="center"/>
          </w:tcPr>
          <w:p w14:paraId="5988088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1302</w:t>
            </w:r>
          </w:p>
        </w:tc>
        <w:tc>
          <w:tcPr>
            <w:tcW w:w="752" w:type="pct"/>
          </w:tcPr>
          <w:p w14:paraId="7C5D96AA">
            <w:pPr>
              <w:spacing w:line="320" w:lineRule="exact"/>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7664-93-9</w:t>
            </w:r>
          </w:p>
        </w:tc>
        <w:tc>
          <w:tcPr>
            <w:tcW w:w="2177" w:type="pct"/>
            <w:vAlign w:val="center"/>
          </w:tcPr>
          <w:p w14:paraId="6CE090D8">
            <w:pPr>
              <w:widowControl/>
              <w:spacing w:line="240" w:lineRule="auto"/>
              <w:jc w:val="both"/>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皮肤腐蚀/刺激，类别1A</w:t>
            </w:r>
          </w:p>
          <w:p w14:paraId="022E7EB7">
            <w:pPr>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严重眼损伤/眼刺激，类别1</w:t>
            </w:r>
          </w:p>
        </w:tc>
      </w:tr>
      <w:tr w14:paraId="71FAB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761ACE3B">
            <w:pPr>
              <w:spacing w:line="240"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5</w:t>
            </w:r>
          </w:p>
        </w:tc>
        <w:tc>
          <w:tcPr>
            <w:tcW w:w="1107" w:type="pct"/>
            <w:vAlign w:val="center"/>
          </w:tcPr>
          <w:p w14:paraId="44843D9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硝酸</w:t>
            </w:r>
          </w:p>
        </w:tc>
        <w:tc>
          <w:tcPr>
            <w:tcW w:w="563" w:type="pct"/>
            <w:vAlign w:val="center"/>
          </w:tcPr>
          <w:p w14:paraId="374160A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2285</w:t>
            </w:r>
          </w:p>
        </w:tc>
        <w:tc>
          <w:tcPr>
            <w:tcW w:w="752" w:type="pct"/>
            <w:vAlign w:val="center"/>
          </w:tcPr>
          <w:p w14:paraId="5770055C">
            <w:pPr>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7697-37-2</w:t>
            </w:r>
          </w:p>
        </w:tc>
        <w:tc>
          <w:tcPr>
            <w:tcW w:w="2177" w:type="pct"/>
            <w:vAlign w:val="center"/>
          </w:tcPr>
          <w:p w14:paraId="2BA1ECC2">
            <w:pPr>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氧化性液体，类别3</w:t>
            </w:r>
          </w:p>
          <w:p w14:paraId="1EABD7C1">
            <w:pPr>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皮肤腐蚀/刺激，类别1A</w:t>
            </w:r>
          </w:p>
          <w:p w14:paraId="146C461B">
            <w:pPr>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严重眼损伤/眼刺激，类别1</w:t>
            </w:r>
          </w:p>
        </w:tc>
      </w:tr>
    </w:tbl>
    <w:p w14:paraId="66F826A7">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8.2.2设施风险识别</w:t>
      </w:r>
    </w:p>
    <w:p w14:paraId="387ECE63">
      <w:pPr>
        <w:ind w:firstLine="480" w:firstLineChars="200"/>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rPr>
        <w:t>本项目生产设施风险主要位于</w:t>
      </w: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rPr>
        <w:t>#厂房、</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#厂房、废水处理车间，本项目风险识别情况详见下表：</w:t>
      </w:r>
    </w:p>
    <w:p w14:paraId="7D41E1E0">
      <w:pPr>
        <w:jc w:val="center"/>
        <w:rPr>
          <w:rFonts w:hint="default" w:ascii="Times New Roman" w:hAnsi="Times New Roman" w:cs="Times New Roman"/>
          <w:color w:val="auto"/>
          <w:highlight w:val="none"/>
          <w:u w:val="single" w:color="auto"/>
        </w:rPr>
      </w:pPr>
      <w:r>
        <w:rPr>
          <w:rFonts w:hint="default" w:ascii="Times New Roman" w:hAnsi="Times New Roman" w:eastAsia="宋体" w:cs="Times New Roman"/>
          <w:b/>
          <w:color w:val="auto"/>
          <w:sz w:val="21"/>
          <w:szCs w:val="18"/>
          <w:highlight w:val="none"/>
          <w:u w:val="single" w:color="auto"/>
        </w:rPr>
        <w:t>表</w:t>
      </w:r>
      <w:r>
        <w:rPr>
          <w:rFonts w:hint="default" w:ascii="Times New Roman" w:hAnsi="Times New Roman" w:eastAsia="宋体" w:cs="Times New Roman"/>
          <w:b/>
          <w:color w:val="auto"/>
          <w:sz w:val="21"/>
          <w:szCs w:val="18"/>
          <w:highlight w:val="none"/>
          <w:u w:val="single" w:color="auto"/>
          <w:lang w:val="en-US" w:eastAsia="zh-CN"/>
        </w:rPr>
        <w:t>8</w:t>
      </w:r>
      <w:r>
        <w:rPr>
          <w:rFonts w:hint="default" w:ascii="Times New Roman" w:hAnsi="Times New Roman" w:eastAsia="宋体" w:cs="Times New Roman"/>
          <w:b/>
          <w:color w:val="auto"/>
          <w:sz w:val="21"/>
          <w:szCs w:val="18"/>
          <w:highlight w:val="none"/>
          <w:u w:val="single" w:color="auto"/>
        </w:rPr>
        <w:t>.2-2本项目主要环境风险识别表</w:t>
      </w:r>
    </w:p>
    <w:tbl>
      <w:tblPr>
        <w:tblStyle w:val="22"/>
        <w:tblW w:w="8211"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0"/>
        <w:gridCol w:w="1026"/>
        <w:gridCol w:w="3024"/>
        <w:gridCol w:w="3391"/>
      </w:tblGrid>
      <w:tr w14:paraId="2F251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0" w:type="dxa"/>
            <w:vAlign w:val="center"/>
          </w:tcPr>
          <w:p w14:paraId="63C2B1D0">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设施名称</w:t>
            </w:r>
          </w:p>
        </w:tc>
        <w:tc>
          <w:tcPr>
            <w:tcW w:w="1026" w:type="dxa"/>
            <w:vAlign w:val="center"/>
          </w:tcPr>
          <w:p w14:paraId="3055D517">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事故</w:t>
            </w:r>
          </w:p>
          <w:p w14:paraId="43A6E881">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类型</w:t>
            </w:r>
          </w:p>
        </w:tc>
        <w:tc>
          <w:tcPr>
            <w:tcW w:w="3024" w:type="dxa"/>
            <w:vAlign w:val="center"/>
          </w:tcPr>
          <w:p w14:paraId="1D71EB1E">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事故引发可能原因</w:t>
            </w:r>
          </w:p>
        </w:tc>
        <w:tc>
          <w:tcPr>
            <w:tcW w:w="3391" w:type="dxa"/>
            <w:vAlign w:val="center"/>
          </w:tcPr>
          <w:p w14:paraId="1DA12EA8">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影响途径及可能受影响的环保目标</w:t>
            </w:r>
          </w:p>
        </w:tc>
      </w:tr>
      <w:tr w14:paraId="47C36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0" w:type="dxa"/>
            <w:vMerge w:val="restart"/>
            <w:vAlign w:val="center"/>
          </w:tcPr>
          <w:p w14:paraId="24A7FB0B">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生产车间</w:t>
            </w:r>
          </w:p>
        </w:tc>
        <w:tc>
          <w:tcPr>
            <w:tcW w:w="1026" w:type="dxa"/>
            <w:vMerge w:val="restart"/>
            <w:vAlign w:val="center"/>
          </w:tcPr>
          <w:p w14:paraId="3CD3F206">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泄漏</w:t>
            </w:r>
          </w:p>
        </w:tc>
        <w:tc>
          <w:tcPr>
            <w:tcW w:w="3024" w:type="dxa"/>
            <w:vAlign w:val="center"/>
          </w:tcPr>
          <w:p w14:paraId="323B9BB4">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各种槽体发生泄漏</w:t>
            </w:r>
          </w:p>
        </w:tc>
        <w:tc>
          <w:tcPr>
            <w:tcW w:w="3391" w:type="dxa"/>
            <w:vMerge w:val="restart"/>
            <w:vAlign w:val="center"/>
          </w:tcPr>
          <w:p w14:paraId="406F98E8">
            <w:pPr>
              <w:pStyle w:val="10"/>
              <w:spacing w:after="0"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rPr>
              <w:t>进入雨水管网，</w:t>
            </w:r>
            <w:r>
              <w:rPr>
                <w:rFonts w:hint="default" w:ascii="Times New Roman" w:hAnsi="Times New Roman" w:cs="Times New Roman"/>
                <w:color w:val="auto"/>
                <w:sz w:val="21"/>
                <w:szCs w:val="21"/>
                <w:highlight w:val="none"/>
                <w:u w:val="single" w:color="auto"/>
                <w:lang w:eastAsia="zh-CN"/>
              </w:rPr>
              <w:t>被初期雨水池和事故应急池收集</w:t>
            </w:r>
          </w:p>
        </w:tc>
      </w:tr>
      <w:tr w14:paraId="27A3FB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0" w:type="dxa"/>
            <w:vMerge w:val="continue"/>
            <w:vAlign w:val="center"/>
          </w:tcPr>
          <w:p w14:paraId="3ADFDB1C">
            <w:pPr>
              <w:pStyle w:val="10"/>
              <w:spacing w:after="0" w:line="240" w:lineRule="auto"/>
              <w:jc w:val="center"/>
              <w:rPr>
                <w:rFonts w:hint="default" w:ascii="Times New Roman" w:hAnsi="Times New Roman" w:eastAsia="宋体" w:cs="Times New Roman"/>
                <w:color w:val="auto"/>
                <w:sz w:val="21"/>
                <w:szCs w:val="21"/>
                <w:highlight w:val="none"/>
                <w:u w:val="single" w:color="auto"/>
              </w:rPr>
            </w:pPr>
          </w:p>
        </w:tc>
        <w:tc>
          <w:tcPr>
            <w:tcW w:w="1026" w:type="dxa"/>
            <w:vMerge w:val="continue"/>
            <w:vAlign w:val="center"/>
          </w:tcPr>
          <w:p w14:paraId="060595BF">
            <w:pPr>
              <w:pStyle w:val="10"/>
              <w:spacing w:after="0" w:line="240" w:lineRule="auto"/>
              <w:jc w:val="center"/>
              <w:rPr>
                <w:rFonts w:hint="default" w:ascii="Times New Roman" w:hAnsi="Times New Roman" w:eastAsia="宋体" w:cs="Times New Roman"/>
                <w:color w:val="auto"/>
                <w:sz w:val="21"/>
                <w:szCs w:val="21"/>
                <w:highlight w:val="none"/>
                <w:u w:val="single" w:color="auto"/>
              </w:rPr>
            </w:pPr>
          </w:p>
        </w:tc>
        <w:tc>
          <w:tcPr>
            <w:tcW w:w="3024" w:type="dxa"/>
            <w:vAlign w:val="center"/>
          </w:tcPr>
          <w:p w14:paraId="70EBAA9F">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各种物料输送管道破损引起物料泄漏</w:t>
            </w:r>
          </w:p>
        </w:tc>
        <w:tc>
          <w:tcPr>
            <w:tcW w:w="3391" w:type="dxa"/>
            <w:vMerge w:val="continue"/>
            <w:vAlign w:val="center"/>
          </w:tcPr>
          <w:p w14:paraId="5F3ACF45">
            <w:pPr>
              <w:pStyle w:val="10"/>
              <w:spacing w:after="0" w:line="240" w:lineRule="auto"/>
              <w:jc w:val="center"/>
              <w:rPr>
                <w:rFonts w:hint="default" w:ascii="Times New Roman" w:hAnsi="Times New Roman" w:eastAsia="宋体" w:cs="Times New Roman"/>
                <w:color w:val="auto"/>
                <w:sz w:val="21"/>
                <w:szCs w:val="21"/>
                <w:highlight w:val="none"/>
                <w:u w:val="single" w:color="auto"/>
              </w:rPr>
            </w:pPr>
          </w:p>
        </w:tc>
      </w:tr>
      <w:tr w14:paraId="11A51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0" w:type="dxa"/>
            <w:vMerge w:val="continue"/>
            <w:vAlign w:val="center"/>
          </w:tcPr>
          <w:p w14:paraId="74776324">
            <w:pPr>
              <w:pStyle w:val="10"/>
              <w:spacing w:after="0" w:line="240" w:lineRule="auto"/>
              <w:jc w:val="center"/>
              <w:rPr>
                <w:rFonts w:hint="default" w:ascii="Times New Roman" w:hAnsi="Times New Roman" w:eastAsia="宋体" w:cs="Times New Roman"/>
                <w:color w:val="auto"/>
                <w:sz w:val="21"/>
                <w:szCs w:val="21"/>
                <w:highlight w:val="none"/>
                <w:u w:val="single" w:color="auto"/>
              </w:rPr>
            </w:pPr>
          </w:p>
        </w:tc>
        <w:tc>
          <w:tcPr>
            <w:tcW w:w="1026" w:type="dxa"/>
            <w:vMerge w:val="continue"/>
            <w:vAlign w:val="center"/>
          </w:tcPr>
          <w:p w14:paraId="42456D76">
            <w:pPr>
              <w:pStyle w:val="10"/>
              <w:spacing w:after="0" w:line="240" w:lineRule="auto"/>
              <w:jc w:val="center"/>
              <w:rPr>
                <w:rFonts w:hint="default" w:ascii="Times New Roman" w:hAnsi="Times New Roman" w:eastAsia="宋体" w:cs="Times New Roman"/>
                <w:color w:val="auto"/>
                <w:sz w:val="21"/>
                <w:szCs w:val="21"/>
                <w:highlight w:val="none"/>
                <w:u w:val="single" w:color="auto"/>
              </w:rPr>
            </w:pPr>
          </w:p>
        </w:tc>
        <w:tc>
          <w:tcPr>
            <w:tcW w:w="3024" w:type="dxa"/>
            <w:vAlign w:val="center"/>
          </w:tcPr>
          <w:p w14:paraId="6F1B0B7E">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生产控制操作不当，引起装置内容物料压力或温度过高，引起爆炸或泄漏</w:t>
            </w:r>
          </w:p>
        </w:tc>
        <w:tc>
          <w:tcPr>
            <w:tcW w:w="3391" w:type="dxa"/>
            <w:vMerge w:val="continue"/>
            <w:vAlign w:val="center"/>
          </w:tcPr>
          <w:p w14:paraId="7B8AB8AA">
            <w:pPr>
              <w:pStyle w:val="10"/>
              <w:spacing w:after="0" w:line="240" w:lineRule="auto"/>
              <w:jc w:val="center"/>
              <w:rPr>
                <w:rFonts w:hint="default" w:ascii="Times New Roman" w:hAnsi="Times New Roman" w:eastAsia="宋体" w:cs="Times New Roman"/>
                <w:color w:val="auto"/>
                <w:sz w:val="21"/>
                <w:szCs w:val="21"/>
                <w:highlight w:val="none"/>
                <w:u w:val="single" w:color="auto"/>
              </w:rPr>
            </w:pPr>
          </w:p>
        </w:tc>
      </w:tr>
      <w:tr w14:paraId="7880C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0" w:type="dxa"/>
            <w:vMerge w:val="continue"/>
            <w:vAlign w:val="center"/>
          </w:tcPr>
          <w:p w14:paraId="60278084">
            <w:pPr>
              <w:pStyle w:val="10"/>
              <w:spacing w:after="0" w:line="240" w:lineRule="auto"/>
              <w:jc w:val="center"/>
              <w:rPr>
                <w:rFonts w:hint="default" w:ascii="Times New Roman" w:hAnsi="Times New Roman" w:eastAsia="宋体" w:cs="Times New Roman"/>
                <w:color w:val="auto"/>
                <w:sz w:val="21"/>
                <w:szCs w:val="21"/>
                <w:highlight w:val="none"/>
                <w:u w:val="single" w:color="auto"/>
              </w:rPr>
            </w:pPr>
          </w:p>
        </w:tc>
        <w:tc>
          <w:tcPr>
            <w:tcW w:w="1026" w:type="dxa"/>
            <w:vMerge w:val="continue"/>
            <w:vAlign w:val="center"/>
          </w:tcPr>
          <w:p w14:paraId="4747A2D8">
            <w:pPr>
              <w:pStyle w:val="10"/>
              <w:spacing w:after="0" w:line="240" w:lineRule="auto"/>
              <w:jc w:val="center"/>
              <w:rPr>
                <w:rFonts w:hint="default" w:ascii="Times New Roman" w:hAnsi="Times New Roman" w:eastAsia="宋体" w:cs="Times New Roman"/>
                <w:color w:val="auto"/>
                <w:sz w:val="21"/>
                <w:szCs w:val="21"/>
                <w:highlight w:val="none"/>
                <w:u w:val="single" w:color="auto"/>
              </w:rPr>
            </w:pPr>
          </w:p>
        </w:tc>
        <w:tc>
          <w:tcPr>
            <w:tcW w:w="3024" w:type="dxa"/>
            <w:vAlign w:val="center"/>
          </w:tcPr>
          <w:p w14:paraId="0F2B3098">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车间内液态物料泄漏</w:t>
            </w:r>
          </w:p>
        </w:tc>
        <w:tc>
          <w:tcPr>
            <w:tcW w:w="3391" w:type="dxa"/>
            <w:vAlign w:val="center"/>
          </w:tcPr>
          <w:p w14:paraId="78B3EFA0">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被导流沟和收集池收集，车间防渗，基本不影响地下水</w:t>
            </w:r>
          </w:p>
        </w:tc>
      </w:tr>
      <w:tr w14:paraId="08992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0" w:type="dxa"/>
            <w:vAlign w:val="center"/>
          </w:tcPr>
          <w:p w14:paraId="2A734B77">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储运</w:t>
            </w:r>
          </w:p>
        </w:tc>
        <w:tc>
          <w:tcPr>
            <w:tcW w:w="1026" w:type="dxa"/>
            <w:vAlign w:val="center"/>
          </w:tcPr>
          <w:p w14:paraId="1FAE1376">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泄漏、</w:t>
            </w:r>
          </w:p>
          <w:p w14:paraId="0D350524">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火灾</w:t>
            </w:r>
          </w:p>
        </w:tc>
        <w:tc>
          <w:tcPr>
            <w:tcW w:w="3024" w:type="dxa"/>
            <w:vAlign w:val="center"/>
          </w:tcPr>
          <w:p w14:paraId="1137ED27">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仓库内发生泄漏、火灾</w:t>
            </w:r>
          </w:p>
        </w:tc>
        <w:tc>
          <w:tcPr>
            <w:tcW w:w="3391" w:type="dxa"/>
            <w:vAlign w:val="center"/>
          </w:tcPr>
          <w:p w14:paraId="1F55DBB1">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排入大气，影响环境空气保护目标</w:t>
            </w:r>
          </w:p>
        </w:tc>
      </w:tr>
      <w:tr w14:paraId="4EF12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0" w:type="dxa"/>
            <w:vMerge w:val="restart"/>
            <w:vAlign w:val="center"/>
          </w:tcPr>
          <w:p w14:paraId="5791383D">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废气、废水处理设施</w:t>
            </w:r>
          </w:p>
        </w:tc>
        <w:tc>
          <w:tcPr>
            <w:tcW w:w="1026" w:type="dxa"/>
            <w:vAlign w:val="center"/>
          </w:tcPr>
          <w:p w14:paraId="49A41E00">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废气事故排放</w:t>
            </w:r>
          </w:p>
        </w:tc>
        <w:tc>
          <w:tcPr>
            <w:tcW w:w="3024" w:type="dxa"/>
            <w:vAlign w:val="center"/>
          </w:tcPr>
          <w:p w14:paraId="442AEA09">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项目废气处理设施不正常运行时，可能导致废气事故排放，发生大气污染事故</w:t>
            </w:r>
          </w:p>
        </w:tc>
        <w:tc>
          <w:tcPr>
            <w:tcW w:w="3391" w:type="dxa"/>
            <w:vAlign w:val="center"/>
          </w:tcPr>
          <w:p w14:paraId="118380D3">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排入大气，影响环境空气保护目标</w:t>
            </w:r>
          </w:p>
        </w:tc>
      </w:tr>
      <w:tr w14:paraId="02389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70" w:type="dxa"/>
            <w:vMerge w:val="continue"/>
            <w:vAlign w:val="center"/>
          </w:tcPr>
          <w:p w14:paraId="03D5EA48">
            <w:pPr>
              <w:pStyle w:val="10"/>
              <w:spacing w:after="0" w:line="240" w:lineRule="auto"/>
              <w:jc w:val="center"/>
              <w:rPr>
                <w:rFonts w:hint="default" w:ascii="Times New Roman" w:hAnsi="Times New Roman" w:eastAsia="宋体" w:cs="Times New Roman"/>
                <w:color w:val="auto"/>
                <w:sz w:val="21"/>
                <w:szCs w:val="21"/>
                <w:highlight w:val="none"/>
                <w:u w:val="single" w:color="auto"/>
              </w:rPr>
            </w:pPr>
          </w:p>
        </w:tc>
        <w:tc>
          <w:tcPr>
            <w:tcW w:w="1026" w:type="dxa"/>
            <w:vAlign w:val="center"/>
          </w:tcPr>
          <w:p w14:paraId="4575C115">
            <w:pPr>
              <w:pStyle w:val="10"/>
              <w:spacing w:after="0"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废水事故排放</w:t>
            </w:r>
          </w:p>
        </w:tc>
        <w:tc>
          <w:tcPr>
            <w:tcW w:w="3024" w:type="dxa"/>
            <w:vAlign w:val="center"/>
          </w:tcPr>
          <w:p w14:paraId="0F131AA8">
            <w:pPr>
              <w:pStyle w:val="10"/>
              <w:spacing w:after="0"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废水设备故障</w:t>
            </w:r>
          </w:p>
        </w:tc>
        <w:tc>
          <w:tcPr>
            <w:tcW w:w="3391" w:type="dxa"/>
            <w:vAlign w:val="center"/>
          </w:tcPr>
          <w:p w14:paraId="57DE05CD">
            <w:pPr>
              <w:pStyle w:val="10"/>
              <w:spacing w:after="0" w:line="240" w:lineRule="auto"/>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cs="Times New Roman"/>
                <w:color w:val="auto"/>
                <w:sz w:val="21"/>
                <w:szCs w:val="21"/>
                <w:highlight w:val="none"/>
                <w:u w:val="single" w:color="auto"/>
                <w:lang w:eastAsia="zh-CN"/>
              </w:rPr>
              <w:t>被初期雨水池和事故应急池收集</w:t>
            </w:r>
          </w:p>
        </w:tc>
      </w:tr>
    </w:tbl>
    <w:p w14:paraId="51E682D4">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8.2.3环境风险类型及危害分析</w:t>
      </w:r>
    </w:p>
    <w:p w14:paraId="37528CB5">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环境风险类型包括危险物质泄漏，以及火灾、爆炸等引发的伴生/次生污染物排放。</w:t>
      </w:r>
    </w:p>
    <w:p w14:paraId="577B86E3">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微软雅黑" w:cs="Times New Roman"/>
          <w:color w:val="auto"/>
          <w:sz w:val="24"/>
          <w:szCs w:val="24"/>
          <w:highlight w:val="none"/>
          <w:u w:val="none" w:color="auto"/>
        </w:rPr>
        <w:t>①</w:t>
      </w:r>
      <w:r>
        <w:rPr>
          <w:rFonts w:hint="default" w:ascii="Times New Roman" w:hAnsi="Times New Roman" w:eastAsia="宋体" w:cs="Times New Roman"/>
          <w:color w:val="auto"/>
          <w:sz w:val="24"/>
          <w:szCs w:val="24"/>
          <w:highlight w:val="none"/>
          <w:u w:val="none" w:color="auto"/>
        </w:rPr>
        <w:t>物料泄漏</w:t>
      </w:r>
    </w:p>
    <w:p w14:paraId="56BFC7FC">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物料泄漏后，可能产生物料的环境扩散或燃爆事故，而对环境构成重大污染事故的主要是环境扩散，或者是由燃爆事故后产生的伴生/次生危害导致环境污染事故。</w:t>
      </w:r>
    </w:p>
    <w:p w14:paraId="7972B088">
      <w:pPr>
        <w:spacing w:line="360" w:lineRule="auto"/>
        <w:ind w:firstLine="560" w:firstLineChars="20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object>
          <v:shape id="_x0000_i1042" o:spt="75" type="#_x0000_t75" style="height:249.75pt;width:330pt;" o:ole="t" filled="f" o:preferrelative="t" stroked="f" coordsize="21600,21600">
            <v:path/>
            <v:fill on="f" focussize="0,0"/>
            <v:stroke on="f" joinstyle="miter"/>
            <v:imagedata r:id="rId64" o:title=""/>
            <o:lock v:ext="edit" aspectratio="t"/>
            <w10:wrap type="none"/>
            <w10:anchorlock/>
          </v:shape>
          <o:OLEObject Type="Embed" ProgID="Visio.Drawing.11" ShapeID="_x0000_i1042" DrawAspect="Content" ObjectID="_1468075742" r:id="rId63">
            <o:LockedField>false</o:LockedField>
          </o:OLEObject>
        </w:object>
      </w:r>
    </w:p>
    <w:p w14:paraId="437241F7">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图</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.2-1 环境风险物质扩散途径示意图</w:t>
      </w:r>
    </w:p>
    <w:p w14:paraId="1FA0AC8C">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本项目生产厂房、污水收集及处理区域均采取了地面防渗措施，泄漏的物料不会下渗至地下水和土壤。因此，本项目物料泄漏后的主要影响途径为地表水、环境空气。</w:t>
      </w:r>
    </w:p>
    <w:p w14:paraId="6AC47004">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微软雅黑" w:cs="Times New Roman"/>
          <w:color w:val="auto"/>
          <w:sz w:val="24"/>
          <w:szCs w:val="24"/>
          <w:highlight w:val="none"/>
          <w:u w:val="none" w:color="auto"/>
        </w:rPr>
        <w:t>②</w:t>
      </w:r>
      <w:r>
        <w:rPr>
          <w:rFonts w:hint="default" w:ascii="Times New Roman" w:hAnsi="Times New Roman" w:eastAsia="宋体" w:cs="Times New Roman"/>
          <w:color w:val="auto"/>
          <w:sz w:val="24"/>
          <w:szCs w:val="24"/>
          <w:highlight w:val="none"/>
          <w:u w:val="none" w:color="auto"/>
        </w:rPr>
        <w:t>火灾产生伴生/次生污染物排放</w:t>
      </w:r>
    </w:p>
    <w:p w14:paraId="612652F6">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本项目发生火灾可能产生的伴生/次生污染物排放主要为SO</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、CO</w:t>
      </w:r>
      <w:r>
        <w:rPr>
          <w:rFonts w:hint="default" w:ascii="Times New Roman" w:hAnsi="Times New Roman" w:eastAsia="宋体" w:cs="Times New Roman"/>
          <w:color w:val="auto"/>
          <w:sz w:val="24"/>
          <w:szCs w:val="24"/>
          <w:highlight w:val="none"/>
          <w:u w:val="none" w:color="auto"/>
          <w:lang w:eastAsia="zh-CN"/>
        </w:rPr>
        <w:t>等</w:t>
      </w:r>
      <w:r>
        <w:rPr>
          <w:rFonts w:hint="default" w:ascii="Times New Roman" w:hAnsi="Times New Roman" w:eastAsia="宋体" w:cs="Times New Roman"/>
          <w:color w:val="auto"/>
          <w:sz w:val="24"/>
          <w:szCs w:val="24"/>
          <w:highlight w:val="none"/>
          <w:u w:val="none" w:color="auto"/>
        </w:rPr>
        <w:t>，以及火灾扑救时产生的含</w:t>
      </w:r>
      <w:r>
        <w:rPr>
          <w:rFonts w:hint="eastAsia" w:ascii="Times New Roman" w:hAnsi="Times New Roman" w:eastAsia="宋体" w:cs="Times New Roman"/>
          <w:color w:val="auto"/>
          <w:sz w:val="24"/>
          <w:szCs w:val="24"/>
          <w:highlight w:val="none"/>
          <w:u w:val="none" w:color="auto"/>
          <w:lang w:eastAsia="zh-CN"/>
        </w:rPr>
        <w:t>锌、铜</w:t>
      </w:r>
      <w:r>
        <w:rPr>
          <w:rFonts w:hint="default" w:ascii="Times New Roman" w:hAnsi="Times New Roman" w:eastAsia="宋体" w:cs="Times New Roman"/>
          <w:color w:val="auto"/>
          <w:sz w:val="24"/>
          <w:szCs w:val="24"/>
          <w:highlight w:val="none"/>
          <w:u w:val="none" w:color="auto"/>
        </w:rPr>
        <w:t>、镍等重金属的消防废水。</w:t>
      </w:r>
    </w:p>
    <w:p w14:paraId="5F9EE70E">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86" w:name="_Toc54079926"/>
      <w:bookmarkStart w:id="87" w:name="_Toc25658"/>
      <w:r>
        <w:rPr>
          <w:rFonts w:hint="default" w:ascii="Times New Roman" w:hAnsi="Times New Roman" w:eastAsia="宋体" w:cs="Times New Roman"/>
          <w:color w:val="auto"/>
          <w:sz w:val="28"/>
          <w:szCs w:val="28"/>
          <w:highlight w:val="none"/>
          <w:u w:val="none" w:color="auto"/>
          <w:lang w:val="en-US" w:eastAsia="zh-CN"/>
        </w:rPr>
        <w:t>8.3源项分析</w:t>
      </w:r>
      <w:bookmarkEnd w:id="86"/>
      <w:bookmarkEnd w:id="87"/>
    </w:p>
    <w:p w14:paraId="3B81AE51">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8.3.1风险事故情景设定</w:t>
      </w:r>
    </w:p>
    <w:p w14:paraId="547FBBCE">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（1）生产装置的风险事故</w:t>
      </w:r>
    </w:p>
    <w:p w14:paraId="3A766743">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项目生产装置无高压力、高温的设施，风险较小，生产装置的风险事故主要为装置泄漏（如镀槽等），导致环境风险物质进入环境。</w:t>
      </w:r>
    </w:p>
    <w:p w14:paraId="78B59A69">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（2）物料运输过程中的风险事故</w:t>
      </w:r>
    </w:p>
    <w:p w14:paraId="14BFB638">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建成后，生产所需原辅材料及产品大多需经公路进行运输。区内各类危险品装卸、运输中可能由于碰撞、震动、挤压等，同时由于操作不当、重装重即、容器多次回收利用，强度下降，垫圈失落没有拧紧等，均易造成物品泄漏，甚至引起火灾、爆炸或污染环境等事故。同时在运输途中，由于意外各种原因，可能发生汽车翻车等，造成危险品抛至水体、大气，造成较大事故，因此危险品在运输过程中存在一定</w:t>
      </w:r>
      <w:r>
        <w:rPr>
          <w:rFonts w:hint="eastAsia" w:ascii="Times New Roman" w:hAnsi="Times New Roman" w:eastAsia="宋体" w:cs="Times New Roman"/>
          <w:color w:val="auto"/>
          <w:sz w:val="24"/>
          <w:szCs w:val="24"/>
          <w:highlight w:val="none"/>
          <w:u w:val="none" w:color="auto"/>
          <w:lang w:eastAsia="zh-CN"/>
        </w:rPr>
        <w:t>环境</w:t>
      </w:r>
      <w:r>
        <w:rPr>
          <w:rFonts w:hint="default" w:ascii="Times New Roman" w:hAnsi="Times New Roman" w:eastAsia="宋体" w:cs="Times New Roman"/>
          <w:color w:val="auto"/>
          <w:sz w:val="24"/>
          <w:szCs w:val="24"/>
          <w:highlight w:val="none"/>
          <w:u w:val="none" w:color="auto"/>
        </w:rPr>
        <w:t>风险。</w:t>
      </w:r>
    </w:p>
    <w:p w14:paraId="4A08D9A3">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（3）废气事故排放的风险事故</w:t>
      </w:r>
    </w:p>
    <w:p w14:paraId="3165ED25">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本项目生产过程中所产生的废气包括氯化氢、硫酸雾</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4"/>
          <w:highlight w:val="none"/>
          <w:u w:val="none" w:color="auto"/>
        </w:rPr>
        <w:t>等，若凝聚塔、喷淋塔等废气处理设施出现故障或设备检修时，未经处理的工艺废气直接排入大气、将会造成周围大气环境污染。</w:t>
      </w:r>
    </w:p>
    <w:p w14:paraId="154E60D0">
      <w:pPr>
        <w:ind w:firstLine="480" w:firstLineChars="200"/>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（4）废水事故排放的风险事故</w:t>
      </w:r>
    </w:p>
    <w:p w14:paraId="093CA146">
      <w:pPr>
        <w:ind w:firstLine="480" w:firstLineChars="200"/>
        <w:rPr>
          <w:rFonts w:hint="default" w:ascii="Times New Roman" w:hAnsi="Times New Roman" w:eastAsia="宋体" w:cs="Times New Roman"/>
          <w:color w:val="auto"/>
          <w:sz w:val="24"/>
          <w:szCs w:val="24"/>
          <w:highlight w:val="none"/>
          <w:u w:val="single" w:color="auto"/>
        </w:rPr>
      </w:pPr>
      <w:r>
        <w:rPr>
          <w:rFonts w:hint="default" w:ascii="Times New Roman" w:hAnsi="Times New Roman" w:eastAsia="宋体" w:cs="Times New Roman"/>
          <w:color w:val="auto"/>
          <w:sz w:val="24"/>
          <w:szCs w:val="24"/>
          <w:highlight w:val="none"/>
          <w:u w:val="single" w:color="auto"/>
        </w:rPr>
        <w:t>本项目外排生产废水主要为生产工艺废水。在事故情况</w:t>
      </w:r>
      <w:r>
        <w:rPr>
          <w:rFonts w:hint="default" w:ascii="Times New Roman" w:hAnsi="Times New Roman" w:eastAsia="宋体" w:cs="Times New Roman"/>
          <w:color w:val="auto"/>
          <w:sz w:val="24"/>
          <w:szCs w:val="24"/>
          <w:highlight w:val="none"/>
          <w:u w:val="single" w:color="auto"/>
          <w:lang w:eastAsia="zh-CN"/>
        </w:rPr>
        <w:t>下</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eastAsia="zh-CN"/>
        </w:rPr>
        <w:t>企业内设有</w:t>
      </w:r>
      <w:r>
        <w:rPr>
          <w:rFonts w:hint="default" w:ascii="Times New Roman" w:hAnsi="Times New Roman" w:eastAsia="宋体" w:cs="Times New Roman"/>
          <w:color w:val="auto"/>
          <w:sz w:val="24"/>
          <w:szCs w:val="24"/>
          <w:highlight w:val="none"/>
          <w:u w:val="single" w:color="auto"/>
          <w:lang w:val="en-US" w:eastAsia="zh-CN"/>
        </w:rPr>
        <w:t>290m</w:t>
      </w:r>
      <w:r>
        <w:rPr>
          <w:rFonts w:hint="default" w:ascii="Times New Roman" w:hAnsi="Times New Roman" w:eastAsia="宋体" w:cs="Times New Roman"/>
          <w:color w:val="auto"/>
          <w:sz w:val="24"/>
          <w:szCs w:val="24"/>
          <w:highlight w:val="none"/>
          <w:u w:val="single" w:color="auto"/>
          <w:vertAlign w:val="superscript"/>
          <w:lang w:val="en-US" w:eastAsia="zh-CN"/>
        </w:rPr>
        <w:t>3</w:t>
      </w:r>
      <w:r>
        <w:rPr>
          <w:rFonts w:hint="default" w:ascii="Times New Roman" w:hAnsi="Times New Roman" w:eastAsia="宋体" w:cs="Times New Roman"/>
          <w:color w:val="auto"/>
          <w:sz w:val="24"/>
          <w:szCs w:val="24"/>
          <w:highlight w:val="none"/>
          <w:u w:val="single" w:color="auto"/>
          <w:lang w:val="en-US" w:eastAsia="zh-CN"/>
        </w:rPr>
        <w:t>的初期雨水池及600m</w:t>
      </w:r>
      <w:r>
        <w:rPr>
          <w:rFonts w:hint="default" w:ascii="Times New Roman" w:hAnsi="Times New Roman" w:eastAsia="宋体" w:cs="Times New Roman"/>
          <w:color w:val="auto"/>
          <w:sz w:val="24"/>
          <w:szCs w:val="24"/>
          <w:highlight w:val="none"/>
          <w:u w:val="single" w:color="auto"/>
          <w:vertAlign w:val="superscript"/>
          <w:lang w:val="en-US" w:eastAsia="zh-CN"/>
        </w:rPr>
        <w:t>3</w:t>
      </w:r>
      <w:r>
        <w:rPr>
          <w:rFonts w:hint="default" w:ascii="Times New Roman" w:hAnsi="Times New Roman" w:eastAsia="宋体" w:cs="Times New Roman"/>
          <w:color w:val="auto"/>
          <w:sz w:val="24"/>
          <w:szCs w:val="24"/>
          <w:highlight w:val="none"/>
          <w:u w:val="single" w:color="auto"/>
          <w:lang w:val="en-US" w:eastAsia="zh-CN"/>
        </w:rPr>
        <w:t>的事故应急池可有效收集项目产生的生产废水，对周边影响较小</w:t>
      </w:r>
      <w:r>
        <w:rPr>
          <w:rFonts w:hint="default" w:ascii="Times New Roman" w:hAnsi="Times New Roman" w:eastAsia="宋体" w:cs="Times New Roman"/>
          <w:color w:val="auto"/>
          <w:sz w:val="24"/>
          <w:szCs w:val="24"/>
          <w:highlight w:val="none"/>
          <w:u w:val="single" w:color="auto"/>
        </w:rPr>
        <w:t>。</w:t>
      </w:r>
    </w:p>
    <w:p w14:paraId="6E199D54">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8.3.2最大可信事故</w:t>
      </w:r>
    </w:p>
    <w:p w14:paraId="60D39674">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（1）风险概率分析</w:t>
      </w:r>
    </w:p>
    <w:p w14:paraId="5B8F94F1">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微软雅黑" w:cs="Times New Roman"/>
          <w:color w:val="auto"/>
          <w:sz w:val="24"/>
          <w:szCs w:val="24"/>
          <w:highlight w:val="none"/>
          <w:u w:val="none" w:color="auto"/>
        </w:rPr>
        <w:t>①</w:t>
      </w:r>
      <w:r>
        <w:rPr>
          <w:rFonts w:hint="default" w:ascii="Times New Roman" w:hAnsi="Times New Roman" w:eastAsia="宋体" w:cs="Times New Roman"/>
          <w:color w:val="auto"/>
          <w:sz w:val="24"/>
          <w:szCs w:val="24"/>
          <w:highlight w:val="none"/>
          <w:u w:val="none" w:color="auto"/>
        </w:rPr>
        <w:t>环境风险物质泄漏概率</w:t>
      </w:r>
    </w:p>
    <w:p w14:paraId="67DF9744">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参照《建设项目环境风险评价技术导则》（HJ169-2018）附录E——泄漏频率的推荐值，泄漏事故类型如容器、管道、泵体、压缩机、装卸臂和装卸软管的泄漏和破裂等，本次评价选取管道泄漏概率分析，泄漏概率详见下表。</w:t>
      </w:r>
    </w:p>
    <w:p w14:paraId="5E9FAB4B">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.3-1 泄漏频次表</w:t>
      </w:r>
    </w:p>
    <w:tbl>
      <w:tblPr>
        <w:tblStyle w:val="2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3149"/>
        <w:gridCol w:w="3253"/>
        <w:gridCol w:w="1934"/>
      </w:tblGrid>
      <w:tr w14:paraId="7A072C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Align w:val="center"/>
          </w:tcPr>
          <w:p w14:paraId="6AE3A24A">
            <w:pPr>
              <w:pStyle w:val="65"/>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7"/>
                <w:sz w:val="21"/>
                <w:szCs w:val="21"/>
                <w:highlight w:val="none"/>
                <w:u w:val="none" w:color="auto"/>
              </w:rPr>
              <w:t>部件类型</w:t>
            </w:r>
          </w:p>
        </w:tc>
        <w:tc>
          <w:tcPr>
            <w:tcW w:w="1951" w:type="pct"/>
            <w:vAlign w:val="center"/>
          </w:tcPr>
          <w:p w14:paraId="149AB0FA">
            <w:pPr>
              <w:pStyle w:val="65"/>
              <w:jc w:val="center"/>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7"/>
                <w:sz w:val="21"/>
                <w:szCs w:val="21"/>
                <w:highlight w:val="none"/>
                <w:u w:val="none" w:color="auto"/>
              </w:rPr>
              <w:t>泄漏模式</w:t>
            </w:r>
          </w:p>
        </w:tc>
        <w:tc>
          <w:tcPr>
            <w:tcW w:w="1160" w:type="pct"/>
            <w:vAlign w:val="center"/>
          </w:tcPr>
          <w:p w14:paraId="673F45FD">
            <w:pPr>
              <w:pStyle w:val="65"/>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7"/>
                <w:sz w:val="21"/>
                <w:szCs w:val="21"/>
                <w:highlight w:val="none"/>
                <w:u w:val="none" w:color="auto"/>
              </w:rPr>
              <w:t>泄漏频率</w:t>
            </w:r>
          </w:p>
        </w:tc>
      </w:tr>
      <w:tr w14:paraId="1C8400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Merge w:val="restart"/>
            <w:vAlign w:val="center"/>
          </w:tcPr>
          <w:p w14:paraId="7628658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反应器/工艺储罐/气体储罐/塔器</w:t>
            </w:r>
          </w:p>
        </w:tc>
        <w:tc>
          <w:tcPr>
            <w:tcW w:w="1951" w:type="pct"/>
            <w:vAlign w:val="center"/>
          </w:tcPr>
          <w:p w14:paraId="251910C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泄漏孔径为10mm孔径</w:t>
            </w:r>
          </w:p>
        </w:tc>
        <w:tc>
          <w:tcPr>
            <w:tcW w:w="1160" w:type="pct"/>
            <w:vAlign w:val="center"/>
          </w:tcPr>
          <w:p w14:paraId="6F6CD5C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-4</w:t>
            </w:r>
            <w:r>
              <w:rPr>
                <w:rFonts w:hint="default" w:ascii="Times New Roman" w:hAnsi="Times New Roman" w:eastAsia="宋体" w:cs="Times New Roman"/>
                <w:color w:val="auto"/>
                <w:sz w:val="21"/>
                <w:szCs w:val="21"/>
                <w:highlight w:val="none"/>
                <w:u w:val="none" w:color="auto"/>
              </w:rPr>
              <w:t>/a</w:t>
            </w:r>
          </w:p>
        </w:tc>
      </w:tr>
      <w:tr w14:paraId="2894E4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Merge w:val="continue"/>
            <w:vAlign w:val="center"/>
          </w:tcPr>
          <w:p w14:paraId="6FA71E58">
            <w:pPr>
              <w:spacing w:line="240" w:lineRule="auto"/>
              <w:jc w:val="center"/>
              <w:rPr>
                <w:rFonts w:hint="default" w:ascii="Times New Roman" w:hAnsi="Times New Roman" w:eastAsia="宋体" w:cs="Times New Roman"/>
                <w:color w:val="auto"/>
                <w:sz w:val="21"/>
                <w:szCs w:val="21"/>
                <w:highlight w:val="none"/>
                <w:u w:val="none" w:color="auto"/>
              </w:rPr>
            </w:pPr>
          </w:p>
        </w:tc>
        <w:tc>
          <w:tcPr>
            <w:tcW w:w="1951" w:type="pct"/>
            <w:vAlign w:val="center"/>
          </w:tcPr>
          <w:p w14:paraId="6CE6CA2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10min内储罐泄漏完</w:t>
            </w:r>
          </w:p>
        </w:tc>
        <w:tc>
          <w:tcPr>
            <w:tcW w:w="1160" w:type="pct"/>
            <w:vAlign w:val="center"/>
          </w:tcPr>
          <w:p w14:paraId="2F0FB38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/a</w:t>
            </w:r>
          </w:p>
        </w:tc>
      </w:tr>
      <w:tr w14:paraId="2C7EAD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Merge w:val="continue"/>
            <w:vAlign w:val="center"/>
          </w:tcPr>
          <w:p w14:paraId="18CA720A">
            <w:pPr>
              <w:spacing w:line="240" w:lineRule="auto"/>
              <w:jc w:val="center"/>
              <w:rPr>
                <w:rFonts w:hint="default" w:ascii="Times New Roman" w:hAnsi="Times New Roman" w:eastAsia="宋体" w:cs="Times New Roman"/>
                <w:color w:val="auto"/>
                <w:sz w:val="21"/>
                <w:szCs w:val="21"/>
                <w:highlight w:val="none"/>
                <w:u w:val="none" w:color="auto"/>
              </w:rPr>
            </w:pPr>
          </w:p>
        </w:tc>
        <w:tc>
          <w:tcPr>
            <w:tcW w:w="1951" w:type="pct"/>
            <w:vAlign w:val="center"/>
          </w:tcPr>
          <w:p w14:paraId="1C8E72A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储罐全破裂</w:t>
            </w:r>
          </w:p>
        </w:tc>
        <w:tc>
          <w:tcPr>
            <w:tcW w:w="1160" w:type="pct"/>
            <w:vAlign w:val="center"/>
          </w:tcPr>
          <w:p w14:paraId="6BB329F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/a</w:t>
            </w:r>
          </w:p>
        </w:tc>
      </w:tr>
      <w:tr w14:paraId="76A54F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Merge w:val="restart"/>
            <w:vAlign w:val="center"/>
          </w:tcPr>
          <w:p w14:paraId="192F58D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常压单包容储罐</w:t>
            </w:r>
          </w:p>
        </w:tc>
        <w:tc>
          <w:tcPr>
            <w:tcW w:w="1951" w:type="pct"/>
            <w:vAlign w:val="center"/>
          </w:tcPr>
          <w:p w14:paraId="27DA797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泄漏孔径为10mm孔径</w:t>
            </w:r>
          </w:p>
        </w:tc>
        <w:tc>
          <w:tcPr>
            <w:tcW w:w="1160" w:type="pct"/>
            <w:vAlign w:val="center"/>
          </w:tcPr>
          <w:p w14:paraId="06CE723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-4</w:t>
            </w:r>
            <w:r>
              <w:rPr>
                <w:rFonts w:hint="default" w:ascii="Times New Roman" w:hAnsi="Times New Roman" w:eastAsia="宋体" w:cs="Times New Roman"/>
                <w:color w:val="auto"/>
                <w:sz w:val="21"/>
                <w:szCs w:val="21"/>
                <w:highlight w:val="none"/>
                <w:u w:val="none" w:color="auto"/>
              </w:rPr>
              <w:t>/a</w:t>
            </w:r>
          </w:p>
        </w:tc>
      </w:tr>
      <w:tr w14:paraId="2081BC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Merge w:val="continue"/>
            <w:vAlign w:val="center"/>
          </w:tcPr>
          <w:p w14:paraId="740B93A0">
            <w:pPr>
              <w:spacing w:line="240" w:lineRule="auto"/>
              <w:jc w:val="center"/>
              <w:rPr>
                <w:rFonts w:hint="default" w:ascii="Times New Roman" w:hAnsi="Times New Roman" w:eastAsia="宋体" w:cs="Times New Roman"/>
                <w:color w:val="auto"/>
                <w:sz w:val="21"/>
                <w:szCs w:val="21"/>
                <w:highlight w:val="none"/>
                <w:u w:val="none" w:color="auto"/>
              </w:rPr>
            </w:pPr>
          </w:p>
        </w:tc>
        <w:tc>
          <w:tcPr>
            <w:tcW w:w="1951" w:type="pct"/>
            <w:vAlign w:val="center"/>
          </w:tcPr>
          <w:p w14:paraId="7AD8665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10min内储罐泄漏完</w:t>
            </w:r>
          </w:p>
        </w:tc>
        <w:tc>
          <w:tcPr>
            <w:tcW w:w="1160" w:type="pct"/>
            <w:vAlign w:val="center"/>
          </w:tcPr>
          <w:p w14:paraId="4B48464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/a</w:t>
            </w:r>
          </w:p>
        </w:tc>
      </w:tr>
      <w:tr w14:paraId="7B0C8E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Merge w:val="continue"/>
            <w:vAlign w:val="center"/>
          </w:tcPr>
          <w:p w14:paraId="2292930D">
            <w:pPr>
              <w:spacing w:line="240" w:lineRule="auto"/>
              <w:jc w:val="center"/>
              <w:rPr>
                <w:rFonts w:hint="default" w:ascii="Times New Roman" w:hAnsi="Times New Roman" w:eastAsia="宋体" w:cs="Times New Roman"/>
                <w:color w:val="auto"/>
                <w:sz w:val="21"/>
                <w:szCs w:val="21"/>
                <w:highlight w:val="none"/>
                <w:u w:val="none" w:color="auto"/>
              </w:rPr>
            </w:pPr>
          </w:p>
        </w:tc>
        <w:tc>
          <w:tcPr>
            <w:tcW w:w="1951" w:type="pct"/>
            <w:vAlign w:val="center"/>
          </w:tcPr>
          <w:p w14:paraId="59C7C10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储罐全破裂</w:t>
            </w:r>
          </w:p>
        </w:tc>
        <w:tc>
          <w:tcPr>
            <w:tcW w:w="1160" w:type="pct"/>
            <w:vAlign w:val="center"/>
          </w:tcPr>
          <w:p w14:paraId="1A24F23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/a</w:t>
            </w:r>
          </w:p>
        </w:tc>
      </w:tr>
      <w:tr w14:paraId="54D845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Merge w:val="restart"/>
            <w:vAlign w:val="center"/>
          </w:tcPr>
          <w:p w14:paraId="59F6BD9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常压双包容储罐</w:t>
            </w:r>
          </w:p>
        </w:tc>
        <w:tc>
          <w:tcPr>
            <w:tcW w:w="1951" w:type="pct"/>
            <w:vAlign w:val="center"/>
          </w:tcPr>
          <w:p w14:paraId="5DDE9D4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泄漏孔径为10mm孔径</w:t>
            </w:r>
          </w:p>
        </w:tc>
        <w:tc>
          <w:tcPr>
            <w:tcW w:w="1160" w:type="pct"/>
            <w:vAlign w:val="center"/>
          </w:tcPr>
          <w:p w14:paraId="5E15C29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-4</w:t>
            </w:r>
            <w:r>
              <w:rPr>
                <w:rFonts w:hint="default" w:ascii="Times New Roman" w:hAnsi="Times New Roman" w:eastAsia="宋体" w:cs="Times New Roman"/>
                <w:color w:val="auto"/>
                <w:sz w:val="21"/>
                <w:szCs w:val="21"/>
                <w:highlight w:val="none"/>
                <w:u w:val="none" w:color="auto"/>
              </w:rPr>
              <w:t>/a</w:t>
            </w:r>
          </w:p>
        </w:tc>
      </w:tr>
      <w:tr w14:paraId="0D2B20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Merge w:val="continue"/>
            <w:vAlign w:val="center"/>
          </w:tcPr>
          <w:p w14:paraId="710FE2C1">
            <w:pPr>
              <w:spacing w:line="240" w:lineRule="auto"/>
              <w:jc w:val="center"/>
              <w:rPr>
                <w:rFonts w:hint="default" w:ascii="Times New Roman" w:hAnsi="Times New Roman" w:eastAsia="宋体" w:cs="Times New Roman"/>
                <w:color w:val="auto"/>
                <w:sz w:val="21"/>
                <w:szCs w:val="21"/>
                <w:highlight w:val="none"/>
                <w:u w:val="none" w:color="auto"/>
              </w:rPr>
            </w:pPr>
          </w:p>
        </w:tc>
        <w:tc>
          <w:tcPr>
            <w:tcW w:w="1951" w:type="pct"/>
            <w:vAlign w:val="center"/>
          </w:tcPr>
          <w:p w14:paraId="2D8A485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10min内储罐泄漏完</w:t>
            </w:r>
          </w:p>
        </w:tc>
        <w:tc>
          <w:tcPr>
            <w:tcW w:w="1160" w:type="pct"/>
            <w:vAlign w:val="center"/>
          </w:tcPr>
          <w:p w14:paraId="523BB55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1.25×10</w:t>
            </w:r>
            <w:r>
              <w:rPr>
                <w:rFonts w:hint="default" w:ascii="Times New Roman" w:hAnsi="Times New Roman" w:eastAsia="宋体" w:cs="Times New Roman"/>
                <w:color w:val="auto"/>
                <w:sz w:val="21"/>
                <w:szCs w:val="21"/>
                <w:highlight w:val="none"/>
                <w:u w:val="none" w:color="auto"/>
                <w:vertAlign w:val="superscript"/>
              </w:rPr>
              <w:t>-8</w:t>
            </w:r>
            <w:r>
              <w:rPr>
                <w:rFonts w:hint="default" w:ascii="Times New Roman" w:hAnsi="Times New Roman" w:eastAsia="宋体" w:cs="Times New Roman"/>
                <w:color w:val="auto"/>
                <w:sz w:val="21"/>
                <w:szCs w:val="21"/>
                <w:highlight w:val="none"/>
                <w:u w:val="none" w:color="auto"/>
              </w:rPr>
              <w:t>/a</w:t>
            </w:r>
          </w:p>
        </w:tc>
      </w:tr>
      <w:tr w14:paraId="5C7CD5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Merge w:val="continue"/>
            <w:vAlign w:val="center"/>
          </w:tcPr>
          <w:p w14:paraId="075E3813">
            <w:pPr>
              <w:spacing w:line="240" w:lineRule="auto"/>
              <w:jc w:val="center"/>
              <w:rPr>
                <w:rFonts w:hint="default" w:ascii="Times New Roman" w:hAnsi="Times New Roman" w:eastAsia="宋体" w:cs="Times New Roman"/>
                <w:color w:val="auto"/>
                <w:sz w:val="21"/>
                <w:szCs w:val="21"/>
                <w:highlight w:val="none"/>
                <w:u w:val="none" w:color="auto"/>
              </w:rPr>
            </w:pPr>
          </w:p>
        </w:tc>
        <w:tc>
          <w:tcPr>
            <w:tcW w:w="1951" w:type="pct"/>
            <w:vAlign w:val="center"/>
          </w:tcPr>
          <w:p w14:paraId="032A49B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储罐全破裂</w:t>
            </w:r>
          </w:p>
        </w:tc>
        <w:tc>
          <w:tcPr>
            <w:tcW w:w="1160" w:type="pct"/>
            <w:vAlign w:val="center"/>
          </w:tcPr>
          <w:p w14:paraId="6083060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1.25×10</w:t>
            </w:r>
            <w:r>
              <w:rPr>
                <w:rFonts w:hint="default" w:ascii="Times New Roman" w:hAnsi="Times New Roman" w:eastAsia="宋体" w:cs="Times New Roman"/>
                <w:color w:val="auto"/>
                <w:sz w:val="21"/>
                <w:szCs w:val="21"/>
                <w:highlight w:val="none"/>
                <w:u w:val="none" w:color="auto"/>
                <w:vertAlign w:val="superscript"/>
              </w:rPr>
              <w:t>-8</w:t>
            </w:r>
            <w:r>
              <w:rPr>
                <w:rFonts w:hint="default" w:ascii="Times New Roman" w:hAnsi="Times New Roman" w:eastAsia="宋体" w:cs="Times New Roman"/>
                <w:color w:val="auto"/>
                <w:sz w:val="21"/>
                <w:szCs w:val="21"/>
                <w:highlight w:val="none"/>
                <w:u w:val="none" w:color="auto"/>
              </w:rPr>
              <w:t>/a</w:t>
            </w:r>
          </w:p>
        </w:tc>
      </w:tr>
      <w:tr w14:paraId="4B94F3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Align w:val="center"/>
          </w:tcPr>
          <w:p w14:paraId="61DE1F6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常压全包容储罐</w:t>
            </w:r>
          </w:p>
        </w:tc>
        <w:tc>
          <w:tcPr>
            <w:tcW w:w="1951" w:type="pct"/>
            <w:vAlign w:val="center"/>
          </w:tcPr>
          <w:p w14:paraId="3A86A6B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储罐全破裂</w:t>
            </w:r>
          </w:p>
        </w:tc>
        <w:tc>
          <w:tcPr>
            <w:tcW w:w="1160" w:type="pct"/>
            <w:vAlign w:val="center"/>
          </w:tcPr>
          <w:p w14:paraId="7471519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-8</w:t>
            </w:r>
            <w:r>
              <w:rPr>
                <w:rFonts w:hint="default" w:ascii="Times New Roman" w:hAnsi="Times New Roman" w:eastAsia="宋体" w:cs="Times New Roman"/>
                <w:color w:val="auto"/>
                <w:sz w:val="21"/>
                <w:szCs w:val="21"/>
                <w:highlight w:val="none"/>
                <w:u w:val="none" w:color="auto"/>
              </w:rPr>
              <w:t>/a</w:t>
            </w:r>
          </w:p>
        </w:tc>
      </w:tr>
      <w:tr w14:paraId="1170E2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Align w:val="center"/>
          </w:tcPr>
          <w:p w14:paraId="7F9ECB1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内径≤75mm的管道</w:t>
            </w:r>
          </w:p>
        </w:tc>
        <w:tc>
          <w:tcPr>
            <w:tcW w:w="1951" w:type="pct"/>
            <w:vAlign w:val="center"/>
          </w:tcPr>
          <w:p w14:paraId="57C0D1A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泄漏孔径为10%孔径</w:t>
            </w:r>
          </w:p>
          <w:p w14:paraId="66666C6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全管径泄漏</w:t>
            </w:r>
          </w:p>
        </w:tc>
        <w:tc>
          <w:tcPr>
            <w:tcW w:w="1160" w:type="pct"/>
            <w:vAlign w:val="center"/>
          </w:tcPr>
          <w:p w14:paraId="41FC651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/（m·a）</w:t>
            </w:r>
          </w:p>
          <w:p w14:paraId="2C62085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/（m·a）</w:t>
            </w:r>
          </w:p>
        </w:tc>
      </w:tr>
      <w:tr w14:paraId="54EED1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Align w:val="center"/>
          </w:tcPr>
          <w:p w14:paraId="46E2E2B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75mm＜内径≤150mm的管道</w:t>
            </w:r>
          </w:p>
        </w:tc>
        <w:tc>
          <w:tcPr>
            <w:tcW w:w="1951" w:type="pct"/>
            <w:vAlign w:val="center"/>
          </w:tcPr>
          <w:p w14:paraId="2F9B354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泄漏孔径为10%孔径</w:t>
            </w:r>
          </w:p>
          <w:p w14:paraId="17E5BD0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全管径泄漏</w:t>
            </w:r>
          </w:p>
        </w:tc>
        <w:tc>
          <w:tcPr>
            <w:tcW w:w="1160" w:type="pct"/>
            <w:vAlign w:val="center"/>
          </w:tcPr>
          <w:p w14:paraId="57FDD23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/（m·a）</w:t>
            </w:r>
          </w:p>
          <w:p w14:paraId="155245B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3.00×10</w:t>
            </w:r>
            <w:r>
              <w:rPr>
                <w:rFonts w:hint="default" w:ascii="Times New Roman" w:hAnsi="Times New Roman" w:eastAsia="宋体" w:cs="Times New Roman"/>
                <w:color w:val="auto"/>
                <w:sz w:val="21"/>
                <w:szCs w:val="21"/>
                <w:highlight w:val="none"/>
                <w:u w:val="none" w:color="auto"/>
                <w:vertAlign w:val="superscript"/>
              </w:rPr>
              <w:t>-7</w:t>
            </w:r>
            <w:r>
              <w:rPr>
                <w:rFonts w:hint="default" w:ascii="Times New Roman" w:hAnsi="Times New Roman" w:eastAsia="宋体" w:cs="Times New Roman"/>
                <w:color w:val="auto"/>
                <w:sz w:val="21"/>
                <w:szCs w:val="21"/>
                <w:highlight w:val="none"/>
                <w:u w:val="none" w:color="auto"/>
              </w:rPr>
              <w:t>/（m·a）</w:t>
            </w:r>
          </w:p>
        </w:tc>
      </w:tr>
      <w:tr w14:paraId="316962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889" w:type="pct"/>
            <w:vAlign w:val="center"/>
          </w:tcPr>
          <w:p w14:paraId="1F8D549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内径＞150mm的管道</w:t>
            </w:r>
          </w:p>
        </w:tc>
        <w:tc>
          <w:tcPr>
            <w:tcW w:w="1951" w:type="pct"/>
            <w:vAlign w:val="center"/>
          </w:tcPr>
          <w:p w14:paraId="1EC8674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泄漏孔径为10%孔径（最大50mm）</w:t>
            </w:r>
          </w:p>
          <w:p w14:paraId="639D934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全管径泄漏</w:t>
            </w:r>
          </w:p>
        </w:tc>
        <w:tc>
          <w:tcPr>
            <w:tcW w:w="1160" w:type="pct"/>
            <w:vAlign w:val="center"/>
          </w:tcPr>
          <w:p w14:paraId="0B309E1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2.40×10</w:t>
            </w:r>
            <w:r>
              <w:rPr>
                <w:rFonts w:hint="default" w:ascii="Times New Roman" w:hAnsi="Times New Roman" w:eastAsia="宋体" w:cs="Times New Roman"/>
                <w:color w:val="auto"/>
                <w:sz w:val="21"/>
                <w:szCs w:val="21"/>
                <w:highlight w:val="none"/>
                <w:u w:val="none" w:color="auto"/>
                <w:vertAlign w:val="superscript"/>
              </w:rPr>
              <w:t>-6</w:t>
            </w:r>
            <w:r>
              <w:rPr>
                <w:rFonts w:hint="default" w:ascii="Times New Roman" w:hAnsi="Times New Roman" w:eastAsia="宋体" w:cs="Times New Roman"/>
                <w:color w:val="auto"/>
                <w:sz w:val="21"/>
                <w:szCs w:val="21"/>
                <w:highlight w:val="none"/>
                <w:u w:val="none" w:color="auto"/>
              </w:rPr>
              <w:t>/（m·a）*</w:t>
            </w:r>
          </w:p>
          <w:p w14:paraId="12745C3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1.00×10</w:t>
            </w:r>
            <w:r>
              <w:rPr>
                <w:rFonts w:hint="default" w:ascii="Times New Roman" w:hAnsi="Times New Roman" w:eastAsia="宋体" w:cs="Times New Roman"/>
                <w:color w:val="auto"/>
                <w:sz w:val="21"/>
                <w:szCs w:val="21"/>
                <w:highlight w:val="none"/>
                <w:u w:val="none" w:color="auto"/>
                <w:vertAlign w:val="superscript"/>
              </w:rPr>
              <w:t>-7</w:t>
            </w:r>
            <w:r>
              <w:rPr>
                <w:rFonts w:hint="default" w:ascii="Times New Roman" w:hAnsi="Times New Roman" w:eastAsia="宋体" w:cs="Times New Roman"/>
                <w:color w:val="auto"/>
                <w:sz w:val="21"/>
                <w:szCs w:val="21"/>
                <w:highlight w:val="none"/>
                <w:u w:val="none" w:color="auto"/>
              </w:rPr>
              <w:t>/（m·a）</w:t>
            </w:r>
          </w:p>
        </w:tc>
      </w:tr>
      <w:tr w14:paraId="4150F7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000" w:type="pct"/>
            <w:gridSpan w:val="3"/>
            <w:vAlign w:val="center"/>
          </w:tcPr>
          <w:p w14:paraId="046BC4A3">
            <w:pPr>
              <w:pStyle w:val="65"/>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7"/>
                <w:sz w:val="21"/>
                <w:szCs w:val="21"/>
                <w:highlight w:val="none"/>
                <w:u w:val="none" w:color="auto"/>
              </w:rPr>
              <w:t>注</w:t>
            </w:r>
            <w:r>
              <w:rPr>
                <w:rFonts w:hint="default" w:ascii="Times New Roman" w:hAnsi="Times New Roman" w:cs="Times New Roman"/>
                <w:color w:val="auto"/>
                <w:spacing w:val="-86"/>
                <w:sz w:val="21"/>
                <w:szCs w:val="21"/>
                <w:highlight w:val="none"/>
                <w:u w:val="none" w:color="auto"/>
              </w:rPr>
              <w:t>：</w:t>
            </w:r>
            <w:r>
              <w:rPr>
                <w:rFonts w:hint="default" w:ascii="Times New Roman" w:hAnsi="Times New Roman" w:cs="Times New Roman"/>
                <w:color w:val="auto"/>
                <w:spacing w:val="7"/>
                <w:sz w:val="21"/>
                <w:szCs w:val="21"/>
                <w:highlight w:val="none"/>
                <w:u w:val="none" w:color="auto"/>
              </w:rPr>
              <w:t>以</w:t>
            </w:r>
            <w:r>
              <w:rPr>
                <w:rFonts w:hint="default" w:ascii="Times New Roman" w:hAnsi="Times New Roman" w:cs="Times New Roman"/>
                <w:color w:val="auto"/>
                <w:spacing w:val="8"/>
                <w:sz w:val="21"/>
                <w:szCs w:val="21"/>
                <w:highlight w:val="none"/>
                <w:u w:val="none" w:color="auto"/>
              </w:rPr>
              <w:t>上数</w:t>
            </w:r>
            <w:r>
              <w:rPr>
                <w:rFonts w:hint="default" w:ascii="Times New Roman" w:hAnsi="Times New Roman" w:cs="Times New Roman"/>
                <w:color w:val="auto"/>
                <w:spacing w:val="7"/>
                <w:sz w:val="21"/>
                <w:szCs w:val="21"/>
                <w:highlight w:val="none"/>
                <w:u w:val="none" w:color="auto"/>
              </w:rPr>
              <w:t>据</w:t>
            </w:r>
            <w:r>
              <w:rPr>
                <w:rFonts w:hint="default" w:ascii="Times New Roman" w:hAnsi="Times New Roman" w:cs="Times New Roman"/>
                <w:color w:val="auto"/>
                <w:spacing w:val="8"/>
                <w:sz w:val="21"/>
                <w:szCs w:val="21"/>
                <w:highlight w:val="none"/>
                <w:u w:val="none" w:color="auto"/>
              </w:rPr>
              <w:t>来</w:t>
            </w:r>
            <w:r>
              <w:rPr>
                <w:rFonts w:hint="default" w:ascii="Times New Roman" w:hAnsi="Times New Roman" w:cs="Times New Roman"/>
                <w:color w:val="auto"/>
                <w:spacing w:val="7"/>
                <w:sz w:val="21"/>
                <w:szCs w:val="21"/>
                <w:highlight w:val="none"/>
                <w:u w:val="none" w:color="auto"/>
              </w:rPr>
              <w:t>源</w:t>
            </w:r>
            <w:r>
              <w:rPr>
                <w:rFonts w:hint="default" w:ascii="Times New Roman" w:hAnsi="Times New Roman" w:cs="Times New Roman"/>
                <w:color w:val="auto"/>
                <w:spacing w:val="8"/>
                <w:sz w:val="21"/>
                <w:szCs w:val="21"/>
                <w:highlight w:val="none"/>
                <w:u w:val="none" w:color="auto"/>
              </w:rPr>
              <w:t>于荷</w:t>
            </w:r>
            <w:r>
              <w:rPr>
                <w:rFonts w:hint="default" w:ascii="Times New Roman" w:hAnsi="Times New Roman" w:cs="Times New Roman"/>
                <w:color w:val="auto"/>
                <w:sz w:val="21"/>
                <w:szCs w:val="21"/>
                <w:highlight w:val="none"/>
                <w:u w:val="none" w:color="auto"/>
              </w:rPr>
              <w:t>兰</w:t>
            </w:r>
            <w:r>
              <w:rPr>
                <w:rFonts w:hint="default" w:ascii="Times New Roman" w:hAnsi="Times New Roman" w:cs="Times New Roman"/>
                <w:color w:val="auto"/>
                <w:spacing w:val="4"/>
                <w:sz w:val="21"/>
                <w:szCs w:val="21"/>
                <w:highlight w:val="none"/>
                <w:u w:val="none" w:color="auto"/>
              </w:rPr>
              <w:t>TN</w:t>
            </w:r>
            <w:r>
              <w:rPr>
                <w:rFonts w:hint="default" w:ascii="Times New Roman" w:hAnsi="Times New Roman" w:cs="Times New Roman"/>
                <w:color w:val="auto"/>
                <w:sz w:val="21"/>
                <w:szCs w:val="21"/>
                <w:highlight w:val="none"/>
                <w:u w:val="none" w:color="auto"/>
              </w:rPr>
              <w:t>O</w:t>
            </w:r>
            <w:r>
              <w:rPr>
                <w:rFonts w:hint="default" w:ascii="Times New Roman" w:hAnsi="Times New Roman" w:cs="Times New Roman"/>
                <w:color w:val="auto"/>
                <w:spacing w:val="7"/>
                <w:sz w:val="21"/>
                <w:szCs w:val="21"/>
                <w:highlight w:val="none"/>
                <w:u w:val="none" w:color="auto"/>
              </w:rPr>
              <w:t>紫</w:t>
            </w:r>
            <w:r>
              <w:rPr>
                <w:rFonts w:hint="default" w:ascii="Times New Roman" w:hAnsi="Times New Roman" w:cs="Times New Roman"/>
                <w:color w:val="auto"/>
                <w:spacing w:val="8"/>
                <w:sz w:val="21"/>
                <w:szCs w:val="21"/>
                <w:highlight w:val="none"/>
                <w:u w:val="none" w:color="auto"/>
              </w:rPr>
              <w:t>皮</w:t>
            </w:r>
            <w:r>
              <w:rPr>
                <w:rFonts w:hint="default" w:ascii="Times New Roman" w:hAnsi="Times New Roman" w:cs="Times New Roman"/>
                <w:color w:val="auto"/>
                <w:spacing w:val="-87"/>
                <w:sz w:val="21"/>
                <w:szCs w:val="21"/>
                <w:highlight w:val="none"/>
                <w:u w:val="none" w:color="auto"/>
              </w:rPr>
              <w:t>书</w:t>
            </w:r>
            <w:r>
              <w:rPr>
                <w:rFonts w:hint="default" w:ascii="Times New Roman" w:hAnsi="Times New Roman" w:cs="Times New Roman"/>
                <w:color w:val="auto"/>
                <w:spacing w:val="8"/>
                <w:sz w:val="21"/>
                <w:szCs w:val="21"/>
                <w:highlight w:val="none"/>
                <w:u w:val="none" w:color="auto"/>
              </w:rPr>
              <w:t>（</w:t>
            </w:r>
            <w:r>
              <w:rPr>
                <w:rFonts w:hint="default" w:ascii="Times New Roman" w:hAnsi="Times New Roman" w:cs="Times New Roman"/>
                <w:color w:val="auto"/>
                <w:spacing w:val="3"/>
                <w:sz w:val="21"/>
                <w:szCs w:val="21"/>
                <w:highlight w:val="none"/>
                <w:u w:val="none" w:color="auto"/>
              </w:rPr>
              <w:t>Gu</w:t>
            </w:r>
            <w:r>
              <w:rPr>
                <w:rFonts w:hint="default" w:ascii="Times New Roman" w:hAnsi="Times New Roman" w:cs="Times New Roman"/>
                <w:color w:val="auto"/>
                <w:spacing w:val="5"/>
                <w:sz w:val="21"/>
                <w:szCs w:val="21"/>
                <w:highlight w:val="none"/>
                <w:u w:val="none" w:color="auto"/>
              </w:rPr>
              <w:t>i</w:t>
            </w:r>
            <w:r>
              <w:rPr>
                <w:rFonts w:hint="default" w:ascii="Times New Roman" w:hAnsi="Times New Roman" w:cs="Times New Roman"/>
                <w:color w:val="auto"/>
                <w:spacing w:val="3"/>
                <w:sz w:val="21"/>
                <w:szCs w:val="21"/>
                <w:highlight w:val="none"/>
                <w:u w:val="none" w:color="auto"/>
              </w:rPr>
              <w:t>del</w:t>
            </w:r>
            <w:r>
              <w:rPr>
                <w:rFonts w:hint="default" w:ascii="Times New Roman" w:hAnsi="Times New Roman" w:cs="Times New Roman"/>
                <w:color w:val="auto"/>
                <w:spacing w:val="5"/>
                <w:sz w:val="21"/>
                <w:szCs w:val="21"/>
                <w:highlight w:val="none"/>
                <w:u w:val="none" w:color="auto"/>
              </w:rPr>
              <w:t>i</w:t>
            </w:r>
            <w:r>
              <w:rPr>
                <w:rFonts w:hint="default" w:ascii="Times New Roman" w:hAnsi="Times New Roman" w:cs="Times New Roman"/>
                <w:color w:val="auto"/>
                <w:spacing w:val="3"/>
                <w:sz w:val="21"/>
                <w:szCs w:val="21"/>
                <w:highlight w:val="none"/>
                <w:u w:val="none" w:color="auto"/>
              </w:rPr>
              <w:t>ne</w:t>
            </w:r>
            <w:r>
              <w:rPr>
                <w:rFonts w:hint="default" w:ascii="Times New Roman" w:hAnsi="Times New Roman" w:cs="Times New Roman"/>
                <w:color w:val="auto"/>
                <w:sz w:val="21"/>
                <w:szCs w:val="21"/>
                <w:highlight w:val="none"/>
                <w:u w:val="none" w:color="auto"/>
              </w:rPr>
              <w:t>s</w:t>
            </w:r>
            <w:r>
              <w:rPr>
                <w:rFonts w:hint="default" w:ascii="Times New Roman" w:hAnsi="Times New Roman" w:cs="Times New Roman"/>
                <w:color w:val="auto"/>
                <w:spacing w:val="3"/>
                <w:sz w:val="21"/>
                <w:szCs w:val="21"/>
                <w:highlight w:val="none"/>
                <w:u w:val="none" w:color="auto"/>
              </w:rPr>
              <w:t>fo</w:t>
            </w:r>
            <w:r>
              <w:rPr>
                <w:rFonts w:hint="default" w:ascii="Times New Roman" w:hAnsi="Times New Roman" w:cs="Times New Roman"/>
                <w:color w:val="auto"/>
                <w:sz w:val="21"/>
                <w:szCs w:val="21"/>
                <w:highlight w:val="none"/>
                <w:u w:val="none" w:color="auto"/>
              </w:rPr>
              <w:t>r</w:t>
            </w:r>
            <w:r>
              <w:rPr>
                <w:rFonts w:hint="default" w:ascii="Times New Roman" w:hAnsi="Times New Roman" w:cs="Times New Roman"/>
                <w:color w:val="auto"/>
                <w:spacing w:val="3"/>
                <w:sz w:val="21"/>
                <w:szCs w:val="21"/>
                <w:highlight w:val="none"/>
                <w:u w:val="none" w:color="auto"/>
              </w:rPr>
              <w:t>Qu</w:t>
            </w:r>
            <w:r>
              <w:rPr>
                <w:rFonts w:hint="default" w:ascii="Times New Roman" w:hAnsi="Times New Roman" w:cs="Times New Roman"/>
                <w:color w:val="auto"/>
                <w:spacing w:val="5"/>
                <w:sz w:val="21"/>
                <w:szCs w:val="21"/>
                <w:highlight w:val="none"/>
                <w:u w:val="none" w:color="auto"/>
              </w:rPr>
              <w:t>a</w:t>
            </w:r>
            <w:r>
              <w:rPr>
                <w:rFonts w:hint="default" w:ascii="Times New Roman" w:hAnsi="Times New Roman" w:cs="Times New Roman"/>
                <w:color w:val="auto"/>
                <w:spacing w:val="3"/>
                <w:sz w:val="21"/>
                <w:szCs w:val="21"/>
                <w:highlight w:val="none"/>
                <w:u w:val="none" w:color="auto"/>
              </w:rPr>
              <w:t>ntit</w:t>
            </w:r>
            <w:r>
              <w:rPr>
                <w:rFonts w:hint="default" w:ascii="Times New Roman" w:hAnsi="Times New Roman" w:cs="Times New Roman"/>
                <w:color w:val="auto"/>
                <w:spacing w:val="5"/>
                <w:sz w:val="21"/>
                <w:szCs w:val="21"/>
                <w:highlight w:val="none"/>
                <w:u w:val="none" w:color="auto"/>
              </w:rPr>
              <w:t>a</w:t>
            </w:r>
            <w:r>
              <w:rPr>
                <w:rFonts w:hint="default" w:ascii="Times New Roman" w:hAnsi="Times New Roman" w:cs="Times New Roman"/>
                <w:color w:val="auto"/>
                <w:spacing w:val="3"/>
                <w:sz w:val="21"/>
                <w:szCs w:val="21"/>
                <w:highlight w:val="none"/>
                <w:u w:val="none" w:color="auto"/>
              </w:rPr>
              <w:t>tive</w:t>
            </w:r>
            <w:r>
              <w:rPr>
                <w:rFonts w:hint="default" w:ascii="Times New Roman" w:hAnsi="Times New Roman" w:cs="Times New Roman"/>
                <w:color w:val="auto"/>
                <w:spacing w:val="-87"/>
                <w:sz w:val="21"/>
                <w:szCs w:val="21"/>
                <w:highlight w:val="none"/>
                <w:u w:val="none" w:color="auto"/>
              </w:rPr>
              <w:t>）</w:t>
            </w:r>
            <w:r>
              <w:rPr>
                <w:rFonts w:hint="default" w:ascii="Times New Roman" w:hAnsi="Times New Roman" w:cs="Times New Roman"/>
                <w:color w:val="auto"/>
                <w:spacing w:val="8"/>
                <w:sz w:val="21"/>
                <w:szCs w:val="21"/>
                <w:highlight w:val="none"/>
                <w:u w:val="none" w:color="auto"/>
              </w:rPr>
              <w:t>以</w:t>
            </w:r>
            <w:r>
              <w:rPr>
                <w:rFonts w:hint="default" w:ascii="Times New Roman" w:hAnsi="Times New Roman" w:cs="Times New Roman"/>
                <w:color w:val="auto"/>
                <w:sz w:val="21"/>
                <w:szCs w:val="21"/>
                <w:highlight w:val="none"/>
                <w:u w:val="none" w:color="auto"/>
              </w:rPr>
              <w:t>及</w:t>
            </w:r>
            <w:r>
              <w:rPr>
                <w:rFonts w:hint="default" w:ascii="Times New Roman" w:hAnsi="Times New Roman" w:cs="Times New Roman"/>
                <w:color w:val="auto"/>
                <w:spacing w:val="3"/>
                <w:sz w:val="21"/>
                <w:szCs w:val="21"/>
                <w:highlight w:val="none"/>
                <w:u w:val="none" w:color="auto"/>
              </w:rPr>
              <w:t>R</w:t>
            </w:r>
            <w:r>
              <w:rPr>
                <w:rFonts w:hint="default" w:ascii="Times New Roman" w:hAnsi="Times New Roman" w:cs="Times New Roman"/>
                <w:color w:val="auto"/>
                <w:spacing w:val="5"/>
                <w:sz w:val="21"/>
                <w:szCs w:val="21"/>
                <w:highlight w:val="none"/>
                <w:u w:val="none" w:color="auto"/>
              </w:rPr>
              <w:t>e</w:t>
            </w:r>
            <w:r>
              <w:rPr>
                <w:rFonts w:hint="default" w:ascii="Times New Roman" w:hAnsi="Times New Roman" w:cs="Times New Roman"/>
                <w:color w:val="auto"/>
                <w:spacing w:val="3"/>
                <w:sz w:val="21"/>
                <w:szCs w:val="21"/>
                <w:highlight w:val="none"/>
                <w:u w:val="none" w:color="auto"/>
              </w:rPr>
              <w:t>fe</w:t>
            </w:r>
            <w:r>
              <w:rPr>
                <w:rFonts w:hint="default" w:ascii="Times New Roman" w:hAnsi="Times New Roman" w:cs="Times New Roman"/>
                <w:color w:val="auto"/>
                <w:spacing w:val="4"/>
                <w:sz w:val="21"/>
                <w:szCs w:val="21"/>
                <w:highlight w:val="none"/>
                <w:u w:val="none" w:color="auto"/>
              </w:rPr>
              <w:t>re</w:t>
            </w:r>
            <w:r>
              <w:rPr>
                <w:rFonts w:hint="default" w:ascii="Times New Roman" w:hAnsi="Times New Roman" w:cs="Times New Roman"/>
                <w:color w:val="auto"/>
                <w:spacing w:val="3"/>
                <w:sz w:val="21"/>
                <w:szCs w:val="21"/>
                <w:highlight w:val="none"/>
                <w:u w:val="none" w:color="auto"/>
              </w:rPr>
              <w:t>nc</w:t>
            </w:r>
            <w:r>
              <w:rPr>
                <w:rFonts w:hint="default" w:ascii="Times New Roman" w:hAnsi="Times New Roman" w:cs="Times New Roman"/>
                <w:color w:val="auto"/>
                <w:sz w:val="21"/>
                <w:szCs w:val="21"/>
                <w:highlight w:val="none"/>
                <w:u w:val="none" w:color="auto"/>
              </w:rPr>
              <w:t>e</w:t>
            </w:r>
            <w:r>
              <w:rPr>
                <w:rFonts w:hint="default" w:ascii="Times New Roman" w:hAnsi="Times New Roman" w:cs="Times New Roman"/>
                <w:color w:val="auto"/>
                <w:spacing w:val="3"/>
                <w:sz w:val="21"/>
                <w:szCs w:val="21"/>
                <w:highlight w:val="none"/>
                <w:u w:val="none" w:color="auto"/>
              </w:rPr>
              <w:t>Manua</w:t>
            </w:r>
            <w:r>
              <w:rPr>
                <w:rFonts w:hint="default" w:ascii="Times New Roman" w:hAnsi="Times New Roman" w:cs="Times New Roman"/>
                <w:color w:val="auto"/>
                <w:sz w:val="21"/>
                <w:szCs w:val="21"/>
                <w:highlight w:val="none"/>
                <w:u w:val="none" w:color="auto"/>
              </w:rPr>
              <w:t>l</w:t>
            </w:r>
            <w:r>
              <w:rPr>
                <w:rFonts w:hint="default" w:ascii="Times New Roman" w:hAnsi="Times New Roman" w:cs="Times New Roman"/>
                <w:color w:val="auto"/>
                <w:spacing w:val="3"/>
                <w:sz w:val="21"/>
                <w:szCs w:val="21"/>
                <w:highlight w:val="none"/>
                <w:u w:val="none" w:color="auto"/>
              </w:rPr>
              <w:t>B</w:t>
            </w:r>
            <w:r>
              <w:rPr>
                <w:rFonts w:hint="default" w:ascii="Times New Roman" w:hAnsi="Times New Roman" w:cs="Times New Roman"/>
                <w:color w:val="auto"/>
                <w:spacing w:val="5"/>
                <w:sz w:val="21"/>
                <w:szCs w:val="21"/>
                <w:highlight w:val="none"/>
                <w:u w:val="none" w:color="auto"/>
              </w:rPr>
              <w:t>e</w:t>
            </w:r>
            <w:r>
              <w:rPr>
                <w:rFonts w:hint="default" w:ascii="Times New Roman" w:hAnsi="Times New Roman" w:cs="Times New Roman"/>
                <w:color w:val="auto"/>
                <w:spacing w:val="3"/>
                <w:sz w:val="21"/>
                <w:szCs w:val="21"/>
                <w:highlight w:val="none"/>
                <w:u w:val="none" w:color="auto"/>
              </w:rPr>
              <w:t>v</w:t>
            </w:r>
            <w:r>
              <w:rPr>
                <w:rFonts w:hint="default" w:ascii="Times New Roman" w:hAnsi="Times New Roman" w:cs="Times New Roman"/>
                <w:color w:val="auto"/>
                <w:sz w:val="21"/>
                <w:szCs w:val="21"/>
                <w:highlight w:val="none"/>
                <w:u w:val="none" w:color="auto"/>
              </w:rPr>
              <w:t>i</w:t>
            </w:r>
            <w:r>
              <w:rPr>
                <w:rFonts w:hint="default" w:ascii="Times New Roman" w:hAnsi="Times New Roman" w:cs="Times New Roman"/>
                <w:color w:val="auto"/>
                <w:spacing w:val="3"/>
                <w:sz w:val="21"/>
                <w:szCs w:val="21"/>
                <w:highlight w:val="none"/>
                <w:u w:val="none" w:color="auto"/>
              </w:rPr>
              <w:t>Ris</w:t>
            </w:r>
            <w:r>
              <w:rPr>
                <w:rFonts w:hint="default" w:ascii="Times New Roman" w:hAnsi="Times New Roman" w:cs="Times New Roman"/>
                <w:color w:val="auto"/>
                <w:sz w:val="21"/>
                <w:szCs w:val="21"/>
                <w:highlight w:val="none"/>
                <w:u w:val="none" w:color="auto"/>
              </w:rPr>
              <w:t>k</w:t>
            </w:r>
            <w:r>
              <w:rPr>
                <w:rFonts w:hint="default" w:ascii="Times New Roman" w:hAnsi="Times New Roman" w:cs="Times New Roman"/>
                <w:color w:val="auto"/>
                <w:spacing w:val="3"/>
                <w:sz w:val="21"/>
                <w:szCs w:val="21"/>
                <w:highlight w:val="none"/>
                <w:u w:val="none" w:color="auto"/>
              </w:rPr>
              <w:t>Ass</w:t>
            </w:r>
            <w:r>
              <w:rPr>
                <w:rFonts w:hint="default" w:ascii="Times New Roman" w:hAnsi="Times New Roman" w:cs="Times New Roman"/>
                <w:color w:val="auto"/>
                <w:spacing w:val="5"/>
                <w:sz w:val="21"/>
                <w:szCs w:val="21"/>
                <w:highlight w:val="none"/>
                <w:u w:val="none" w:color="auto"/>
              </w:rPr>
              <w:t>e</w:t>
            </w:r>
            <w:r>
              <w:rPr>
                <w:rFonts w:hint="default" w:ascii="Times New Roman" w:hAnsi="Times New Roman" w:cs="Times New Roman"/>
                <w:color w:val="auto"/>
                <w:spacing w:val="3"/>
                <w:sz w:val="21"/>
                <w:szCs w:val="21"/>
                <w:highlight w:val="none"/>
                <w:u w:val="none" w:color="auto"/>
              </w:rPr>
              <w:t>ssmen</w:t>
            </w:r>
            <w:r>
              <w:rPr>
                <w:rFonts w:hint="default" w:ascii="Times New Roman" w:hAnsi="Times New Roman" w:cs="Times New Roman"/>
                <w:color w:val="auto"/>
                <w:spacing w:val="5"/>
                <w:sz w:val="21"/>
                <w:szCs w:val="21"/>
                <w:highlight w:val="none"/>
                <w:u w:val="none" w:color="auto"/>
              </w:rPr>
              <w:t>t</w:t>
            </w:r>
            <w:r>
              <w:rPr>
                <w:rFonts w:hint="default" w:ascii="Times New Roman" w:hAnsi="Times New Roman" w:cs="Times New Roman"/>
                <w:color w:val="auto"/>
                <w:spacing w:val="2"/>
                <w:sz w:val="21"/>
                <w:szCs w:val="21"/>
                <w:highlight w:val="none"/>
                <w:u w:val="none" w:color="auto"/>
              </w:rPr>
              <w:t>s</w:t>
            </w:r>
            <w:r>
              <w:rPr>
                <w:rFonts w:hint="default" w:ascii="Times New Roman" w:hAnsi="Times New Roman" w:cs="Times New Roman"/>
                <w:color w:val="auto"/>
                <w:sz w:val="21"/>
                <w:szCs w:val="21"/>
                <w:highlight w:val="none"/>
                <w:u w:val="none" w:color="auto"/>
              </w:rPr>
              <w:t>；</w:t>
            </w:r>
          </w:p>
          <w:p w14:paraId="4E260CA9">
            <w:pPr>
              <w:pStyle w:val="65"/>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4"/>
                <w:sz w:val="21"/>
                <w:szCs w:val="21"/>
                <w:highlight w:val="none"/>
                <w:u w:val="none" w:color="auto"/>
              </w:rPr>
              <w:t>*来源于国际油气协会（International</w:t>
            </w:r>
            <w:r>
              <w:rPr>
                <w:rFonts w:hint="default" w:ascii="Times New Roman" w:hAnsi="Times New Roman" w:cs="Times New Roman"/>
                <w:color w:val="auto"/>
                <w:spacing w:val="2"/>
                <w:sz w:val="21"/>
                <w:szCs w:val="21"/>
                <w:highlight w:val="none"/>
                <w:u w:val="none" w:color="auto"/>
              </w:rPr>
              <w:t>Association</w:t>
            </w:r>
            <w:r>
              <w:rPr>
                <w:rFonts w:hint="default" w:ascii="Times New Roman" w:hAnsi="Times New Roman" w:cs="Times New Roman"/>
                <w:color w:val="auto"/>
                <w:spacing w:val="1"/>
                <w:sz w:val="21"/>
                <w:szCs w:val="21"/>
                <w:highlight w:val="none"/>
                <w:u w:val="none" w:color="auto"/>
              </w:rPr>
              <w:t>of</w:t>
            </w:r>
            <w:r>
              <w:rPr>
                <w:rFonts w:hint="default" w:ascii="Times New Roman" w:hAnsi="Times New Roman" w:cs="Times New Roman"/>
                <w:color w:val="auto"/>
                <w:spacing w:val="2"/>
                <w:sz w:val="21"/>
                <w:szCs w:val="21"/>
                <w:highlight w:val="none"/>
                <w:u w:val="none" w:color="auto"/>
              </w:rPr>
              <w:t>Oil&amp;Gas</w:t>
            </w:r>
            <w:r>
              <w:rPr>
                <w:rFonts w:hint="default" w:ascii="Times New Roman" w:hAnsi="Times New Roman" w:cs="Times New Roman"/>
                <w:color w:val="auto"/>
                <w:spacing w:val="4"/>
                <w:sz w:val="21"/>
                <w:szCs w:val="21"/>
                <w:highlight w:val="none"/>
                <w:u w:val="none" w:color="auto"/>
              </w:rPr>
              <w:t>Producers）发布的</w:t>
            </w:r>
            <w:r>
              <w:rPr>
                <w:rFonts w:hint="default" w:ascii="Times New Roman" w:hAnsi="Times New Roman" w:cs="Times New Roman"/>
                <w:color w:val="auto"/>
                <w:spacing w:val="3"/>
                <w:sz w:val="21"/>
                <w:szCs w:val="21"/>
                <w:highlight w:val="none"/>
                <w:u w:val="none" w:color="auto"/>
              </w:rPr>
              <w:t>RiskAssessment</w:t>
            </w:r>
            <w:r>
              <w:rPr>
                <w:rFonts w:hint="default" w:ascii="Times New Roman" w:hAnsi="Times New Roman" w:cs="Times New Roman"/>
                <w:color w:val="auto"/>
                <w:spacing w:val="2"/>
                <w:sz w:val="21"/>
                <w:szCs w:val="21"/>
                <w:highlight w:val="none"/>
                <w:u w:val="none" w:color="auto"/>
              </w:rPr>
              <w:t>Data</w:t>
            </w:r>
            <w:r>
              <w:rPr>
                <w:rFonts w:hint="default" w:ascii="Times New Roman" w:hAnsi="Times New Roman" w:cs="Times New Roman"/>
                <w:color w:val="auto"/>
                <w:spacing w:val="3"/>
                <w:sz w:val="21"/>
                <w:szCs w:val="21"/>
                <w:highlight w:val="none"/>
                <w:u w:val="none" w:color="auto"/>
              </w:rPr>
              <w:t>Directory</w:t>
            </w:r>
            <w:r>
              <w:rPr>
                <w:rFonts w:hint="default" w:ascii="Times New Roman" w:hAnsi="Times New Roman" w:cs="Times New Roman"/>
                <w:color w:val="auto"/>
                <w:spacing w:val="2"/>
                <w:sz w:val="21"/>
                <w:szCs w:val="21"/>
                <w:highlight w:val="none"/>
                <w:u w:val="none" w:color="auto"/>
              </w:rPr>
              <w:t>(2010,3)。</w:t>
            </w:r>
          </w:p>
        </w:tc>
      </w:tr>
    </w:tbl>
    <w:p w14:paraId="4E0819CC">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②人员操作失误率的概率</w:t>
      </w:r>
    </w:p>
    <w:p w14:paraId="7883F442">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根据国内外对化工、石油等行业操作失误率的统计，结合本项目工程特性，并考虑技术进步、管理水平提高因素，提出的人员操作失误率详见下表。</w:t>
      </w:r>
    </w:p>
    <w:p w14:paraId="548C3894">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8</w:t>
      </w:r>
      <w:r>
        <w:rPr>
          <w:rFonts w:hint="default" w:ascii="Times New Roman" w:hAnsi="Times New Roman" w:eastAsia="宋体" w:cs="Times New Roman"/>
          <w:b/>
          <w:color w:val="auto"/>
          <w:sz w:val="21"/>
          <w:szCs w:val="18"/>
          <w:highlight w:val="none"/>
          <w:u w:val="none" w:color="auto"/>
        </w:rPr>
        <w:t>.3-2人员操作失误率统计表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6"/>
        <w:gridCol w:w="4876"/>
        <w:gridCol w:w="1485"/>
        <w:gridCol w:w="1275"/>
      </w:tblGrid>
      <w:tr w14:paraId="73594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0" w:type="pct"/>
            <w:vMerge w:val="restart"/>
            <w:vAlign w:val="center"/>
          </w:tcPr>
          <w:p w14:paraId="6768140F">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序号</w:t>
            </w:r>
          </w:p>
        </w:tc>
        <w:tc>
          <w:tcPr>
            <w:tcW w:w="2861" w:type="pct"/>
            <w:vMerge w:val="restart"/>
            <w:vAlign w:val="center"/>
          </w:tcPr>
          <w:p w14:paraId="0D97A23F">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操作动作</w:t>
            </w:r>
          </w:p>
        </w:tc>
        <w:tc>
          <w:tcPr>
            <w:tcW w:w="1619" w:type="pct"/>
            <w:gridSpan w:val="2"/>
            <w:vAlign w:val="center"/>
          </w:tcPr>
          <w:p w14:paraId="0A874EFF">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失误率</w:t>
            </w:r>
          </w:p>
        </w:tc>
      </w:tr>
      <w:tr w14:paraId="63EE29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0" w:type="pct"/>
            <w:vMerge w:val="continue"/>
            <w:vAlign w:val="center"/>
          </w:tcPr>
          <w:p w14:paraId="5B2C8FB6">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2861" w:type="pct"/>
            <w:vMerge w:val="continue"/>
            <w:vAlign w:val="center"/>
          </w:tcPr>
          <w:p w14:paraId="20B06B20">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871" w:type="pct"/>
            <w:vAlign w:val="center"/>
          </w:tcPr>
          <w:p w14:paraId="01201B45">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λmin</w:t>
            </w:r>
          </w:p>
        </w:tc>
        <w:tc>
          <w:tcPr>
            <w:tcW w:w="748" w:type="pct"/>
            <w:vAlign w:val="center"/>
          </w:tcPr>
          <w:p w14:paraId="6B79E4B2">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λmax</w:t>
            </w:r>
          </w:p>
        </w:tc>
      </w:tr>
      <w:tr w14:paraId="02251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0" w:type="pct"/>
            <w:vAlign w:val="center"/>
          </w:tcPr>
          <w:p w14:paraId="456DAE26">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w:t>
            </w:r>
          </w:p>
        </w:tc>
        <w:tc>
          <w:tcPr>
            <w:tcW w:w="2861" w:type="pct"/>
            <w:vAlign w:val="center"/>
          </w:tcPr>
          <w:p w14:paraId="565445F0">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一般操作失误，如选错开关</w:t>
            </w:r>
          </w:p>
        </w:tc>
        <w:tc>
          <w:tcPr>
            <w:tcW w:w="871" w:type="pct"/>
            <w:vAlign w:val="center"/>
          </w:tcPr>
          <w:p w14:paraId="345A3F04">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5.0×10</w:t>
            </w:r>
            <w:r>
              <w:rPr>
                <w:rFonts w:hint="default" w:ascii="Times New Roman" w:hAnsi="Times New Roman" w:eastAsia="宋体" w:cs="Times New Roman"/>
                <w:color w:val="auto"/>
                <w:kern w:val="0"/>
                <w:sz w:val="21"/>
                <w:szCs w:val="21"/>
                <w:highlight w:val="none"/>
                <w:u w:val="none" w:color="auto"/>
                <w:vertAlign w:val="superscript"/>
              </w:rPr>
              <w:t>-6</w:t>
            </w:r>
          </w:p>
        </w:tc>
        <w:tc>
          <w:tcPr>
            <w:tcW w:w="748" w:type="pct"/>
            <w:vAlign w:val="center"/>
          </w:tcPr>
          <w:p w14:paraId="55E2E66B">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5.0×10</w:t>
            </w:r>
            <w:r>
              <w:rPr>
                <w:rFonts w:hint="default" w:ascii="Times New Roman" w:hAnsi="Times New Roman" w:eastAsia="宋体" w:cs="Times New Roman"/>
                <w:color w:val="auto"/>
                <w:kern w:val="0"/>
                <w:sz w:val="21"/>
                <w:szCs w:val="21"/>
                <w:highlight w:val="none"/>
                <w:u w:val="none" w:color="auto"/>
                <w:vertAlign w:val="superscript"/>
              </w:rPr>
              <w:t>-5</w:t>
            </w:r>
          </w:p>
        </w:tc>
      </w:tr>
      <w:tr w14:paraId="6CEC8F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0" w:type="pct"/>
            <w:vAlign w:val="center"/>
          </w:tcPr>
          <w:p w14:paraId="18DEDC58">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2861" w:type="pct"/>
            <w:vAlign w:val="center"/>
          </w:tcPr>
          <w:p w14:paraId="3CCB2AF9">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一般疏忽失误，如维修后未还原正确状态</w:t>
            </w:r>
          </w:p>
        </w:tc>
        <w:tc>
          <w:tcPr>
            <w:tcW w:w="871" w:type="pct"/>
            <w:vAlign w:val="center"/>
          </w:tcPr>
          <w:p w14:paraId="5694B5AF">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1.0×10</w:t>
            </w:r>
            <w:r>
              <w:rPr>
                <w:rFonts w:hint="default" w:ascii="Times New Roman" w:hAnsi="Times New Roman" w:eastAsia="宋体" w:cs="Times New Roman"/>
                <w:color w:val="auto"/>
                <w:kern w:val="0"/>
                <w:sz w:val="21"/>
                <w:szCs w:val="21"/>
                <w:highlight w:val="none"/>
                <w:u w:val="none" w:color="auto"/>
                <w:vertAlign w:val="superscript"/>
              </w:rPr>
              <w:t>-6</w:t>
            </w:r>
          </w:p>
        </w:tc>
        <w:tc>
          <w:tcPr>
            <w:tcW w:w="748" w:type="pct"/>
            <w:vAlign w:val="center"/>
          </w:tcPr>
          <w:p w14:paraId="3DA58F5C">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1.0×10</w:t>
            </w:r>
            <w:r>
              <w:rPr>
                <w:rFonts w:hint="default" w:ascii="Times New Roman" w:hAnsi="Times New Roman" w:eastAsia="宋体" w:cs="Times New Roman"/>
                <w:color w:val="auto"/>
                <w:kern w:val="0"/>
                <w:sz w:val="21"/>
                <w:szCs w:val="21"/>
                <w:highlight w:val="none"/>
                <w:u w:val="none" w:color="auto"/>
                <w:vertAlign w:val="superscript"/>
              </w:rPr>
              <w:t>-4</w:t>
            </w:r>
          </w:p>
        </w:tc>
      </w:tr>
      <w:tr w14:paraId="46BDD3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0" w:type="pct"/>
            <w:vAlign w:val="center"/>
          </w:tcPr>
          <w:p w14:paraId="7B5140A0">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2861" w:type="pct"/>
            <w:vAlign w:val="center"/>
          </w:tcPr>
          <w:p w14:paraId="2B58F841">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按错电气开关，而未注意指示灯处于所需状态</w:t>
            </w:r>
          </w:p>
        </w:tc>
        <w:tc>
          <w:tcPr>
            <w:tcW w:w="871" w:type="pct"/>
            <w:vAlign w:val="center"/>
          </w:tcPr>
          <w:p w14:paraId="366A8922">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9.5×10</w:t>
            </w:r>
            <w:r>
              <w:rPr>
                <w:rFonts w:hint="default" w:ascii="Times New Roman" w:hAnsi="Times New Roman" w:eastAsia="宋体" w:cs="Times New Roman"/>
                <w:color w:val="auto"/>
                <w:kern w:val="0"/>
                <w:sz w:val="21"/>
                <w:szCs w:val="21"/>
                <w:highlight w:val="none"/>
                <w:u w:val="none" w:color="auto"/>
                <w:vertAlign w:val="superscript"/>
              </w:rPr>
              <w:t>-6</w:t>
            </w:r>
          </w:p>
        </w:tc>
        <w:tc>
          <w:tcPr>
            <w:tcW w:w="748" w:type="pct"/>
            <w:vAlign w:val="center"/>
          </w:tcPr>
          <w:p w14:paraId="04B3DC91">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9.0×10</w:t>
            </w:r>
            <w:r>
              <w:rPr>
                <w:rFonts w:hint="default" w:ascii="Times New Roman" w:hAnsi="Times New Roman" w:eastAsia="宋体" w:cs="Times New Roman"/>
                <w:color w:val="auto"/>
                <w:kern w:val="0"/>
                <w:sz w:val="21"/>
                <w:szCs w:val="21"/>
                <w:highlight w:val="none"/>
                <w:u w:val="none" w:color="auto"/>
                <w:vertAlign w:val="superscript"/>
              </w:rPr>
              <w:t>-5</w:t>
            </w:r>
          </w:p>
        </w:tc>
      </w:tr>
      <w:tr w14:paraId="0B531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0" w:type="pct"/>
            <w:vAlign w:val="center"/>
          </w:tcPr>
          <w:p w14:paraId="688940B9">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2861" w:type="pct"/>
            <w:vAlign w:val="center"/>
          </w:tcPr>
          <w:p w14:paraId="31BE3BC9">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交接班对设备检查失误（除检查表要求之外）</w:t>
            </w:r>
          </w:p>
        </w:tc>
        <w:tc>
          <w:tcPr>
            <w:tcW w:w="871" w:type="pct"/>
            <w:vAlign w:val="center"/>
          </w:tcPr>
          <w:p w14:paraId="6E434344">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5.5×10</w:t>
            </w:r>
            <w:r>
              <w:rPr>
                <w:rFonts w:hint="default" w:ascii="Times New Roman" w:hAnsi="Times New Roman" w:eastAsia="宋体" w:cs="Times New Roman"/>
                <w:color w:val="auto"/>
                <w:kern w:val="0"/>
                <w:sz w:val="21"/>
                <w:szCs w:val="21"/>
                <w:highlight w:val="none"/>
                <w:u w:val="none" w:color="auto"/>
                <w:vertAlign w:val="superscript"/>
              </w:rPr>
              <w:t>-7</w:t>
            </w:r>
          </w:p>
        </w:tc>
        <w:tc>
          <w:tcPr>
            <w:tcW w:w="748" w:type="pct"/>
            <w:vAlign w:val="center"/>
          </w:tcPr>
          <w:p w14:paraId="3B17F3F7">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1.0×10</w:t>
            </w:r>
            <w:r>
              <w:rPr>
                <w:rFonts w:hint="default" w:ascii="Times New Roman" w:hAnsi="Times New Roman" w:eastAsia="宋体" w:cs="Times New Roman"/>
                <w:color w:val="auto"/>
                <w:kern w:val="0"/>
                <w:sz w:val="21"/>
                <w:szCs w:val="21"/>
                <w:highlight w:val="none"/>
                <w:u w:val="none" w:color="auto"/>
                <w:vertAlign w:val="superscript"/>
              </w:rPr>
              <w:t>-5</w:t>
            </w:r>
          </w:p>
        </w:tc>
      </w:tr>
      <w:tr w14:paraId="31CE2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20" w:type="pct"/>
            <w:vAlign w:val="center"/>
          </w:tcPr>
          <w:p w14:paraId="2476D9BC">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2861" w:type="pct"/>
            <w:vAlign w:val="center"/>
          </w:tcPr>
          <w:p w14:paraId="7348D2C4">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班长或检查员未能判明操作人员的最初失误</w:t>
            </w:r>
          </w:p>
        </w:tc>
        <w:tc>
          <w:tcPr>
            <w:tcW w:w="871" w:type="pct"/>
            <w:vAlign w:val="center"/>
          </w:tcPr>
          <w:p w14:paraId="2FA93AF4">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5.5×10</w:t>
            </w:r>
            <w:r>
              <w:rPr>
                <w:rFonts w:hint="default" w:ascii="Times New Roman" w:hAnsi="Times New Roman" w:eastAsia="宋体" w:cs="Times New Roman"/>
                <w:color w:val="auto"/>
                <w:kern w:val="0"/>
                <w:sz w:val="21"/>
                <w:szCs w:val="21"/>
                <w:highlight w:val="none"/>
                <w:u w:val="none" w:color="auto"/>
                <w:vertAlign w:val="superscript"/>
              </w:rPr>
              <w:t>-6</w:t>
            </w:r>
          </w:p>
        </w:tc>
        <w:tc>
          <w:tcPr>
            <w:tcW w:w="748" w:type="pct"/>
            <w:vAlign w:val="center"/>
          </w:tcPr>
          <w:p w14:paraId="4BCCBE1F">
            <w:pPr>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5.0×10</w:t>
            </w:r>
            <w:r>
              <w:rPr>
                <w:rFonts w:hint="default" w:ascii="Times New Roman" w:hAnsi="Times New Roman" w:eastAsia="宋体" w:cs="Times New Roman"/>
                <w:color w:val="auto"/>
                <w:kern w:val="0"/>
                <w:sz w:val="21"/>
                <w:szCs w:val="21"/>
                <w:highlight w:val="none"/>
                <w:u w:val="none" w:color="auto"/>
                <w:vertAlign w:val="superscript"/>
              </w:rPr>
              <w:t>-5</w:t>
            </w:r>
          </w:p>
        </w:tc>
      </w:tr>
    </w:tbl>
    <w:p w14:paraId="2FDD0B1B">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（2）最大可信事故</w:t>
      </w:r>
    </w:p>
    <w:p w14:paraId="42875423">
      <w:pPr>
        <w:ind w:firstLine="480" w:firstLineChars="200"/>
        <w:rPr>
          <w:rFonts w:hint="default" w:ascii="Times New Roman" w:hAnsi="Times New Roman" w:cs="Times New Roman"/>
          <w:bCs/>
          <w:color w:val="auto"/>
        </w:rPr>
      </w:pPr>
      <w:r>
        <w:rPr>
          <w:rFonts w:hint="default" w:ascii="Times New Roman" w:hAnsi="Times New Roman" w:eastAsia="宋体" w:cs="Times New Roman"/>
          <w:color w:val="auto"/>
          <w:sz w:val="24"/>
          <w:szCs w:val="24"/>
          <w:highlight w:val="none"/>
          <w:u w:val="none" w:color="auto"/>
        </w:rPr>
        <w:t>根据物质的风险性识别，本项目导致环境风险的危险物质主要为镍及其化合物、盐酸、硫酸、硝酸等，其危险特性主要为毒性。当物料发生火灾爆炸而导致物料泄漏后</w:t>
      </w:r>
      <w:r>
        <w:rPr>
          <w:rFonts w:hint="default" w:ascii="Times New Roman" w:hAnsi="Times New Roman" w:eastAsia="宋体" w:cs="Times New Roman"/>
          <w:color w:val="auto"/>
          <w:sz w:val="24"/>
          <w:szCs w:val="24"/>
          <w:highlight w:val="none"/>
          <w:u w:val="single" w:color="auto"/>
        </w:rPr>
        <w:t>，</w:t>
      </w:r>
      <w:r>
        <w:rPr>
          <w:rFonts w:hint="default" w:ascii="Times New Roman" w:hAnsi="Times New Roman" w:eastAsia="宋体" w:cs="Times New Roman"/>
          <w:color w:val="auto"/>
          <w:sz w:val="24"/>
          <w:szCs w:val="24"/>
          <w:highlight w:val="none"/>
          <w:u w:val="single" w:color="auto"/>
          <w:lang w:eastAsia="zh-CN"/>
        </w:rPr>
        <w:t>企业内设有</w:t>
      </w:r>
      <w:r>
        <w:rPr>
          <w:rFonts w:hint="default" w:ascii="Times New Roman" w:hAnsi="Times New Roman" w:eastAsia="宋体" w:cs="Times New Roman"/>
          <w:color w:val="auto"/>
          <w:sz w:val="24"/>
          <w:szCs w:val="24"/>
          <w:highlight w:val="none"/>
          <w:u w:val="single" w:color="auto"/>
          <w:lang w:val="en-US" w:eastAsia="zh-CN"/>
        </w:rPr>
        <w:t>290m</w:t>
      </w:r>
      <w:r>
        <w:rPr>
          <w:rFonts w:hint="default" w:ascii="Times New Roman" w:hAnsi="Times New Roman" w:eastAsia="宋体" w:cs="Times New Roman"/>
          <w:color w:val="auto"/>
          <w:sz w:val="24"/>
          <w:szCs w:val="24"/>
          <w:highlight w:val="none"/>
          <w:u w:val="single" w:color="auto"/>
          <w:vertAlign w:val="superscript"/>
          <w:lang w:val="en-US" w:eastAsia="zh-CN"/>
        </w:rPr>
        <w:t>3</w:t>
      </w:r>
      <w:r>
        <w:rPr>
          <w:rFonts w:hint="default" w:ascii="Times New Roman" w:hAnsi="Times New Roman" w:eastAsia="宋体" w:cs="Times New Roman"/>
          <w:color w:val="auto"/>
          <w:sz w:val="24"/>
          <w:szCs w:val="24"/>
          <w:highlight w:val="none"/>
          <w:u w:val="single" w:color="auto"/>
          <w:lang w:val="en-US" w:eastAsia="zh-CN"/>
        </w:rPr>
        <w:t>的初期雨水池及600m</w:t>
      </w:r>
      <w:r>
        <w:rPr>
          <w:rFonts w:hint="default" w:ascii="Times New Roman" w:hAnsi="Times New Roman" w:eastAsia="宋体" w:cs="Times New Roman"/>
          <w:color w:val="auto"/>
          <w:sz w:val="24"/>
          <w:szCs w:val="24"/>
          <w:highlight w:val="none"/>
          <w:u w:val="single" w:color="auto"/>
          <w:vertAlign w:val="superscript"/>
          <w:lang w:val="en-US" w:eastAsia="zh-CN"/>
        </w:rPr>
        <w:t>3</w:t>
      </w:r>
      <w:r>
        <w:rPr>
          <w:rFonts w:hint="default" w:ascii="Times New Roman" w:hAnsi="Times New Roman" w:eastAsia="宋体" w:cs="Times New Roman"/>
          <w:color w:val="auto"/>
          <w:sz w:val="24"/>
          <w:szCs w:val="24"/>
          <w:highlight w:val="none"/>
          <w:u w:val="single" w:color="auto"/>
          <w:lang w:val="en-US" w:eastAsia="zh-CN"/>
        </w:rPr>
        <w:t>的事故应急池可有效收集消防废水，对周边影响较小</w:t>
      </w:r>
      <w:r>
        <w:rPr>
          <w:rFonts w:hint="default" w:ascii="Times New Roman" w:hAnsi="Times New Roman" w:eastAsia="宋体" w:cs="Times New Roman"/>
          <w:color w:val="auto"/>
          <w:sz w:val="24"/>
          <w:szCs w:val="24"/>
          <w:highlight w:val="none"/>
          <w:u w:val="single" w:color="auto"/>
        </w:rPr>
        <w:t>。本次评价将</w:t>
      </w:r>
      <w:r>
        <w:rPr>
          <w:rFonts w:hint="default" w:ascii="Times New Roman" w:hAnsi="Times New Roman" w:eastAsia="宋体" w:cs="Times New Roman"/>
          <w:color w:val="auto"/>
          <w:sz w:val="24"/>
          <w:szCs w:val="24"/>
          <w:highlight w:val="none"/>
          <w:u w:val="single" w:color="auto"/>
          <w:lang w:eastAsia="zh-CN"/>
        </w:rPr>
        <w:t>火灾泄露</w:t>
      </w:r>
      <w:r>
        <w:rPr>
          <w:rFonts w:hint="default" w:ascii="Times New Roman" w:hAnsi="Times New Roman" w:eastAsia="宋体" w:cs="Times New Roman"/>
          <w:color w:val="auto"/>
          <w:sz w:val="24"/>
          <w:szCs w:val="24"/>
          <w:highlight w:val="none"/>
          <w:u w:val="single" w:color="auto"/>
        </w:rPr>
        <w:t>作为最大可信事故。</w:t>
      </w:r>
    </w:p>
    <w:p w14:paraId="6A53AE8F">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（3）概率分析</w:t>
      </w:r>
    </w:p>
    <w:p w14:paraId="79BB1791">
      <w:pPr>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根据调查，同类生产装置极少发生过泄漏、火灾事故。但从风险评价的角度出发，结合同类型项目事故风险特点，确定本项目的风险值最大为1×10</w:t>
      </w:r>
      <w:r>
        <w:rPr>
          <w:rFonts w:hint="default" w:ascii="Times New Roman" w:hAnsi="Times New Roman" w:eastAsia="宋体" w:cs="Times New Roman"/>
          <w:color w:val="auto"/>
          <w:sz w:val="24"/>
          <w:szCs w:val="24"/>
          <w:highlight w:val="none"/>
          <w:u w:val="none" w:color="auto"/>
          <w:vertAlign w:val="superscript"/>
        </w:rPr>
        <w:t>－5</w:t>
      </w:r>
      <w:r>
        <w:rPr>
          <w:rFonts w:hint="default" w:ascii="Times New Roman" w:hAnsi="Times New Roman" w:eastAsia="宋体" w:cs="Times New Roman"/>
          <w:color w:val="auto"/>
          <w:sz w:val="24"/>
          <w:szCs w:val="24"/>
          <w:highlight w:val="none"/>
          <w:u w:val="none" w:color="auto"/>
        </w:rPr>
        <w:t>/年，风险水平是可以接受的。</w:t>
      </w:r>
    </w:p>
    <w:p w14:paraId="13A63035">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88" w:name="_Toc12306"/>
      <w:bookmarkStart w:id="89" w:name="_Toc54079927"/>
      <w:r>
        <w:rPr>
          <w:rFonts w:hint="default" w:ascii="Times New Roman" w:hAnsi="Times New Roman" w:eastAsia="宋体" w:cs="Times New Roman"/>
          <w:color w:val="auto"/>
          <w:sz w:val="28"/>
          <w:szCs w:val="28"/>
          <w:highlight w:val="none"/>
          <w:u w:val="none" w:color="auto"/>
          <w:lang w:val="en-US" w:eastAsia="zh-CN"/>
        </w:rPr>
        <w:t>8.4风险影响分析</w:t>
      </w:r>
      <w:bookmarkEnd w:id="88"/>
      <w:bookmarkEnd w:id="89"/>
    </w:p>
    <w:p w14:paraId="72BD90B4">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8.4.1地表水环境风险影响分析</w:t>
      </w:r>
    </w:p>
    <w:p w14:paraId="6D164077">
      <w:pPr>
        <w:ind w:firstLine="48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当发生火灾爆炸而导致物料泄漏后</w:t>
      </w:r>
      <w:r>
        <w:rPr>
          <w:rFonts w:hint="default" w:ascii="Times New Roman" w:hAnsi="Times New Roman" w:eastAsia="宋体" w:cs="Times New Roman"/>
          <w:color w:val="auto"/>
          <w:sz w:val="24"/>
          <w:szCs w:val="24"/>
          <w:highlight w:val="none"/>
          <w:u w:val="none" w:color="auto"/>
          <w:lang w:eastAsia="zh-CN"/>
        </w:rPr>
        <w:t>，本项目拟在厂区内地势较低处设置1座</w:t>
      </w:r>
      <w:r>
        <w:rPr>
          <w:rFonts w:hint="default" w:ascii="Times New Roman" w:hAnsi="Times New Roman" w:eastAsia="宋体" w:cs="Times New Roman"/>
          <w:color w:val="auto"/>
          <w:sz w:val="24"/>
          <w:szCs w:val="24"/>
          <w:highlight w:val="none"/>
          <w:u w:val="none" w:color="auto"/>
          <w:lang w:val="en-US" w:eastAsia="zh-CN"/>
        </w:rPr>
        <w:t>600</w:t>
      </w:r>
      <w:r>
        <w:rPr>
          <w:rFonts w:hint="default" w:ascii="Times New Roman" w:hAnsi="Times New Roman" w:eastAsia="宋体" w:cs="Times New Roman"/>
          <w:color w:val="auto"/>
          <w:sz w:val="24"/>
          <w:szCs w:val="24"/>
          <w:highlight w:val="none"/>
          <w:u w:val="none" w:color="auto"/>
          <w:lang w:eastAsia="zh-CN"/>
        </w:rPr>
        <w:t>m</w:t>
      </w:r>
      <w:r>
        <w:rPr>
          <w:rFonts w:hint="default" w:ascii="Times New Roman" w:hAnsi="Times New Roman" w:eastAsia="宋体" w:cs="Times New Roman"/>
          <w:color w:val="auto"/>
          <w:sz w:val="24"/>
          <w:szCs w:val="24"/>
          <w:highlight w:val="none"/>
          <w:u w:val="none" w:color="auto"/>
          <w:vertAlign w:val="superscript"/>
          <w:lang w:eastAsia="zh-CN"/>
        </w:rPr>
        <w:t>3</w:t>
      </w:r>
      <w:r>
        <w:rPr>
          <w:rFonts w:hint="default" w:ascii="Times New Roman" w:hAnsi="Times New Roman" w:eastAsia="宋体" w:cs="Times New Roman"/>
          <w:color w:val="auto"/>
          <w:sz w:val="24"/>
          <w:szCs w:val="24"/>
          <w:highlight w:val="none"/>
          <w:u w:val="none" w:color="auto"/>
          <w:lang w:eastAsia="zh-CN"/>
        </w:rPr>
        <w:t>的应急事故池、1座</w:t>
      </w:r>
      <w:r>
        <w:rPr>
          <w:rFonts w:hint="default" w:ascii="Times New Roman" w:hAnsi="Times New Roman" w:eastAsia="宋体" w:cs="Times New Roman"/>
          <w:color w:val="auto"/>
          <w:sz w:val="24"/>
          <w:szCs w:val="24"/>
          <w:highlight w:val="none"/>
          <w:u w:val="none" w:color="auto"/>
          <w:lang w:val="en-US" w:eastAsia="zh-CN"/>
        </w:rPr>
        <w:t>290</w:t>
      </w:r>
      <w:r>
        <w:rPr>
          <w:rFonts w:hint="default" w:ascii="Times New Roman" w:hAnsi="Times New Roman" w:eastAsia="宋体" w:cs="Times New Roman"/>
          <w:color w:val="auto"/>
          <w:sz w:val="24"/>
          <w:szCs w:val="24"/>
          <w:highlight w:val="none"/>
          <w:u w:val="none" w:color="auto"/>
          <w:lang w:eastAsia="zh-CN"/>
        </w:rPr>
        <w:t>m</w:t>
      </w:r>
      <w:r>
        <w:rPr>
          <w:rFonts w:hint="default" w:ascii="Times New Roman" w:hAnsi="Times New Roman" w:eastAsia="宋体" w:cs="Times New Roman"/>
          <w:color w:val="auto"/>
          <w:sz w:val="24"/>
          <w:szCs w:val="24"/>
          <w:highlight w:val="none"/>
          <w:u w:val="none" w:color="auto"/>
          <w:vertAlign w:val="superscript"/>
          <w:lang w:eastAsia="zh-CN"/>
        </w:rPr>
        <w:t>3</w:t>
      </w:r>
      <w:r>
        <w:rPr>
          <w:rFonts w:hint="default" w:ascii="Times New Roman" w:hAnsi="Times New Roman" w:eastAsia="宋体" w:cs="Times New Roman"/>
          <w:color w:val="auto"/>
          <w:sz w:val="24"/>
          <w:szCs w:val="24"/>
          <w:highlight w:val="none"/>
          <w:u w:val="none" w:color="auto"/>
          <w:lang w:eastAsia="zh-CN"/>
        </w:rPr>
        <w:t>的初期雨水收集池，同时雨水排口设有紧急关闭阀，事故状态下雨水排口关闭，事故消防废水可由厂区应急事故池收集，</w:t>
      </w:r>
      <w:r>
        <w:rPr>
          <w:rFonts w:hint="default" w:ascii="Times New Roman" w:hAnsi="Times New Roman" w:eastAsia="宋体" w:cs="Times New Roman"/>
          <w:color w:val="auto"/>
          <w:sz w:val="24"/>
          <w:szCs w:val="24"/>
          <w:highlight w:val="none"/>
          <w:u w:val="none" w:color="auto"/>
          <w:lang w:val="en-GB" w:eastAsia="zh-CN"/>
        </w:rPr>
        <w:t>不会对周边地表水体造成影响。</w:t>
      </w:r>
    </w:p>
    <w:p w14:paraId="27DBE35B">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8.4.2地下水环境风险影响分析</w:t>
      </w:r>
    </w:p>
    <w:p w14:paraId="32C0179F">
      <w:pPr>
        <w:ind w:firstLine="48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根据前述地下水预测分析可知，非正常工况下，项目废水收集池发生渗漏时，会造成项目周边地下水下游部分区域超标，当发生废水收集调节池、收集管网等发生渗漏后，需尽快发现问题，并及时采取处置措施，否则会对地下水产生污染影响。</w:t>
      </w:r>
    </w:p>
    <w:p w14:paraId="59CF3C7A">
      <w:pPr>
        <w:ind w:firstLine="48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本评价建议项目废水的收集、处理尽可能做到可视可监控，可有效发现废水收集或处理区域废水渗漏的问题，此外，建设单位应积极采取有效的防渗措施，定期监控，及时发现事故泄漏并采取有效的应急措施，避免泄漏持续发生。</w:t>
      </w:r>
    </w:p>
    <w:p w14:paraId="46F75C66">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8.4.3大气环境风险影响分析</w:t>
      </w:r>
    </w:p>
    <w:p w14:paraId="37DA22E2">
      <w:pPr>
        <w:ind w:firstLine="480"/>
        <w:rPr>
          <w:rFonts w:hint="default"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1</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eastAsia="zh-CN"/>
        </w:rPr>
        <w:t>废气治理环保设施发生故障会对周边环境造成一定的影响，评价要求企业必须做好污染治理设施的日常维护与事故性排放的防护措施，尽量避免事故排放的发生，一旦发生事故时，应立即停止污染物的非正常排放，并及时维修并采取相应防护措施，将污染影响降低到最小。</w:t>
      </w:r>
    </w:p>
    <w:p w14:paraId="0BFA4F42">
      <w:pPr>
        <w:ind w:firstLine="480"/>
        <w:rPr>
          <w:rFonts w:hint="default"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GB" w:eastAsia="zh-CN"/>
        </w:rPr>
        <w:t>（</w:t>
      </w:r>
      <w:r>
        <w:rPr>
          <w:rFonts w:hint="eastAsia" w:ascii="Times New Roman" w:hAnsi="Times New Roman" w:eastAsia="宋体" w:cs="Times New Roman"/>
          <w:color w:val="auto"/>
          <w:sz w:val="24"/>
          <w:szCs w:val="24"/>
          <w:highlight w:val="none"/>
          <w:u w:val="single" w:color="auto"/>
          <w:lang w:val="en-US" w:eastAsia="zh-CN"/>
        </w:rPr>
        <w:t>2</w:t>
      </w:r>
      <w:r>
        <w:rPr>
          <w:rFonts w:hint="eastAsia" w:ascii="Times New Roman" w:hAnsi="Times New Roman" w:eastAsia="宋体" w:cs="Times New Roman"/>
          <w:color w:val="auto"/>
          <w:sz w:val="24"/>
          <w:szCs w:val="24"/>
          <w:highlight w:val="none"/>
          <w:u w:val="single" w:color="auto"/>
          <w:lang w:val="en-GB" w:eastAsia="zh-CN"/>
        </w:rPr>
        <w:t>）涉及氨基磺酸镍的电镀工序温控系统</w:t>
      </w:r>
      <w:r>
        <w:rPr>
          <w:rFonts w:hint="default" w:ascii="Times New Roman" w:hAnsi="Times New Roman" w:eastAsia="宋体" w:cs="Times New Roman"/>
          <w:color w:val="auto"/>
          <w:sz w:val="24"/>
          <w:szCs w:val="24"/>
          <w:highlight w:val="none"/>
          <w:u w:val="single" w:color="auto"/>
          <w:lang w:val="en-GB" w:eastAsia="zh-CN"/>
        </w:rPr>
        <w:t>发生故障</w:t>
      </w:r>
      <w:r>
        <w:rPr>
          <w:rFonts w:hint="default" w:ascii="Times New Roman" w:hAnsi="Times New Roman" w:eastAsia="宋体" w:cs="Times New Roman"/>
          <w:color w:val="auto"/>
          <w:sz w:val="24"/>
          <w:szCs w:val="24"/>
          <w:highlight w:val="none"/>
          <w:u w:val="single" w:color="auto"/>
          <w:lang w:val="en-US" w:eastAsia="zh-CN"/>
        </w:rPr>
        <w:t>，温度高于6</w:t>
      </w:r>
      <w:r>
        <w:rPr>
          <w:rFonts w:hint="eastAsia" w:ascii="Times New Roman" w:hAnsi="Times New Roman" w:eastAsia="宋体" w:cs="Times New Roman"/>
          <w:color w:val="auto"/>
          <w:sz w:val="24"/>
          <w:szCs w:val="24"/>
          <w:highlight w:val="none"/>
          <w:u w:val="single" w:color="auto"/>
          <w:lang w:val="en-US" w:eastAsia="zh-CN"/>
        </w:rPr>
        <w:t>6</w:t>
      </w:r>
      <w:r>
        <w:rPr>
          <w:rFonts w:hint="default" w:ascii="Times New Roman" w:hAnsi="Times New Roman" w:eastAsia="宋体" w:cs="Times New Roman"/>
          <w:color w:val="auto"/>
          <w:sz w:val="24"/>
          <w:szCs w:val="24"/>
          <w:highlight w:val="none"/>
          <w:u w:val="single" w:color="auto"/>
          <w:lang w:val="en-US" w:eastAsia="zh-CN"/>
        </w:rPr>
        <w:t>℃以上，会发生微量的水解，生成硫酸盐，微量氨气随水蒸气挥发到空气中（恶臭异味）</w:t>
      </w:r>
      <w:r>
        <w:rPr>
          <w:rFonts w:hint="default" w:ascii="Times New Roman" w:hAnsi="Times New Roman" w:eastAsia="宋体" w:cs="Times New Roman"/>
          <w:color w:val="auto"/>
          <w:sz w:val="24"/>
          <w:szCs w:val="24"/>
          <w:highlight w:val="none"/>
          <w:u w:val="single" w:color="auto"/>
          <w:lang w:val="en-GB" w:eastAsia="zh-CN"/>
        </w:rPr>
        <w:t>。</w:t>
      </w:r>
      <w:r>
        <w:rPr>
          <w:rFonts w:hint="default" w:ascii="Times New Roman" w:hAnsi="Times New Roman" w:eastAsia="宋体" w:cs="Times New Roman"/>
          <w:color w:val="auto"/>
          <w:sz w:val="24"/>
          <w:szCs w:val="24"/>
          <w:highlight w:val="none"/>
          <w:u w:val="single" w:color="auto"/>
          <w:lang w:val="en-US" w:eastAsia="zh-CN"/>
        </w:rPr>
        <w:t>异味通过废气收集系统和三级喷淋塔治理后与酸雾一同排放（去除率约30%），少部分未能被收集的异味以无组织形式在车间排放，通过加强车间机械通风措施，该类异味对周边环境的影响不大</w:t>
      </w:r>
      <w:r>
        <w:rPr>
          <w:rFonts w:hint="eastAsia" w:ascii="Times New Roman" w:hAnsi="Times New Roman" w:eastAsia="宋体" w:cs="Times New Roman"/>
          <w:color w:val="auto"/>
          <w:sz w:val="24"/>
          <w:szCs w:val="24"/>
          <w:highlight w:val="none"/>
          <w:u w:val="single" w:color="auto"/>
          <w:lang w:val="en-US" w:eastAsia="zh-CN"/>
        </w:rPr>
        <w:t>。但</w:t>
      </w:r>
      <w:r>
        <w:rPr>
          <w:rFonts w:hint="default" w:ascii="Times New Roman" w:hAnsi="Times New Roman" w:eastAsia="宋体" w:cs="Times New Roman"/>
          <w:color w:val="auto"/>
          <w:sz w:val="24"/>
          <w:szCs w:val="24"/>
          <w:highlight w:val="none"/>
          <w:u w:val="single" w:color="auto"/>
          <w:lang w:eastAsia="zh-CN"/>
        </w:rPr>
        <w:t>企业必须做好</w:t>
      </w:r>
      <w:r>
        <w:rPr>
          <w:rFonts w:hint="eastAsia" w:ascii="Times New Roman" w:hAnsi="Times New Roman" w:eastAsia="宋体" w:cs="Times New Roman"/>
          <w:color w:val="auto"/>
          <w:sz w:val="24"/>
          <w:szCs w:val="24"/>
          <w:highlight w:val="none"/>
          <w:u w:val="single" w:color="auto"/>
          <w:lang w:eastAsia="zh-CN"/>
        </w:rPr>
        <w:t>设备</w:t>
      </w:r>
      <w:r>
        <w:rPr>
          <w:rFonts w:hint="default" w:ascii="Times New Roman" w:hAnsi="Times New Roman" w:eastAsia="宋体" w:cs="Times New Roman"/>
          <w:color w:val="auto"/>
          <w:sz w:val="24"/>
          <w:szCs w:val="24"/>
          <w:highlight w:val="none"/>
          <w:u w:val="single" w:color="auto"/>
          <w:lang w:eastAsia="zh-CN"/>
        </w:rPr>
        <w:t>的日常维护与事故性排放的防护措施，尽量避免事故排放的发生，一旦发生事故时，应及时维修并采取相应防护措施，将污染影响降低到最小。</w:t>
      </w:r>
    </w:p>
    <w:p w14:paraId="3E0027D8">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90" w:name="_Toc54079928"/>
      <w:bookmarkStart w:id="91" w:name="_Toc3334"/>
      <w:r>
        <w:rPr>
          <w:rFonts w:hint="default" w:ascii="Times New Roman" w:hAnsi="Times New Roman" w:eastAsia="宋体" w:cs="Times New Roman"/>
          <w:color w:val="auto"/>
          <w:sz w:val="28"/>
          <w:szCs w:val="28"/>
          <w:highlight w:val="none"/>
          <w:u w:val="none" w:color="auto"/>
          <w:lang w:val="en-US" w:eastAsia="zh-CN"/>
        </w:rPr>
        <w:t>8.5环境风险管理</w:t>
      </w:r>
      <w:bookmarkEnd w:id="90"/>
      <w:bookmarkEnd w:id="91"/>
    </w:p>
    <w:p w14:paraId="5E5D521C">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8.5.1环境风险管理目标</w:t>
      </w:r>
    </w:p>
    <w:p w14:paraId="626A655B">
      <w:pPr>
        <w:ind w:firstLine="48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环境风险管理目标是采用最低合理可行原则管控环境风险。采取的环境风险防范措施应与社会经济技术发展水平相适应，运用科学的技术手段和管理方法，对环境风险进行有效的预防、监控、响应。</w:t>
      </w:r>
    </w:p>
    <w:p w14:paraId="1FF3FB03">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8.5.2环境风险防范措施</w:t>
      </w:r>
    </w:p>
    <w:p w14:paraId="7A7D3D0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single" w:color="auto"/>
          <w:lang w:val="en-US" w:eastAsia="zh-CN"/>
        </w:rPr>
      </w:pPr>
      <w:r>
        <w:rPr>
          <w:rFonts w:hint="default" w:ascii="Times New Roman" w:hAnsi="Times New Roman" w:eastAsia="宋体" w:cs="Times New Roman"/>
          <w:b/>
          <w:bCs/>
          <w:color w:val="auto"/>
          <w:sz w:val="24"/>
          <w:szCs w:val="21"/>
          <w:highlight w:val="none"/>
          <w:u w:val="single" w:color="auto"/>
          <w:lang w:val="en-US" w:eastAsia="zh-CN"/>
        </w:rPr>
        <w:t>8.5.2.1大气环境风险防范措施</w:t>
      </w:r>
    </w:p>
    <w:p w14:paraId="1819B828">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为确保不发生事故性废气排放，本次评价建议建设单位采取以下事故性防范保护措施：</w:t>
      </w:r>
    </w:p>
    <w:p w14:paraId="34D61F85">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1）各生产环节严格执行生产管理的有关规定，加强设备的检修及保养，加强槽边/槽顶抽风、生产线整体密闭负压抽风、酸雾喷淋塔的稳定运行，确保设备长期处于良好状态，使设备达到预期的处理效果，设置事故应急措施及管理制度。</w:t>
      </w:r>
    </w:p>
    <w:p w14:paraId="694214A5">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（2）现场作业人员定时记录废气处理状况，并派专人巡视，遇不良工作状况立即停止车间相关作业，维修正常后再开始作业，杜绝事故性废气直排。</w:t>
      </w:r>
    </w:p>
    <w:p w14:paraId="4514A951">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（3）制订详细的废气处理系统运行、操作、管理规程，加强对废气处理系统的日常检查工作。</w:t>
      </w:r>
    </w:p>
    <w:p w14:paraId="31D9D8CD">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（4）加强废气事故排放与生产联动，一旦出现事故排放应及时停止生产。</w:t>
      </w:r>
    </w:p>
    <w:p w14:paraId="133EA472">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（5）制定一套科学、完整和严格的故障处理制度和应急措施，责任到人，以便发生故障时及时处理。</w:t>
      </w:r>
    </w:p>
    <w:p w14:paraId="6512E8B4">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一旦造成废气事故排放时，就可能对车间的工人及周围大气环境产生影响。建设单位必须严加管理，杜绝事故排放的事故发生。</w:t>
      </w:r>
    </w:p>
    <w:p w14:paraId="42C1990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single" w:color="auto"/>
          <w:lang w:val="en-US" w:eastAsia="zh-CN"/>
        </w:rPr>
      </w:pPr>
      <w:r>
        <w:rPr>
          <w:rFonts w:hint="default" w:ascii="Times New Roman" w:hAnsi="Times New Roman" w:eastAsia="宋体" w:cs="Times New Roman"/>
          <w:b/>
          <w:bCs/>
          <w:color w:val="auto"/>
          <w:sz w:val="24"/>
          <w:szCs w:val="21"/>
          <w:highlight w:val="none"/>
          <w:u w:val="single" w:color="auto"/>
          <w:lang w:val="en-US" w:eastAsia="zh-CN"/>
        </w:rPr>
        <w:t>8.5.2.2地表水环境风险防范措施</w:t>
      </w:r>
    </w:p>
    <w:p w14:paraId="2F3C5A4A">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（1）车间槽液泄漏防范措施</w:t>
      </w:r>
    </w:p>
    <w:p w14:paraId="35A99A5A">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①采用符合相关强度、防腐蚀、防渗漏要求的电镀槽体，电镀槽体采用架空、明管铺设方式，电镀槽液泄漏时可及时发现。</w:t>
      </w:r>
    </w:p>
    <w:p w14:paraId="150B5517">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②生产厂房设置车间应急事故池用于收集泄漏槽液，车间应急事故池容积不应小于车间内最大镀槽容积，并做好防渗、防腐蚀措施。一旦发生事故，可将泄漏电镀槽液收集，待事故解决、生产正常后，再将废液泵入废水处理车间进行处理。</w:t>
      </w:r>
    </w:p>
    <w:p w14:paraId="0D44FAD7">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③生产厂房设置防泄漏液外流坡度或围堰，并设置导流槽和排液管，与泄漏液收集池连通，一旦电镀槽液发生泄漏，可将泄漏液引流至泄漏液收集池。</w:t>
      </w:r>
    </w:p>
    <w:p w14:paraId="513593B7">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（2）废水处理车间风险防范措施</w:t>
      </w:r>
    </w:p>
    <w:p w14:paraId="0DDD9D42">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①制订有关制度，保证设备良好运行，以降低水耗及各种废水污染物的发生量，确保外排污水达标排放。</w:t>
      </w:r>
    </w:p>
    <w:p w14:paraId="6CEDF2BF">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②生产废水排放管道采用架空管道，不能架空的地方采用明沟明管，管道沿线应专门安排人员定时巡视，并实施定期检测、修缮制度；</w:t>
      </w:r>
      <w:r>
        <w:rPr>
          <w:rFonts w:hint="eastAsia" w:ascii="Times New Roman" w:hAnsi="Times New Roman" w:eastAsia="宋体" w:cs="Times New Roman"/>
          <w:color w:val="auto"/>
          <w:sz w:val="24"/>
          <w:szCs w:val="24"/>
          <w:highlight w:val="none"/>
          <w:u w:val="single" w:color="auto"/>
          <w:lang w:eastAsia="zh-CN"/>
        </w:rPr>
        <w:t>废水处理站</w:t>
      </w:r>
      <w:r>
        <w:rPr>
          <w:rFonts w:hint="default" w:ascii="Times New Roman" w:hAnsi="Times New Roman" w:eastAsia="宋体" w:cs="Times New Roman"/>
          <w:color w:val="auto"/>
          <w:sz w:val="24"/>
          <w:szCs w:val="24"/>
          <w:highlight w:val="none"/>
          <w:u w:val="single" w:color="auto"/>
          <w:lang w:eastAsia="zh-CN"/>
        </w:rPr>
        <w:t>车间地面采取防渗、防漏和防腐措施。</w:t>
      </w:r>
    </w:p>
    <w:p w14:paraId="730E5DD3">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③废水收集管道、废水收集池、废水处理池等废水环保设施做到可视可监控。</w:t>
      </w:r>
    </w:p>
    <w:p w14:paraId="22F79B94">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④设置厂区应急事故池，应急事故池应保持常空、加盖，满足防渗、防腐蚀要求，设置警示标志，事故发生时，废水经应急排污管道自流入事故应急池，应急排污管道通过一定的坡度连接应急事故池，确保事故状态下废水能自流进入事故应急池。</w:t>
      </w:r>
    </w:p>
    <w:p w14:paraId="50C0E413">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⑤若电镀废水未经处理或超标废水因应急排污管堵塞而排入雨水管网，应立即</w:t>
      </w:r>
      <w:r>
        <w:rPr>
          <w:rFonts w:hint="eastAsia" w:ascii="Times New Roman" w:hAnsi="Times New Roman" w:eastAsia="宋体" w:cs="Times New Roman"/>
          <w:color w:val="auto"/>
          <w:sz w:val="24"/>
          <w:szCs w:val="24"/>
          <w:highlight w:val="none"/>
          <w:u w:val="single" w:color="auto"/>
          <w:lang w:eastAsia="zh-CN"/>
        </w:rPr>
        <w:t>关闭雨水排放口阀门</w:t>
      </w:r>
      <w:r>
        <w:rPr>
          <w:rFonts w:hint="default" w:ascii="Times New Roman" w:hAnsi="Times New Roman" w:eastAsia="宋体" w:cs="Times New Roman"/>
          <w:color w:val="auto"/>
          <w:sz w:val="24"/>
          <w:szCs w:val="24"/>
          <w:highlight w:val="none"/>
          <w:u w:val="single" w:color="auto"/>
          <w:lang w:eastAsia="zh-CN"/>
        </w:rPr>
        <w:t>，防止废水外排出厂。并及时采用水泵及水管将截流废水泵入应急事故池暂存，再送往</w:t>
      </w:r>
      <w:r>
        <w:rPr>
          <w:rFonts w:hint="eastAsia" w:ascii="Times New Roman" w:hAnsi="Times New Roman" w:eastAsia="宋体" w:cs="Times New Roman"/>
          <w:color w:val="auto"/>
          <w:sz w:val="24"/>
          <w:szCs w:val="24"/>
          <w:highlight w:val="none"/>
          <w:u w:val="single" w:color="auto"/>
          <w:lang w:eastAsia="zh-CN"/>
        </w:rPr>
        <w:t>废水处理设施</w:t>
      </w:r>
      <w:r>
        <w:rPr>
          <w:rFonts w:hint="default" w:ascii="Times New Roman" w:hAnsi="Times New Roman" w:eastAsia="宋体" w:cs="Times New Roman"/>
          <w:color w:val="auto"/>
          <w:sz w:val="24"/>
          <w:szCs w:val="24"/>
          <w:highlight w:val="none"/>
          <w:u w:val="single" w:color="auto"/>
          <w:lang w:eastAsia="zh-CN"/>
        </w:rPr>
        <w:t>处理。</w:t>
      </w:r>
    </w:p>
    <w:p w14:paraId="05D1EA88">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（3）设置厂区应急事故池</w:t>
      </w:r>
    </w:p>
    <w:p w14:paraId="4536900A">
      <w:pPr>
        <w:ind w:firstLine="480"/>
        <w:rPr>
          <w:rFonts w:hint="default" w:ascii="Times New Roman" w:hAnsi="Times New Roman" w:eastAsia="宋体" w:cs="Times New Roman"/>
          <w:color w:val="auto"/>
          <w:sz w:val="24"/>
          <w:szCs w:val="24"/>
          <w:highlight w:val="none"/>
          <w:u w:val="single" w:color="auto"/>
          <w:lang w:eastAsia="zh-CN"/>
        </w:rPr>
      </w:pPr>
      <w:r>
        <w:rPr>
          <w:rFonts w:hint="default" w:ascii="Times New Roman" w:hAnsi="Times New Roman" w:eastAsia="宋体" w:cs="Times New Roman"/>
          <w:color w:val="auto"/>
          <w:sz w:val="24"/>
          <w:szCs w:val="24"/>
          <w:highlight w:val="none"/>
          <w:u w:val="single" w:color="auto"/>
          <w:lang w:eastAsia="zh-CN"/>
        </w:rPr>
        <w:t>本评价根据《事故状态下水体污染的预防与控制技术要求》（QSY1190-2009）的要求计算事故状态下的最大废水量，事故储存设施总有效容积按下式进行计算：</w:t>
      </w:r>
    </w:p>
    <w:p w14:paraId="3A187209">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V 总＝（V1＋V2－V3）max＋V4+V5</w:t>
      </w:r>
    </w:p>
    <w:p w14:paraId="1E0E8070">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注：（V1＋V2－V3）max 是指对收集系统范围内不同装置分别计算。（V1＋V2－V3）取其中最大值。</w:t>
      </w:r>
    </w:p>
    <w:p w14:paraId="6F9390CA">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V1——收集系统范围内发生事故的一套装置的物料量。</w:t>
      </w:r>
    </w:p>
    <w:p w14:paraId="1F7620D4">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V2——发生事故的装置的消防水量，m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w:t>
      </w:r>
    </w:p>
    <w:p w14:paraId="6A789C5C">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V2＝Q 消 ×t 消</w:t>
      </w:r>
    </w:p>
    <w:p w14:paraId="69A967BF">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Q 消——发生事故的消防设施给水流量，m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/h；</w:t>
      </w:r>
    </w:p>
    <w:p w14:paraId="06F88B42">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t 消——消防设施对应的设计消防历时，h；</w:t>
      </w:r>
    </w:p>
    <w:p w14:paraId="25984E85">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V3——发生事故时可以转输到其他储存或处理设施的物料量，m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，本项目此项为 0；</w:t>
      </w:r>
    </w:p>
    <w:p w14:paraId="21A5B8AE">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V4——发生事故时仍必须进入该收集系统的生产废水量m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w:t>
      </w:r>
    </w:p>
    <w:p w14:paraId="20C1A88E">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V5——发生事故时可能进入该收集系统的降雨量，m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w:t>
      </w:r>
    </w:p>
    <w:p w14:paraId="2FD8FABA">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V5＝10qF</w:t>
      </w:r>
    </w:p>
    <w:p w14:paraId="4A1241DB">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q——降雨强度，mm；按平均日降雨量； q=qa/n</w:t>
      </w:r>
    </w:p>
    <w:p w14:paraId="2326C080">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qa——年平均降雨量，mm；</w:t>
      </w:r>
    </w:p>
    <w:p w14:paraId="1C2BE203">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n——年平均降雨日数。</w:t>
      </w:r>
    </w:p>
    <w:p w14:paraId="7D2D074F">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F——必须进入事故废水收集系统的雨水汇水面积，ha。</w:t>
      </w:r>
    </w:p>
    <w:p w14:paraId="6DB3B2A1">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具体计算如下：</w:t>
      </w:r>
    </w:p>
    <w:p w14:paraId="053ABAE0">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Ⅰ、发生收集系统范围内发生事故的一套装置的物料量，本项目</w:t>
      </w:r>
      <w:r>
        <w:rPr>
          <w:rFonts w:hint="default" w:ascii="Times New Roman" w:hAnsi="Times New Roman" w:eastAsia="宋体" w:cs="Times New Roman"/>
          <w:color w:val="auto"/>
          <w:sz w:val="24"/>
          <w:szCs w:val="21"/>
          <w:highlight w:val="none"/>
          <w:u w:val="single" w:color="auto"/>
          <w:lang w:eastAsia="zh-CN"/>
        </w:rPr>
        <w:t>单个厂房液体物料全部泄露，</w:t>
      </w:r>
      <w:r>
        <w:rPr>
          <w:rFonts w:hint="default" w:ascii="Times New Roman" w:hAnsi="Times New Roman" w:eastAsia="宋体" w:cs="Times New Roman"/>
          <w:color w:val="auto"/>
          <w:sz w:val="24"/>
          <w:szCs w:val="21"/>
          <w:highlight w:val="none"/>
          <w:u w:val="single" w:color="auto"/>
        </w:rPr>
        <w:t>V1=</w:t>
      </w:r>
      <w:r>
        <w:rPr>
          <w:rFonts w:hint="default" w:ascii="Times New Roman" w:hAnsi="Times New Roman" w:eastAsia="宋体" w:cs="Times New Roman"/>
          <w:color w:val="auto"/>
          <w:sz w:val="24"/>
          <w:szCs w:val="21"/>
          <w:highlight w:val="none"/>
          <w:u w:val="single" w:color="auto"/>
          <w:lang w:val="en-US" w:eastAsia="zh-CN"/>
        </w:rPr>
        <w:t>150</w:t>
      </w:r>
      <w:r>
        <w:rPr>
          <w:rFonts w:hint="default" w:ascii="Times New Roman" w:hAnsi="Times New Roman" w:eastAsia="宋体" w:cs="Times New Roman"/>
          <w:color w:val="auto"/>
          <w:sz w:val="24"/>
          <w:szCs w:val="21"/>
          <w:highlight w:val="none"/>
          <w:u w:val="single" w:color="auto"/>
        </w:rPr>
        <w:t>m³；</w:t>
      </w:r>
    </w:p>
    <w:p w14:paraId="4F91CB46">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Ⅱ、消防废水量：本项目火灾危险性类别为戊类，根据《消防给水及消火栓系统技术规范》（GB50974-2014），戊类室内消防水量15L/s，室外消防水量20L/s，火灾延续时间为2h。本次评价结合《消防给水及消火栓系统技术规范》，本项目火灾延续时间为2h，则本项目灭火消防用水量V2=252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w:t>
      </w:r>
    </w:p>
    <w:p w14:paraId="654576B0">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Ⅲ、发生事故时可以转输到其他储存或处理设施的物料量，本项目为 V3=0；</w:t>
      </w:r>
    </w:p>
    <w:p w14:paraId="3EF0D853">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Ⅳ、发生事故时仍必须进入该收集系统的生产废水量，本项目为 V4=0；</w:t>
      </w:r>
    </w:p>
    <w:p w14:paraId="36919A5E">
      <w:pPr>
        <w:ind w:firstLine="480" w:firstLineChars="200"/>
        <w:rPr>
          <w:rFonts w:hint="default" w:ascii="Times New Roman" w:hAnsi="Times New Roman" w:eastAsia="宋体" w:cs="Times New Roman"/>
          <w:color w:val="auto"/>
          <w:sz w:val="24"/>
          <w:szCs w:val="21"/>
          <w:highlight w:val="none"/>
          <w:u w:val="single" w:color="auto"/>
          <w:lang w:val="en-US" w:eastAsia="zh-CN"/>
        </w:rPr>
      </w:pPr>
      <w:r>
        <w:rPr>
          <w:rFonts w:hint="default" w:ascii="Times New Roman" w:hAnsi="Times New Roman" w:eastAsia="宋体" w:cs="Times New Roman"/>
          <w:color w:val="auto"/>
          <w:sz w:val="24"/>
          <w:szCs w:val="21"/>
          <w:highlight w:val="none"/>
          <w:u w:val="single" w:color="auto"/>
        </w:rPr>
        <w:t>Ⅴ、发生事故时可能进入该收集系统的降雨量</w:t>
      </w:r>
      <w:r>
        <w:rPr>
          <w:rFonts w:hint="default" w:ascii="Times New Roman" w:hAnsi="Times New Roman" w:eastAsia="宋体" w:cs="Times New Roman"/>
          <w:color w:val="auto"/>
          <w:sz w:val="24"/>
          <w:szCs w:val="21"/>
          <w:highlight w:val="none"/>
          <w:u w:val="single" w:color="auto"/>
          <w:lang w:eastAsia="zh-CN"/>
        </w:rPr>
        <w:t>，</w:t>
      </w:r>
      <w:r>
        <w:rPr>
          <w:rFonts w:hint="default" w:ascii="Times New Roman" w:hAnsi="Times New Roman" w:eastAsia="宋体" w:cs="Times New Roman"/>
          <w:color w:val="auto"/>
          <w:sz w:val="24"/>
          <w:szCs w:val="21"/>
          <w:highlight w:val="none"/>
          <w:u w:val="single" w:color="auto"/>
        </w:rPr>
        <w:t>事故情况下，假设一次降水深度为15mm，雨水汇水面积按</w:t>
      </w:r>
      <w:r>
        <w:rPr>
          <w:rFonts w:hint="default" w:ascii="Times New Roman" w:hAnsi="Times New Roman" w:eastAsia="宋体" w:cs="Times New Roman"/>
          <w:color w:val="auto"/>
          <w:sz w:val="24"/>
          <w:szCs w:val="21"/>
          <w:highlight w:val="none"/>
          <w:u w:val="single" w:color="auto"/>
          <w:lang w:val="en-US" w:eastAsia="zh-CN"/>
        </w:rPr>
        <w:t>10000</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2</w:t>
      </w:r>
      <w:r>
        <w:rPr>
          <w:rFonts w:hint="default" w:ascii="Times New Roman" w:hAnsi="Times New Roman" w:eastAsia="宋体" w:cs="Times New Roman"/>
          <w:color w:val="auto"/>
          <w:sz w:val="24"/>
          <w:szCs w:val="21"/>
          <w:highlight w:val="none"/>
          <w:u w:val="single" w:color="auto"/>
        </w:rPr>
        <w:t>，则事故雨水量为</w:t>
      </w:r>
      <w:r>
        <w:rPr>
          <w:rFonts w:hint="default" w:ascii="Times New Roman" w:hAnsi="Times New Roman" w:eastAsia="宋体" w:cs="Times New Roman"/>
          <w:color w:val="auto"/>
          <w:sz w:val="24"/>
          <w:szCs w:val="21"/>
          <w:highlight w:val="none"/>
          <w:u w:val="single" w:color="auto"/>
          <w:lang w:val="en-US" w:eastAsia="zh-CN"/>
        </w:rPr>
        <w:t>150</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vertAlign w:val="baseline"/>
          <w:lang w:val="en-US" w:eastAsia="zh-CN"/>
        </w:rPr>
        <w:t>。</w:t>
      </w:r>
    </w:p>
    <w:p w14:paraId="28738EB2">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则项目事故池量为：</w:t>
      </w:r>
      <w:r>
        <w:rPr>
          <w:rFonts w:hint="default" w:ascii="Times New Roman" w:hAnsi="Times New Roman" w:eastAsia="宋体" w:cs="Times New Roman"/>
          <w:color w:val="auto"/>
          <w:sz w:val="24"/>
          <w:szCs w:val="21"/>
          <w:highlight w:val="none"/>
          <w:u w:val="single" w:color="auto"/>
          <w:lang w:val="en-US" w:eastAsia="zh-CN"/>
        </w:rPr>
        <w:t>150</w:t>
      </w:r>
      <w:r>
        <w:rPr>
          <w:rFonts w:hint="default" w:ascii="Times New Roman" w:hAnsi="Times New Roman" w:eastAsia="宋体" w:cs="Times New Roman"/>
          <w:color w:val="auto"/>
          <w:sz w:val="24"/>
          <w:szCs w:val="21"/>
          <w:highlight w:val="none"/>
          <w:u w:val="single" w:color="auto"/>
        </w:rPr>
        <w:t>m³+252m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w:t>
      </w:r>
      <w:r>
        <w:rPr>
          <w:rFonts w:hint="default" w:ascii="Times New Roman" w:hAnsi="Times New Roman" w:eastAsia="宋体" w:cs="Times New Roman"/>
          <w:color w:val="auto"/>
          <w:sz w:val="24"/>
          <w:szCs w:val="21"/>
          <w:highlight w:val="none"/>
          <w:u w:val="single" w:color="auto"/>
          <w:lang w:val="en-US" w:eastAsia="zh-CN"/>
        </w:rPr>
        <w:t>150</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w:t>
      </w:r>
      <w:r>
        <w:rPr>
          <w:rFonts w:hint="default" w:ascii="Times New Roman" w:hAnsi="Times New Roman" w:eastAsia="宋体" w:cs="Times New Roman"/>
          <w:color w:val="auto"/>
          <w:sz w:val="24"/>
          <w:szCs w:val="21"/>
          <w:highlight w:val="none"/>
          <w:u w:val="single" w:color="auto"/>
          <w:lang w:val="en-US" w:eastAsia="zh-CN"/>
        </w:rPr>
        <w:t>552</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3</w:t>
      </w:r>
    </w:p>
    <w:p w14:paraId="4E62FAB1">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根据上述计算结果，本项目所需的应急事故池不应小于</w:t>
      </w:r>
      <w:r>
        <w:rPr>
          <w:rFonts w:hint="default" w:ascii="Times New Roman" w:hAnsi="Times New Roman" w:eastAsia="宋体" w:cs="Times New Roman"/>
          <w:color w:val="auto"/>
          <w:sz w:val="24"/>
          <w:szCs w:val="21"/>
          <w:highlight w:val="none"/>
          <w:u w:val="single" w:color="auto"/>
          <w:lang w:val="en-US" w:eastAsia="zh-CN"/>
        </w:rPr>
        <w:t>552</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，根据项目设计，本项目拟在污水处理厂房设置1个</w:t>
      </w:r>
      <w:r>
        <w:rPr>
          <w:rFonts w:hint="default" w:ascii="Times New Roman" w:hAnsi="Times New Roman" w:eastAsia="宋体" w:cs="Times New Roman"/>
          <w:color w:val="auto"/>
          <w:sz w:val="24"/>
          <w:szCs w:val="21"/>
          <w:highlight w:val="none"/>
          <w:u w:val="single" w:color="auto"/>
          <w:lang w:val="en-US" w:eastAsia="zh-CN"/>
        </w:rPr>
        <w:t>600</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的应急事故池。</w:t>
      </w:r>
    </w:p>
    <w:p w14:paraId="5A79E11D">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（4）水型突发事件防控</w:t>
      </w:r>
    </w:p>
    <w:p w14:paraId="39F5CA93">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针对项目污染物来源及其特性，以实现达标排放和满足应急处置为原则，建立“污染源头、处理过程和最终排放”的防控机制，具体方案如下：</w:t>
      </w:r>
    </w:p>
    <w:p w14:paraId="63CF57BD">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①第一级防控（车间级）</w:t>
      </w:r>
    </w:p>
    <w:p w14:paraId="73926E42">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生产厂房设置车间应急事故池，车间应急事故池容积不应小于车间内最大镀槽容积，同时在镀槽周边设置小围堰，能够尽可能将泄漏物料控制在车间范围内。</w:t>
      </w:r>
    </w:p>
    <w:p w14:paraId="52837EF8">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②第二级防控（厂区级）</w:t>
      </w:r>
    </w:p>
    <w:p w14:paraId="34295BF8">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本项目拟设置1个</w:t>
      </w:r>
      <w:r>
        <w:rPr>
          <w:rFonts w:hint="default" w:ascii="Times New Roman" w:hAnsi="Times New Roman" w:eastAsia="宋体" w:cs="Times New Roman"/>
          <w:color w:val="auto"/>
          <w:sz w:val="24"/>
          <w:szCs w:val="21"/>
          <w:highlight w:val="none"/>
          <w:u w:val="single" w:color="auto"/>
          <w:lang w:val="en-US" w:eastAsia="zh-CN"/>
        </w:rPr>
        <w:t>600</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的应急事故池、1个</w:t>
      </w:r>
      <w:r>
        <w:rPr>
          <w:rFonts w:hint="default" w:ascii="Times New Roman" w:hAnsi="Times New Roman" w:eastAsia="宋体" w:cs="Times New Roman"/>
          <w:color w:val="auto"/>
          <w:sz w:val="24"/>
          <w:szCs w:val="21"/>
          <w:highlight w:val="none"/>
          <w:u w:val="single" w:color="auto"/>
          <w:lang w:val="en-US" w:eastAsia="zh-CN"/>
        </w:rPr>
        <w:t>290</w:t>
      </w:r>
      <w:r>
        <w:rPr>
          <w:rFonts w:hint="default" w:ascii="Times New Roman" w:hAnsi="Times New Roman" w:eastAsia="宋体" w:cs="Times New Roman"/>
          <w:color w:val="auto"/>
          <w:sz w:val="24"/>
          <w:szCs w:val="21"/>
          <w:highlight w:val="none"/>
          <w:u w:val="single" w:color="auto"/>
        </w:rPr>
        <w:t>m</w:t>
      </w:r>
      <w:r>
        <w:rPr>
          <w:rFonts w:hint="default" w:ascii="Times New Roman" w:hAnsi="Times New Roman" w:eastAsia="宋体" w:cs="Times New Roman"/>
          <w:color w:val="auto"/>
          <w:sz w:val="24"/>
          <w:szCs w:val="21"/>
          <w:highlight w:val="none"/>
          <w:u w:val="single" w:color="auto"/>
          <w:vertAlign w:val="superscript"/>
        </w:rPr>
        <w:t>3</w:t>
      </w:r>
      <w:r>
        <w:rPr>
          <w:rFonts w:hint="default" w:ascii="Times New Roman" w:hAnsi="Times New Roman" w:eastAsia="宋体" w:cs="Times New Roman"/>
          <w:color w:val="auto"/>
          <w:sz w:val="24"/>
          <w:szCs w:val="21"/>
          <w:highlight w:val="none"/>
          <w:u w:val="single" w:color="auto"/>
        </w:rPr>
        <w:t>的初期雨水收集池，初期雨水收集池通过应急泵与事故池连通。当泄漏物料突破第一级防控时，泄漏物料或消防废水漫过车间或罐区围堰进入厂区雨水收集系统，进入厂区初期雨水收集池、或应急事故池，再将收集到的物料或废水送至厂区废水处理系统处理。厂区初期雨水池、应急事故池可将泄漏物料或消防废水控制在厂区范围内。</w:t>
      </w:r>
    </w:p>
    <w:p w14:paraId="0362C8AA">
      <w:pPr>
        <w:ind w:firstLine="480" w:firstLineChars="200"/>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③第三级防控（流域级）</w:t>
      </w:r>
    </w:p>
    <w:p w14:paraId="33E82F7D">
      <w:pPr>
        <w:ind w:firstLine="480" w:firstLineChars="200"/>
        <w:rPr>
          <w:rFonts w:hint="default"/>
          <w:color w:val="auto"/>
        </w:rPr>
      </w:pPr>
      <w:r>
        <w:rPr>
          <w:rFonts w:hint="eastAsia" w:ascii="Times New Roman" w:hAnsi="Times New Roman" w:eastAsia="宋体" w:cs="Times New Roman"/>
          <w:color w:val="auto"/>
          <w:sz w:val="24"/>
          <w:szCs w:val="21"/>
          <w:highlight w:val="none"/>
          <w:u w:val="single" w:color="auto"/>
          <w:lang w:eastAsia="zh-CN"/>
        </w:rPr>
        <w:t>可及时联系松木污水处理厂，有</w:t>
      </w:r>
      <w:r>
        <w:rPr>
          <w:rFonts w:hint="default" w:ascii="Times New Roman" w:hAnsi="Times New Roman" w:eastAsia="宋体" w:cs="Times New Roman"/>
          <w:color w:val="auto"/>
          <w:sz w:val="24"/>
          <w:szCs w:val="21"/>
          <w:highlight w:val="none"/>
          <w:u w:val="single" w:color="auto"/>
          <w:lang w:eastAsia="zh-CN"/>
        </w:rPr>
        <w:t>松木污水处理厂</w:t>
      </w:r>
      <w:r>
        <w:rPr>
          <w:rFonts w:hint="default" w:ascii="Times New Roman" w:hAnsi="Times New Roman" w:eastAsia="宋体" w:cs="Times New Roman"/>
          <w:color w:val="auto"/>
          <w:sz w:val="24"/>
          <w:szCs w:val="21"/>
          <w:highlight w:val="none"/>
          <w:u w:val="single" w:color="auto"/>
        </w:rPr>
        <w:t>兜底，一般情况下，不会造成流域级事件</w:t>
      </w:r>
      <w:r>
        <w:rPr>
          <w:rFonts w:hint="default" w:ascii="Times New Roman" w:hAnsi="Times New Roman" w:eastAsia="宋体" w:cs="Times New Roman"/>
          <w:color w:val="auto"/>
          <w:sz w:val="24"/>
          <w:szCs w:val="21"/>
          <w:highlight w:val="none"/>
          <w:u w:val="none" w:color="auto"/>
        </w:rPr>
        <w:t>。</w:t>
      </w:r>
    </w:p>
    <w:p w14:paraId="4BBF33B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single" w:color="auto"/>
          <w:lang w:val="en-US" w:eastAsia="zh-CN"/>
        </w:rPr>
      </w:pPr>
      <w:r>
        <w:rPr>
          <w:rFonts w:hint="default" w:ascii="Times New Roman" w:hAnsi="Times New Roman" w:eastAsia="宋体" w:cs="Times New Roman"/>
          <w:b/>
          <w:bCs/>
          <w:color w:val="auto"/>
          <w:sz w:val="24"/>
          <w:szCs w:val="21"/>
          <w:highlight w:val="none"/>
          <w:u w:val="single" w:color="auto"/>
          <w:lang w:val="en-US" w:eastAsia="zh-CN"/>
        </w:rPr>
        <w:t>8.5.2.3地下水风险防范措施</w:t>
      </w:r>
    </w:p>
    <w:p w14:paraId="6AD4B75C">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地下水风险防范措施应采取源头控制和分区防渗措施，本项目应按照分区防渗要求做好相应的防渗措施，重点防渗区防渗系数不低于1×10</w:t>
      </w:r>
      <w:r>
        <w:rPr>
          <w:rFonts w:hint="default" w:ascii="Times New Roman" w:hAnsi="Times New Roman" w:eastAsia="宋体" w:cs="Times New Roman"/>
          <w:color w:val="auto"/>
          <w:kern w:val="0"/>
          <w:sz w:val="24"/>
          <w:szCs w:val="21"/>
          <w:highlight w:val="none"/>
          <w:u w:val="single" w:color="auto"/>
          <w:vertAlign w:val="superscript"/>
        </w:rPr>
        <w:t>-10</w:t>
      </w:r>
      <w:r>
        <w:rPr>
          <w:rFonts w:hint="default" w:ascii="Times New Roman" w:hAnsi="Times New Roman" w:eastAsia="宋体" w:cs="Times New Roman"/>
          <w:color w:val="auto"/>
          <w:kern w:val="0"/>
          <w:sz w:val="24"/>
          <w:szCs w:val="21"/>
          <w:highlight w:val="none"/>
          <w:u w:val="single" w:color="auto"/>
        </w:rPr>
        <w:t>cm/s，一般防渗区防渗系数不低于1×10</w:t>
      </w:r>
      <w:r>
        <w:rPr>
          <w:rFonts w:hint="default" w:ascii="Times New Roman" w:hAnsi="Times New Roman" w:eastAsia="宋体" w:cs="Times New Roman"/>
          <w:color w:val="auto"/>
          <w:kern w:val="0"/>
          <w:sz w:val="24"/>
          <w:szCs w:val="21"/>
          <w:highlight w:val="none"/>
          <w:u w:val="single" w:color="auto"/>
          <w:vertAlign w:val="superscript"/>
        </w:rPr>
        <w:t>-7</w:t>
      </w:r>
      <w:r>
        <w:rPr>
          <w:rFonts w:hint="default" w:ascii="Times New Roman" w:hAnsi="Times New Roman" w:eastAsia="宋体" w:cs="Times New Roman"/>
          <w:color w:val="auto"/>
          <w:kern w:val="0"/>
          <w:sz w:val="24"/>
          <w:szCs w:val="21"/>
          <w:highlight w:val="none"/>
          <w:u w:val="single" w:color="auto"/>
        </w:rPr>
        <w:t>cm/s。本项目应采取相应的分区防渗措施，并设置地下水监控井。</w:t>
      </w:r>
    </w:p>
    <w:p w14:paraId="7BF55293">
      <w:pPr>
        <w:ind w:firstLine="480" w:firstLineChars="200"/>
        <w:rPr>
          <w:rFonts w:hint="default" w:ascii="Times New Roman" w:hAnsi="Times New Roman" w:cs="Times New Roman"/>
          <w:color w:val="auto"/>
          <w:kern w:val="0"/>
          <w:highlight w:val="none"/>
          <w:u w:val="single" w:color="auto"/>
        </w:rPr>
      </w:pPr>
      <w:r>
        <w:rPr>
          <w:rFonts w:hint="default" w:ascii="Times New Roman" w:hAnsi="Times New Roman" w:eastAsia="宋体" w:cs="Times New Roman"/>
          <w:color w:val="auto"/>
          <w:kern w:val="0"/>
          <w:sz w:val="24"/>
          <w:szCs w:val="21"/>
          <w:highlight w:val="none"/>
          <w:u w:val="single" w:color="auto"/>
        </w:rPr>
        <w:t>为了做好地下水环境保护与污染防治对策，尽最大努力避免和减轻地下水污染造成的损失，应制定地下水风险事故应急响应预案，成立应急指挥部，事故发生后及时采取措施。一旦掌握地下水环境污染征兆或发生地下水环境污染时，知情单位和个人要立即向当地政府或其地下水环境污染主管部门、责任单位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w:t>
      </w:r>
    </w:p>
    <w:p w14:paraId="0CC88C7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1"/>
          <w:highlight w:val="none"/>
          <w:u w:val="single" w:color="auto"/>
          <w:lang w:val="en-US" w:eastAsia="zh-CN"/>
        </w:rPr>
      </w:pPr>
      <w:bookmarkStart w:id="92" w:name="_Toc15505"/>
      <w:r>
        <w:rPr>
          <w:rFonts w:hint="default" w:ascii="Times New Roman" w:hAnsi="Times New Roman" w:eastAsia="宋体" w:cs="Times New Roman"/>
          <w:b/>
          <w:bCs/>
          <w:color w:val="auto"/>
          <w:sz w:val="24"/>
          <w:szCs w:val="21"/>
          <w:highlight w:val="none"/>
          <w:u w:val="single" w:color="auto"/>
          <w:lang w:val="en-US" w:eastAsia="zh-CN"/>
        </w:rPr>
        <w:t>8.5.2.4危险化学品及危险废物的风险防范</w:t>
      </w:r>
      <w:bookmarkEnd w:id="92"/>
    </w:p>
    <w:p w14:paraId="755A8A3E">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（1）化学品应由专人负责管理，并配备可靠的个人安全防护用品；管理人员应熟悉化学品的性能及安全操作方法。</w:t>
      </w:r>
    </w:p>
    <w:p w14:paraId="5E51E0AF">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（2）除危险化学品仓库管理人员、安全检查人员等相关人员外，其他无关人员严禁进入危险化学品仓库。确因工作需要进入者，须经危险化学品仓库负责人同意，在工作人员陪同下方可进入。</w:t>
      </w:r>
    </w:p>
    <w:p w14:paraId="05973F15">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（3）危险化学品仓库应符合防火、防爆、通风、防晒、防雷等安全要求，安全防护设施要保持完好。危险化学品仓库电气设备应符合防火、防爆等安全要求。</w:t>
      </w:r>
    </w:p>
    <w:p w14:paraId="3CD51B17">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（4）应根据化学品性能分区、分类、分库贮存，并有标识，各类危险品不得与禁忌物料混合贮存。各种化学品标识清楚，并设有安全标签。</w:t>
      </w:r>
    </w:p>
    <w:p w14:paraId="0EC8BE80">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（5）化学品入库时，应严格检验物品质量、数量、包装情况、有无泄漏。</w:t>
      </w:r>
    </w:p>
    <w:p w14:paraId="18C93B13">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（6）化学品入库后应采取适当的养护措施，在贮存期内，定期检查，发现其品质变化、包装破损、渗漏、稳定剂短缺等，应及时处理。</w:t>
      </w:r>
    </w:p>
    <w:p w14:paraId="6217CE1A">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（7）化学品出入库前均应进行检查验收、登记、验收内容包括：数量、包装、危险标志。经核对后方可入库、出库，当物品性质未弄清时不得入库。</w:t>
      </w:r>
    </w:p>
    <w:p w14:paraId="2454576C">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（8）进入化学品贮存区域人员、机动车辆和作业车辆，必须采取防火措施。</w:t>
      </w:r>
    </w:p>
    <w:p w14:paraId="22DD3E3B">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（9）使用化学品时，应按照工艺要求及安全技术说明要求进行操作，并穿戴好个人防护用品。</w:t>
      </w:r>
    </w:p>
    <w:p w14:paraId="409CA52A">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（10）装卸、搬运化学品时，要做到轻装、轻卸。严禁摔、碰、撞、击、拖拉、倾倒和滚动。</w:t>
      </w:r>
    </w:p>
    <w:p w14:paraId="22823DB7">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（11）装卸对人身有毒害及腐蚀性的物品时，操作人员应根据危险性，穿戴相应的防护用品。</w:t>
      </w:r>
    </w:p>
    <w:p w14:paraId="6B59440C">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（12）使用或保管化学品单位应对化学品贮存场所、使用情况及安全设施状况等进行日常安全检查。</w:t>
      </w:r>
    </w:p>
    <w:p w14:paraId="7A60B638">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（13）项目环境管理人员对使用和贮存化学品场所等进行巡查或专项安全检查。</w:t>
      </w:r>
    </w:p>
    <w:p w14:paraId="7933FD8D">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14）危险化学品运输必须采用专用合格车辆，并配备押运人员，运输人员及押运人员需持证上岗，车辆不得超装、超载，不得进入化学品运输车辆禁止通行的区域；在运输车辆明显位置贴示“危险”警示标记；不断加强对运输人员及押运人员的技能专业培训。</w:t>
      </w:r>
    </w:p>
    <w:p w14:paraId="103D2A16">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（15）严格按照项目安全评价报告的要求建设危化品库</w:t>
      </w:r>
      <w:r>
        <w:rPr>
          <w:rFonts w:hint="eastAsia" w:ascii="Times New Roman" w:hAnsi="Times New Roman" w:eastAsia="宋体" w:cs="Times New Roman"/>
          <w:color w:val="auto"/>
          <w:kern w:val="0"/>
          <w:sz w:val="24"/>
          <w:szCs w:val="21"/>
          <w:highlight w:val="none"/>
          <w:u w:val="single" w:color="auto"/>
          <w:lang w:eastAsia="zh-CN"/>
        </w:rPr>
        <w:t>以及</w:t>
      </w:r>
      <w:r>
        <w:rPr>
          <w:rFonts w:hint="default" w:ascii="Times New Roman" w:hAnsi="Times New Roman" w:eastAsia="宋体" w:cs="Times New Roman"/>
          <w:color w:val="auto"/>
          <w:kern w:val="0"/>
          <w:sz w:val="24"/>
          <w:szCs w:val="21"/>
          <w:highlight w:val="none"/>
          <w:u w:val="single" w:color="auto"/>
        </w:rPr>
        <w:t>危化品的贮存。</w:t>
      </w:r>
    </w:p>
    <w:p w14:paraId="505808B7">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（1</w:t>
      </w:r>
      <w:r>
        <w:rPr>
          <w:rFonts w:hint="default" w:ascii="Times New Roman" w:hAnsi="Times New Roman" w:eastAsia="宋体" w:cs="Times New Roman"/>
          <w:color w:val="auto"/>
          <w:kern w:val="0"/>
          <w:sz w:val="24"/>
          <w:szCs w:val="21"/>
          <w:highlight w:val="none"/>
          <w:u w:val="single" w:color="auto"/>
          <w:lang w:val="en-US" w:eastAsia="zh-CN"/>
        </w:rPr>
        <w:t>6</w:t>
      </w:r>
      <w:r>
        <w:rPr>
          <w:rFonts w:hint="default" w:ascii="Times New Roman" w:hAnsi="Times New Roman" w:eastAsia="宋体" w:cs="Times New Roman"/>
          <w:color w:val="auto"/>
          <w:kern w:val="0"/>
          <w:sz w:val="24"/>
          <w:szCs w:val="21"/>
          <w:highlight w:val="none"/>
          <w:u w:val="single" w:color="auto"/>
        </w:rPr>
        <w:t>）严格按照《危险废物贮存污染控制标准》（</w:t>
      </w:r>
      <w:r>
        <w:rPr>
          <w:rFonts w:hint="eastAsia" w:ascii="Times New Roman" w:hAnsi="Times New Roman" w:eastAsia="宋体" w:cs="Times New Roman"/>
          <w:color w:val="auto"/>
          <w:kern w:val="0"/>
          <w:sz w:val="24"/>
          <w:szCs w:val="21"/>
          <w:highlight w:val="none"/>
          <w:u w:val="single" w:color="auto"/>
          <w:lang w:eastAsia="zh-CN"/>
        </w:rPr>
        <w:t>GB18597-2023</w:t>
      </w:r>
      <w:r>
        <w:rPr>
          <w:rFonts w:hint="default" w:ascii="Times New Roman" w:hAnsi="Times New Roman" w:eastAsia="宋体" w:cs="Times New Roman"/>
          <w:color w:val="auto"/>
          <w:kern w:val="0"/>
          <w:sz w:val="24"/>
          <w:szCs w:val="21"/>
          <w:highlight w:val="none"/>
          <w:u w:val="single" w:color="auto"/>
        </w:rPr>
        <w:t>）要求进行建设，危废暂存间应封闭，应做好防雨、防风、防渗漏、防扬散措施，应设置渗出液收集设施。</w:t>
      </w:r>
    </w:p>
    <w:p w14:paraId="582E1202">
      <w:pPr>
        <w:ind w:firstLine="480" w:firstLineChars="200"/>
        <w:rPr>
          <w:rFonts w:hint="default" w:ascii="Times New Roman" w:hAnsi="Times New Roman" w:eastAsia="宋体" w:cs="Times New Roman"/>
          <w:color w:val="auto"/>
          <w:kern w:val="0"/>
          <w:sz w:val="24"/>
          <w:szCs w:val="21"/>
          <w:highlight w:val="none"/>
          <w:u w:val="single" w:color="auto"/>
        </w:rPr>
      </w:pPr>
      <w:r>
        <w:rPr>
          <w:rFonts w:hint="default" w:ascii="Times New Roman" w:hAnsi="Times New Roman" w:eastAsia="宋体" w:cs="Times New Roman"/>
          <w:color w:val="auto"/>
          <w:kern w:val="0"/>
          <w:sz w:val="24"/>
          <w:szCs w:val="21"/>
          <w:highlight w:val="none"/>
          <w:u w:val="single" w:color="auto"/>
        </w:rPr>
        <w:t>（1</w:t>
      </w:r>
      <w:r>
        <w:rPr>
          <w:rFonts w:hint="default" w:ascii="Times New Roman" w:hAnsi="Times New Roman" w:eastAsia="宋体" w:cs="Times New Roman"/>
          <w:color w:val="auto"/>
          <w:kern w:val="0"/>
          <w:sz w:val="24"/>
          <w:szCs w:val="21"/>
          <w:highlight w:val="none"/>
          <w:u w:val="single" w:color="auto"/>
          <w:lang w:val="en-US" w:eastAsia="zh-CN"/>
        </w:rPr>
        <w:t>7</w:t>
      </w:r>
      <w:r>
        <w:rPr>
          <w:rFonts w:hint="default" w:ascii="Times New Roman" w:hAnsi="Times New Roman" w:eastAsia="宋体" w:cs="Times New Roman"/>
          <w:color w:val="auto"/>
          <w:kern w:val="0"/>
          <w:sz w:val="24"/>
          <w:szCs w:val="21"/>
          <w:highlight w:val="none"/>
          <w:u w:val="single" w:color="auto"/>
        </w:rPr>
        <w:t>）废槽渣、污水处理污泥等危险废物均应以符合要求的专门容器盛装，暂存库房内应分区暂存，不得混贮，严禁不相容物质混贮。</w:t>
      </w:r>
    </w:p>
    <w:p w14:paraId="63F0E333">
      <w:pPr>
        <w:pStyle w:val="4"/>
        <w:pageBreakBefore w:val="0"/>
        <w:kinsoku/>
        <w:wordWrap/>
        <w:overflowPunct/>
        <w:topLinePunct w:val="0"/>
        <w:bidi w:val="0"/>
        <w:spacing w:before="0" w:after="0" w:line="360" w:lineRule="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8.5.3风险应急预案</w:t>
      </w:r>
    </w:p>
    <w:p w14:paraId="3EE71248">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项目建成后建设单位应组织编制突发环境事件应急预案，并备案。</w:t>
      </w:r>
    </w:p>
    <w:p w14:paraId="24E92657">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（1）应急计划对象</w:t>
      </w:r>
    </w:p>
    <w:p w14:paraId="4D97BB82">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危险目标：生产厂房、污水处理车间。</w:t>
      </w:r>
    </w:p>
    <w:p w14:paraId="45C94210">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（2）应急组织机构、人员</w:t>
      </w:r>
    </w:p>
    <w:p w14:paraId="0444852A">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由厂区负责人担任事故应急救援领导小组组长，组织预案的制定和修订；指挥事故现场救援工作；向上级汇报和向公众通报事故情况。组织事故调查，总结救援工作经验教训。</w:t>
      </w:r>
    </w:p>
    <w:p w14:paraId="1D381C29">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副组长协助组长负责应急救援行动的具体工作和日常的安全教育工作。</w:t>
      </w:r>
    </w:p>
    <w:p w14:paraId="4CE043A1">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（3）应急救援保障</w:t>
      </w:r>
    </w:p>
    <w:p w14:paraId="6AE60754">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微软雅黑" w:cs="Times New Roman"/>
          <w:color w:val="auto"/>
          <w:kern w:val="0"/>
          <w:sz w:val="24"/>
          <w:szCs w:val="21"/>
          <w:highlight w:val="none"/>
          <w:u w:val="none" w:color="auto"/>
        </w:rPr>
        <w:t>①</w:t>
      </w:r>
      <w:r>
        <w:rPr>
          <w:rFonts w:hint="default" w:ascii="Times New Roman" w:hAnsi="Times New Roman" w:eastAsia="宋体" w:cs="Times New Roman"/>
          <w:color w:val="auto"/>
          <w:kern w:val="0"/>
          <w:sz w:val="24"/>
          <w:szCs w:val="21"/>
          <w:highlight w:val="none"/>
          <w:u w:val="none" w:color="auto"/>
        </w:rPr>
        <w:t>内部保障：厂区按安全和消防要求配备有充足的石灰和灭火器材干粉灭火器、劳动防护用品。</w:t>
      </w:r>
    </w:p>
    <w:p w14:paraId="4E36AF07">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微软雅黑" w:cs="Times New Roman"/>
          <w:color w:val="auto"/>
          <w:kern w:val="0"/>
          <w:sz w:val="24"/>
          <w:szCs w:val="21"/>
          <w:highlight w:val="none"/>
          <w:u w:val="none" w:color="auto"/>
        </w:rPr>
        <w:t>②</w:t>
      </w:r>
      <w:r>
        <w:rPr>
          <w:rFonts w:hint="default" w:ascii="Times New Roman" w:hAnsi="Times New Roman" w:eastAsia="宋体" w:cs="Times New Roman"/>
          <w:color w:val="auto"/>
          <w:kern w:val="0"/>
          <w:sz w:val="24"/>
          <w:szCs w:val="21"/>
          <w:highlight w:val="none"/>
          <w:u w:val="none" w:color="auto"/>
        </w:rPr>
        <w:t>外部保障：急救医疗电话：120</w:t>
      </w:r>
    </w:p>
    <w:p w14:paraId="69E56375">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报警电话：110    火警电话：119</w:t>
      </w:r>
    </w:p>
    <w:p w14:paraId="1F5CCADC">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（4）监测、抢险、救援、控制措施</w:t>
      </w:r>
    </w:p>
    <w:p w14:paraId="74079D0D">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根据事故类型，启动公司抢险、救援、控制措施。协助市、区政府疾病控制中心、环保局按照专业规程进行现场危害因素监测工作。</w:t>
      </w:r>
    </w:p>
    <w:p w14:paraId="71D41AE7">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（5）人员紧急撤离、疏散，应急剂量控制、撤离组织计划</w:t>
      </w:r>
    </w:p>
    <w:p w14:paraId="0387F353">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发生危险事故后立即设立警戒区域，所有非救援人员疏散到安全区域。由专人警戒危险区域出入口，除消防、应急处理人员及车辆外禁止进入事故现场。进入警戒区域人员必须穿戴防护用品。若事故恶化，所有抢救人员要紧急疏散，撤离到安全区域。</w:t>
      </w:r>
    </w:p>
    <w:p w14:paraId="6193142E">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（6）报警、汇报、上报机制</w:t>
      </w:r>
    </w:p>
    <w:p w14:paraId="17B80DD7">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微软雅黑" w:cs="Times New Roman"/>
          <w:color w:val="auto"/>
          <w:kern w:val="0"/>
          <w:sz w:val="24"/>
          <w:szCs w:val="21"/>
          <w:highlight w:val="none"/>
          <w:u w:val="none" w:color="auto"/>
        </w:rPr>
        <w:t>①</w:t>
      </w:r>
      <w:r>
        <w:rPr>
          <w:rFonts w:hint="default" w:ascii="Times New Roman" w:hAnsi="Times New Roman" w:eastAsia="宋体" w:cs="Times New Roman"/>
          <w:color w:val="auto"/>
          <w:kern w:val="0"/>
          <w:sz w:val="24"/>
          <w:szCs w:val="21"/>
          <w:highlight w:val="none"/>
          <w:u w:val="none" w:color="auto"/>
        </w:rPr>
        <w:t>事发车间的现场人员应马上向生产调度室报警，并启动车间应急预案，展开自救。</w:t>
      </w:r>
    </w:p>
    <w:p w14:paraId="05078D0F">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微软雅黑" w:cs="Times New Roman"/>
          <w:color w:val="auto"/>
          <w:kern w:val="0"/>
          <w:sz w:val="24"/>
          <w:szCs w:val="21"/>
          <w:highlight w:val="none"/>
          <w:u w:val="none" w:color="auto"/>
        </w:rPr>
        <w:t>②</w:t>
      </w:r>
      <w:r>
        <w:rPr>
          <w:rFonts w:hint="default" w:ascii="Times New Roman" w:hAnsi="Times New Roman" w:eastAsia="宋体" w:cs="Times New Roman"/>
          <w:color w:val="auto"/>
          <w:kern w:val="0"/>
          <w:sz w:val="24"/>
          <w:szCs w:val="21"/>
          <w:highlight w:val="none"/>
          <w:u w:val="none" w:color="auto"/>
        </w:rPr>
        <w:t>调度在接到报警后视事故情况报告指挥部，指挥部判断是否启动本预案，如需启动本预案及时通知各专业队火速赶赴现场。</w:t>
      </w:r>
    </w:p>
    <w:p w14:paraId="1342DC2F">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微软雅黑" w:cs="Times New Roman"/>
          <w:color w:val="auto"/>
          <w:kern w:val="0"/>
          <w:sz w:val="24"/>
          <w:szCs w:val="21"/>
          <w:highlight w:val="none"/>
          <w:u w:val="none" w:color="auto"/>
        </w:rPr>
        <w:t>③</w:t>
      </w:r>
      <w:r>
        <w:rPr>
          <w:rFonts w:hint="default" w:ascii="Times New Roman" w:hAnsi="Times New Roman" w:eastAsia="宋体" w:cs="Times New Roman"/>
          <w:color w:val="auto"/>
          <w:kern w:val="0"/>
          <w:sz w:val="24"/>
          <w:szCs w:val="21"/>
          <w:highlight w:val="none"/>
          <w:u w:val="none" w:color="auto"/>
        </w:rPr>
        <w:t>指挥部根据事故类别迅速向政府安监、环保、疾病控制中心等相关部门报告。</w:t>
      </w:r>
    </w:p>
    <w:p w14:paraId="46D3DEDD">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微软雅黑" w:cs="Times New Roman"/>
          <w:color w:val="auto"/>
          <w:kern w:val="0"/>
          <w:sz w:val="24"/>
          <w:szCs w:val="21"/>
          <w:highlight w:val="none"/>
          <w:u w:val="none" w:color="auto"/>
        </w:rPr>
        <w:t>④</w:t>
      </w:r>
      <w:r>
        <w:rPr>
          <w:rFonts w:hint="default" w:ascii="Times New Roman" w:hAnsi="Times New Roman" w:eastAsia="宋体" w:cs="Times New Roman"/>
          <w:color w:val="auto"/>
          <w:kern w:val="0"/>
          <w:sz w:val="24"/>
          <w:szCs w:val="21"/>
          <w:highlight w:val="none"/>
          <w:u w:val="none" w:color="auto"/>
        </w:rPr>
        <w:t>报警和通讯一般应包括以下内容：事故发生时间、地点、化学品种类、数量、事故类型（火灾、爆炸、泄漏）、周边情况等；必要的补充：事故可能持续的时间；健康危害与必要的医疗措施；对方应注意的措施，如疏散；联系人姓名和电话等。</w:t>
      </w:r>
    </w:p>
    <w:p w14:paraId="6D91780C">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（7）环境事故应急救援关闭程序与恢复措施。</w:t>
      </w:r>
    </w:p>
    <w:p w14:paraId="78C468B4">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事故发生后立即控制事故区域的边界和人员车辆进出。</w:t>
      </w:r>
    </w:p>
    <w:p w14:paraId="6E7D2BE0">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事故处理完毕，要撤离警示标志。将周围环境恢复原状。对事故造成的危害进行监测、处置，直至符合国家环境保护标准。</w:t>
      </w:r>
    </w:p>
    <w:p w14:paraId="2648C4EC">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（8）应急培训计划</w:t>
      </w:r>
    </w:p>
    <w:p w14:paraId="3D8ABF1A">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定期进行应急技能培训，包括设备运用、险情排除、自救和互救等方法。每年进行演练不少于1次，包括演习后评估以及评估后的岗位培训。</w:t>
      </w:r>
    </w:p>
    <w:p w14:paraId="6F34AB80">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（9）公众教育和信息</w:t>
      </w:r>
    </w:p>
    <w:p w14:paraId="5D6F7BF3">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指挥部负责向周边公众进行安全教育。事故发生后指挥部负责事故信息的发布工作。建立完备的环境信息平台，定期向社会公布企业环境信息，接受公众监督。</w:t>
      </w:r>
    </w:p>
    <w:p w14:paraId="57C6AD47">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（10）应急预案联动机制</w:t>
      </w:r>
    </w:p>
    <w:p w14:paraId="2BB80B24">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企业突发环境事件应急预案应与当地政府和相关部门以及周边企业、园区的应急预案相衔接，加强区域应急物资调配管理，构建区域环境风险联控机制。</w:t>
      </w:r>
    </w:p>
    <w:p w14:paraId="618EECED">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（11）应急预案备案</w:t>
      </w:r>
    </w:p>
    <w:p w14:paraId="2BC4215B">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在项目建成投产后，应及时组织编制突发环境事件应急预案并备案，运营期间应定期开展应急演练。</w:t>
      </w:r>
    </w:p>
    <w:p w14:paraId="7B3FEF5B">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93" w:name="_Toc3368"/>
      <w:bookmarkStart w:id="94" w:name="_Toc54079929"/>
      <w:r>
        <w:rPr>
          <w:rFonts w:hint="default" w:ascii="Times New Roman" w:hAnsi="Times New Roman" w:eastAsia="宋体" w:cs="Times New Roman"/>
          <w:color w:val="auto"/>
          <w:sz w:val="28"/>
          <w:szCs w:val="28"/>
          <w:highlight w:val="none"/>
          <w:u w:val="none" w:color="auto"/>
          <w:lang w:val="en-US" w:eastAsia="zh-CN"/>
        </w:rPr>
        <w:t>8.6风险评价结论</w:t>
      </w:r>
      <w:bookmarkEnd w:id="93"/>
      <w:bookmarkEnd w:id="94"/>
    </w:p>
    <w:p w14:paraId="48ED8D6C">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本项目涉及风险物质主要为氯化镍、硫酸镍、盐酸、硫酸、硝酸等，其主要危险危害特性为具有腐蚀性、毒性等，对照《建设项目环境风险评价技术导则》（HJ169-2018）附录B中对应临界量，项目所涉及的危险物质的Q值属“10≤Q &lt;100”，本项目环境风险潜势分级为Ⅲ级。</w:t>
      </w:r>
    </w:p>
    <w:p w14:paraId="55D69346">
      <w:pPr>
        <w:ind w:firstLine="480" w:firstLineChars="200"/>
        <w:rPr>
          <w:rFonts w:hint="default" w:ascii="Times New Roman" w:hAnsi="Times New Roman" w:eastAsia="宋体" w:cs="Times New Roman"/>
          <w:color w:val="auto"/>
          <w:kern w:val="0"/>
          <w:sz w:val="24"/>
          <w:szCs w:val="21"/>
          <w:highlight w:val="none"/>
          <w:u w:val="none" w:color="auto"/>
        </w:rPr>
      </w:pPr>
      <w:r>
        <w:rPr>
          <w:rFonts w:hint="default" w:ascii="Times New Roman" w:hAnsi="Times New Roman" w:eastAsia="宋体" w:cs="Times New Roman"/>
          <w:color w:val="auto"/>
          <w:kern w:val="0"/>
          <w:sz w:val="24"/>
          <w:szCs w:val="21"/>
          <w:highlight w:val="none"/>
          <w:u w:val="none" w:color="auto"/>
        </w:rPr>
        <w:t>项目需严格落实安全评价报告、环评报告提出的安全防范措施、风险防范措施，项目建成投产后，建设单位需及时组织编制突发环境事件应急预案并备案，定期进行应急演练，可最大限度地降低环境风险，项目发生泄漏事故后，企业能及时处理，把事故对环境的影响降到最小程度。</w:t>
      </w:r>
    </w:p>
    <w:p w14:paraId="7F2077FF">
      <w:pPr>
        <w:ind w:firstLine="480" w:firstLineChars="200"/>
        <w:rPr>
          <w:rFonts w:hint="default" w:ascii="Times New Roman" w:hAnsi="Times New Roman" w:eastAsia="宋体" w:cs="Times New Roman"/>
          <w:color w:val="auto"/>
          <w:kern w:val="0"/>
          <w:sz w:val="24"/>
          <w:szCs w:val="21"/>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auto"/>
          <w:kern w:val="0"/>
          <w:sz w:val="24"/>
          <w:szCs w:val="21"/>
          <w:highlight w:val="none"/>
          <w:u w:val="none" w:color="auto"/>
        </w:rPr>
        <w:t>总体而言，通过加强风险防范措施，本项目风险程度为可以接受水平。</w:t>
      </w:r>
    </w:p>
    <w:p w14:paraId="4E05D7D9">
      <w:pPr>
        <w:pStyle w:val="2"/>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32"/>
          <w:szCs w:val="32"/>
          <w:highlight w:val="none"/>
          <w:u w:val="none" w:color="auto"/>
          <w:lang w:val="en-US" w:eastAsia="zh-CN"/>
        </w:rPr>
      </w:pPr>
      <w:bookmarkStart w:id="95" w:name="_Toc54079930"/>
      <w:bookmarkStart w:id="96" w:name="_Toc480366187"/>
      <w:bookmarkStart w:id="97" w:name="_Toc32376"/>
      <w:r>
        <w:rPr>
          <w:rFonts w:hint="default" w:ascii="Times New Roman" w:hAnsi="Times New Roman" w:eastAsia="宋体" w:cs="Times New Roman"/>
          <w:color w:val="auto"/>
          <w:sz w:val="32"/>
          <w:szCs w:val="32"/>
          <w:highlight w:val="none"/>
          <w:u w:val="none" w:color="auto"/>
          <w:lang w:val="en-US" w:eastAsia="zh-CN"/>
        </w:rPr>
        <w:t>9环境保护措施及其可行性论证</w:t>
      </w:r>
      <w:bookmarkEnd w:id="95"/>
      <w:bookmarkEnd w:id="96"/>
      <w:bookmarkEnd w:id="97"/>
    </w:p>
    <w:p w14:paraId="214CFC04">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highlight w:val="none"/>
          <w:u w:val="none" w:color="auto"/>
          <w:lang w:val="en-US" w:eastAsia="zh-CN"/>
        </w:rPr>
      </w:pPr>
      <w:bookmarkStart w:id="98" w:name="_Toc54079931"/>
      <w:bookmarkStart w:id="99" w:name="_Toc472064687"/>
      <w:bookmarkStart w:id="100" w:name="_Toc29013"/>
      <w:r>
        <w:rPr>
          <w:rFonts w:hint="default" w:ascii="Times New Roman" w:hAnsi="Times New Roman" w:eastAsia="宋体" w:cs="Times New Roman"/>
          <w:color w:val="auto"/>
          <w:sz w:val="28"/>
          <w:szCs w:val="28"/>
          <w:highlight w:val="none"/>
          <w:u w:val="none" w:color="auto"/>
          <w:lang w:val="en-US" w:eastAsia="zh-CN"/>
        </w:rPr>
        <w:t>9.1施工期污染防治措施</w:t>
      </w:r>
      <w:bookmarkEnd w:id="98"/>
      <w:bookmarkEnd w:id="99"/>
      <w:bookmarkEnd w:id="100"/>
    </w:p>
    <w:p w14:paraId="1264F95C">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9.1.1大气污染防治措施</w:t>
      </w:r>
    </w:p>
    <w:p w14:paraId="176355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施工期扬尘主要来源于建筑材料的运输、装卸等过程，项目施工期大气的防治可采取如下措施：</w:t>
      </w:r>
    </w:p>
    <w:p w14:paraId="7DA20F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（1）施工场地及施工道路及时洒水抑尘，尤其是基础施工阶段及风速较大的天气应加大洒水频率。</w:t>
      </w:r>
    </w:p>
    <w:p w14:paraId="07F884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（2）施工场地料堆应进行遮盖，防止大量扬尘产生。</w:t>
      </w:r>
    </w:p>
    <w:p w14:paraId="2C1005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加强施工现场运输车辆管理，建筑材料运输应采取封闭运输方式，驶入工地的运输车辆必须车身整洁，装载车厢完好，装载货物堆码整齐，不得污染道路；限制车速，严禁超高、超载运输；必须有遮盖和防护措施，易撒露物质全部实行密闭运输，有效抑制粉尘和二次扬尘污染。</w:t>
      </w:r>
    </w:p>
    <w:p w14:paraId="67A579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（4）专人负责施工场地和车辆的清洁打扫，保证施工场地和道路的清洁。</w:t>
      </w:r>
    </w:p>
    <w:p w14:paraId="317100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（5）必须使用污染物排放符合国家标准的施工机械、运输车辆，加强施工机械、车辆的维护保养，使车辆处于良好的工作状态。</w:t>
      </w:r>
    </w:p>
    <w:p w14:paraId="392D9147">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9.1.2水污染防治措施</w:t>
      </w:r>
    </w:p>
    <w:p w14:paraId="434FAD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施工期产生的废水主要是生产废水及施工人员</w:t>
      </w:r>
      <w:r>
        <w:rPr>
          <w:rFonts w:hint="default" w:ascii="Times New Roman" w:hAnsi="Times New Roman" w:eastAsia="宋体" w:cs="Times New Roman"/>
          <w:color w:val="auto"/>
          <w:sz w:val="24"/>
          <w:szCs w:val="24"/>
          <w:highlight w:val="none"/>
          <w:u w:val="none" w:color="auto"/>
          <w:lang w:eastAsia="zh-CN"/>
        </w:rPr>
        <w:t>生活污水</w:t>
      </w:r>
      <w:r>
        <w:rPr>
          <w:rFonts w:hint="default" w:ascii="Times New Roman" w:hAnsi="Times New Roman" w:eastAsia="宋体" w:cs="Times New Roman"/>
          <w:color w:val="auto"/>
          <w:sz w:val="24"/>
          <w:szCs w:val="24"/>
          <w:highlight w:val="none"/>
          <w:u w:val="none" w:color="auto"/>
        </w:rPr>
        <w:t>，施工期水污染防治措施如下：</w:t>
      </w:r>
    </w:p>
    <w:p w14:paraId="1DAFA2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（1）设置施工废水沉淀池，施工废水经沉淀后用于施工场地洒水，不外排；施工人员</w:t>
      </w:r>
      <w:r>
        <w:rPr>
          <w:rFonts w:hint="default" w:ascii="Times New Roman" w:hAnsi="Times New Roman" w:eastAsia="宋体" w:cs="Times New Roman"/>
          <w:color w:val="auto"/>
          <w:sz w:val="24"/>
          <w:szCs w:val="24"/>
          <w:highlight w:val="none"/>
          <w:u w:val="none" w:color="auto"/>
          <w:lang w:eastAsia="zh-CN"/>
        </w:rPr>
        <w:t>生活污水</w:t>
      </w:r>
      <w:r>
        <w:rPr>
          <w:rFonts w:hint="default" w:ascii="Times New Roman" w:hAnsi="Times New Roman" w:eastAsia="宋体" w:cs="Times New Roman"/>
          <w:color w:val="auto"/>
          <w:sz w:val="24"/>
          <w:szCs w:val="24"/>
          <w:highlight w:val="none"/>
          <w:u w:val="none" w:color="auto"/>
        </w:rPr>
        <w:t>经沉淀后排至市政污水管网。</w:t>
      </w:r>
    </w:p>
    <w:p w14:paraId="2106C5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（2）施工时应避免在未经硬化的场地冲洗车辆，禁止在施工场地倾倒施工机械废油。</w:t>
      </w:r>
    </w:p>
    <w:p w14:paraId="1BBA4951">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9.1.3噪声防治措施</w:t>
      </w:r>
    </w:p>
    <w:p w14:paraId="409CC4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施工期采取以下措施降低施工噪声对周围环境的影响：</w:t>
      </w:r>
    </w:p>
    <w:p w14:paraId="223977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（1）严格执行《建设工程施工场地文明施工及环境管理暂行规定》。</w:t>
      </w:r>
    </w:p>
    <w:p w14:paraId="0BD524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（2）按规定限时段施工，禁止夜间施工。</w:t>
      </w:r>
    </w:p>
    <w:p w14:paraId="774693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（3）尽量采用低噪声设备施工，对机械设备定期保养、严格按规范操作，尽量降低机械设备噪声源强值。</w:t>
      </w:r>
    </w:p>
    <w:p w14:paraId="7215B7F7">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9.1.4固体废物处置措施</w:t>
      </w:r>
    </w:p>
    <w:p w14:paraId="59198B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项目施工期产生的固体废物主要包括建筑垃圾和生活垃圾，施工单位应加强管理，分类进行全面收集、合理处置。其防治措施如下：</w:t>
      </w:r>
    </w:p>
    <w:p w14:paraId="5EF091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（1）施工过程产生的建筑垃圾应按城市建筑垃圾管理的相关规定，将建筑垃圾运往制定地点倾倒、堆放，不得随意扔撒或堆放，减少环境污染。</w:t>
      </w:r>
    </w:p>
    <w:p w14:paraId="3E581C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（2）制定建筑垃圾处置运输计划，避免在行车高峰时运输。</w:t>
      </w:r>
    </w:p>
    <w:p w14:paraId="44EBC5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（3）车辆运输建筑垃圾和废弃物时，必须遮盖，不得沿途撒漏；运输车辆必须在规定的时间内，按指定路线行驶。</w:t>
      </w:r>
    </w:p>
    <w:p w14:paraId="53FCA1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（4）建筑工人生活垃圾定点堆放，再委托环卫部门清运处置。</w:t>
      </w:r>
    </w:p>
    <w:p w14:paraId="247F6667">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9.1.5水土流失防治措施</w:t>
      </w:r>
    </w:p>
    <w:p w14:paraId="00D6F9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为有效防止施工期水土流失，建议采取以下防治措施：</w:t>
      </w:r>
    </w:p>
    <w:p w14:paraId="74378D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（1）控制施工作业时间，尽量避免暴雨季进行土石方开挖工作。</w:t>
      </w:r>
    </w:p>
    <w:p w14:paraId="5E05D1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（2）根据需要夯实裸露地面，尽量减缓雨水对泥土的冲刷和水土流失。</w:t>
      </w:r>
    </w:p>
    <w:p w14:paraId="0BCADD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（3）开挖土石方及时运到相应区域进行回填，回填后需及时夯实裸露地面。</w:t>
      </w:r>
    </w:p>
    <w:p w14:paraId="2C855C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（4）工程施工避开雨季，特别是一些易产生水土流失的工程行为尽量安排在旱季，同时应尽量缩短施工场地裸露时间，以减少施工期的水土流失。</w:t>
      </w:r>
    </w:p>
    <w:p w14:paraId="73FBE0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施工期对环境的影响是短期的、暂时的，随着施工期的结束而结束，上述处理措施是有效的，经过上述措施处理，施工期产生的各种污染物对环境和环境保护目标的影响较小。</w:t>
      </w:r>
    </w:p>
    <w:p w14:paraId="22D485CF">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highlight w:val="none"/>
          <w:u w:val="none" w:color="auto"/>
          <w:lang w:val="en-US" w:eastAsia="zh-CN"/>
        </w:rPr>
      </w:pPr>
      <w:bookmarkStart w:id="101" w:name="_Toc54079932"/>
      <w:bookmarkStart w:id="102" w:name="_Toc12420"/>
      <w:r>
        <w:rPr>
          <w:rFonts w:hint="default" w:ascii="Times New Roman" w:hAnsi="Times New Roman" w:eastAsia="宋体" w:cs="Times New Roman"/>
          <w:color w:val="auto"/>
          <w:sz w:val="28"/>
          <w:szCs w:val="28"/>
          <w:highlight w:val="none"/>
          <w:u w:val="none" w:color="auto"/>
          <w:lang w:val="en-US" w:eastAsia="zh-CN"/>
        </w:rPr>
        <w:t>9.2运营期污染防治措施及其可行性分析</w:t>
      </w:r>
      <w:bookmarkEnd w:id="101"/>
      <w:bookmarkEnd w:id="102"/>
    </w:p>
    <w:p w14:paraId="5D87BA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次评价要求各生产线配套的环保设施（废水治理设施、废气治理设施、风险防范设施、固废暂存设施等环保设施）需与各生产线的生产设施同步建设，同时投入运行使用，并在运营期间对重点环保设施（废水处理设施、废气处理设施、危废暂存设施等）开展安全风险评估和隐患排查治理。</w:t>
      </w:r>
    </w:p>
    <w:p w14:paraId="468E8AD4">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9.2.1大气污染防治措施及其可行性</w:t>
      </w:r>
    </w:p>
    <w:p w14:paraId="7E3135FA">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9.2.1.1废气治理方案</w:t>
      </w:r>
    </w:p>
    <w:p w14:paraId="21358D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本项目运营期废气主要污染物为氯化氢、硫酸雾、氮氧化物、</w:t>
      </w:r>
      <w:r>
        <w:rPr>
          <w:rFonts w:hint="default" w:ascii="Times New Roman" w:hAnsi="Times New Roman" w:eastAsia="宋体" w:cs="Times New Roman"/>
          <w:color w:val="auto"/>
          <w:sz w:val="24"/>
          <w:szCs w:val="21"/>
          <w:highlight w:val="none"/>
          <w:u w:val="none" w:color="auto"/>
          <w:lang w:val="en-GB" w:eastAsia="zh-CN"/>
        </w:rPr>
        <w:t>颗粒物、</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1"/>
          <w:highlight w:val="none"/>
          <w:u w:val="none" w:color="auto"/>
          <w:lang w:val="en-US" w:eastAsia="zh-CN"/>
        </w:rPr>
        <w:t>、</w:t>
      </w:r>
      <w:r>
        <w:rPr>
          <w:rFonts w:hint="default" w:ascii="Times New Roman" w:hAnsi="Times New Roman" w:eastAsia="宋体" w:cs="Times New Roman"/>
          <w:color w:val="auto"/>
          <w:sz w:val="24"/>
          <w:szCs w:val="21"/>
          <w:highlight w:val="none"/>
          <w:u w:val="none" w:color="auto"/>
          <w:lang w:val="en-GB"/>
        </w:rPr>
        <w:t>臭气浓度，其中氯化氢、硫酸雾</w:t>
      </w:r>
      <w:r>
        <w:rPr>
          <w:rFonts w:hint="default" w:ascii="Times New Roman" w:hAnsi="Times New Roman" w:eastAsia="宋体" w:cs="Times New Roman"/>
          <w:color w:val="auto"/>
          <w:sz w:val="24"/>
          <w:szCs w:val="21"/>
          <w:highlight w:val="none"/>
          <w:u w:val="none" w:color="auto"/>
          <w:lang w:val="en-GB" w:eastAsia="zh-CN"/>
        </w:rPr>
        <w:t>、氮氧化物</w:t>
      </w:r>
      <w:r>
        <w:rPr>
          <w:rFonts w:hint="default" w:ascii="Times New Roman" w:hAnsi="Times New Roman" w:eastAsia="宋体" w:cs="Times New Roman"/>
          <w:color w:val="auto"/>
          <w:sz w:val="24"/>
          <w:szCs w:val="21"/>
          <w:highlight w:val="none"/>
          <w:u w:val="none" w:color="auto"/>
          <w:lang w:val="en-GB"/>
        </w:rPr>
        <w:t>主要来源于各生产线预处理中的活化、</w:t>
      </w:r>
      <w:r>
        <w:rPr>
          <w:rFonts w:hint="default" w:ascii="Times New Roman" w:hAnsi="Times New Roman" w:eastAsia="宋体" w:cs="Times New Roman"/>
          <w:color w:val="auto"/>
          <w:sz w:val="24"/>
          <w:szCs w:val="21"/>
          <w:highlight w:val="none"/>
          <w:u w:val="none" w:color="auto"/>
          <w:lang w:val="en-GB" w:eastAsia="zh-CN"/>
        </w:rPr>
        <w:t>出光</w:t>
      </w:r>
      <w:r>
        <w:rPr>
          <w:rFonts w:hint="default" w:ascii="Times New Roman" w:hAnsi="Times New Roman" w:eastAsia="宋体" w:cs="Times New Roman"/>
          <w:color w:val="auto"/>
          <w:sz w:val="24"/>
          <w:szCs w:val="21"/>
          <w:highlight w:val="none"/>
          <w:u w:val="none" w:color="auto"/>
          <w:lang w:val="en-GB"/>
        </w:rPr>
        <w:t>等</w:t>
      </w:r>
      <w:r>
        <w:rPr>
          <w:rFonts w:hint="default" w:ascii="Times New Roman" w:hAnsi="Times New Roman" w:eastAsia="宋体" w:cs="Times New Roman"/>
          <w:color w:val="auto"/>
          <w:sz w:val="24"/>
          <w:szCs w:val="21"/>
          <w:highlight w:val="none"/>
          <w:u w:val="none" w:color="auto"/>
          <w:lang w:val="en-GB" w:eastAsia="zh-CN"/>
        </w:rPr>
        <w:t>工序以及退镀线退镀</w:t>
      </w:r>
      <w:r>
        <w:rPr>
          <w:rFonts w:hint="default" w:ascii="Times New Roman" w:hAnsi="Times New Roman" w:eastAsia="宋体" w:cs="Times New Roman"/>
          <w:color w:val="auto"/>
          <w:sz w:val="24"/>
          <w:szCs w:val="21"/>
          <w:highlight w:val="none"/>
          <w:u w:val="none" w:color="auto"/>
          <w:lang w:val="en-GB"/>
        </w:rPr>
        <w:t>，</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1"/>
          <w:highlight w:val="none"/>
          <w:u w:val="none" w:color="auto"/>
          <w:lang w:val="en-US" w:eastAsia="zh-CN"/>
        </w:rPr>
        <w:t>来源烧结超硬材料制品生产线的树脂压制及烧结工序，颗粒物来源于机加工</w:t>
      </w:r>
      <w:r>
        <w:rPr>
          <w:rFonts w:hint="eastAsia" w:ascii="Times New Roman" w:hAnsi="Times New Roman" w:eastAsia="宋体" w:cs="Times New Roman"/>
          <w:color w:val="auto"/>
          <w:sz w:val="24"/>
          <w:szCs w:val="21"/>
          <w:highlight w:val="none"/>
          <w:u w:val="none" w:color="auto"/>
          <w:lang w:val="en-US" w:eastAsia="zh-CN"/>
        </w:rPr>
        <w:t>工序</w:t>
      </w:r>
      <w:r>
        <w:rPr>
          <w:rFonts w:hint="default" w:ascii="Times New Roman" w:hAnsi="Times New Roman" w:eastAsia="宋体" w:cs="Times New Roman"/>
          <w:color w:val="auto"/>
          <w:sz w:val="24"/>
          <w:szCs w:val="21"/>
          <w:highlight w:val="none"/>
          <w:u w:val="none" w:color="auto"/>
          <w:lang w:val="en-US" w:eastAsia="zh-CN"/>
        </w:rPr>
        <w:t>，</w:t>
      </w:r>
      <w:r>
        <w:rPr>
          <w:rFonts w:hint="default" w:ascii="Times New Roman" w:hAnsi="Times New Roman" w:eastAsia="宋体" w:cs="Times New Roman"/>
          <w:color w:val="auto"/>
          <w:sz w:val="24"/>
          <w:szCs w:val="21"/>
          <w:highlight w:val="none"/>
          <w:u w:val="none" w:color="auto"/>
          <w:lang w:val="en-GB" w:eastAsia="zh-CN"/>
        </w:rPr>
        <w:t>臭气浓度</w:t>
      </w:r>
      <w:r>
        <w:rPr>
          <w:rFonts w:hint="default" w:ascii="Times New Roman" w:hAnsi="Times New Roman" w:eastAsia="宋体" w:cs="Times New Roman"/>
          <w:color w:val="auto"/>
          <w:sz w:val="24"/>
          <w:szCs w:val="21"/>
          <w:highlight w:val="none"/>
          <w:u w:val="none" w:color="auto"/>
          <w:lang w:val="en-GB"/>
        </w:rPr>
        <w:t>主要来源于</w:t>
      </w:r>
      <w:r>
        <w:rPr>
          <w:rFonts w:hint="default" w:ascii="Times New Roman" w:hAnsi="Times New Roman" w:eastAsia="宋体" w:cs="Times New Roman"/>
          <w:color w:val="auto"/>
          <w:sz w:val="24"/>
          <w:szCs w:val="21"/>
          <w:highlight w:val="none"/>
          <w:u w:val="none" w:color="auto"/>
          <w:lang w:val="en-GB" w:eastAsia="zh-CN"/>
        </w:rPr>
        <w:t>废水处理站及</w:t>
      </w:r>
      <w:r>
        <w:rPr>
          <w:rFonts w:hint="default" w:ascii="Times New Roman" w:hAnsi="Times New Roman" w:eastAsia="宋体" w:cs="Times New Roman"/>
          <w:color w:val="auto"/>
          <w:sz w:val="24"/>
          <w:szCs w:val="21"/>
          <w:highlight w:val="none"/>
          <w:u w:val="none" w:color="auto"/>
          <w:lang w:val="en-US" w:eastAsia="zh-CN"/>
        </w:rPr>
        <w:t>树脂压制及烧结工序</w:t>
      </w:r>
      <w:r>
        <w:rPr>
          <w:rFonts w:hint="default" w:ascii="Times New Roman" w:hAnsi="Times New Roman" w:eastAsia="宋体" w:cs="Times New Roman"/>
          <w:color w:val="auto"/>
          <w:sz w:val="24"/>
          <w:szCs w:val="21"/>
          <w:highlight w:val="none"/>
          <w:u w:val="none" w:color="auto"/>
          <w:lang w:val="en-GB"/>
        </w:rPr>
        <w:t>。</w:t>
      </w:r>
    </w:p>
    <w:p w14:paraId="242DCA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本项目运营期废气采取源头控制、末端治理措施。</w:t>
      </w:r>
    </w:p>
    <w:p w14:paraId="6841DF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（1）废气源头控制措施</w:t>
      </w:r>
    </w:p>
    <w:p w14:paraId="1ED0D9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针对酸洗槽、活化槽等工序，通过添加酸雾抑制剂抑制氯化氢及硫酸雾</w:t>
      </w:r>
      <w:r>
        <w:rPr>
          <w:rFonts w:hint="default" w:ascii="Times New Roman" w:hAnsi="Times New Roman" w:eastAsia="宋体" w:cs="Times New Roman"/>
          <w:color w:val="auto"/>
          <w:sz w:val="24"/>
          <w:szCs w:val="21"/>
          <w:highlight w:val="none"/>
          <w:u w:val="none" w:color="auto"/>
          <w:lang w:val="en-GB" w:eastAsia="zh-CN"/>
        </w:rPr>
        <w:t>等</w:t>
      </w:r>
      <w:r>
        <w:rPr>
          <w:rFonts w:hint="default" w:ascii="Times New Roman" w:hAnsi="Times New Roman" w:eastAsia="宋体" w:cs="Times New Roman"/>
          <w:color w:val="auto"/>
          <w:sz w:val="24"/>
          <w:szCs w:val="21"/>
          <w:highlight w:val="none"/>
          <w:u w:val="none" w:color="auto"/>
          <w:lang w:val="en-GB"/>
        </w:rPr>
        <w:t>的产生，从源头上控制废气的产生。</w:t>
      </w:r>
    </w:p>
    <w:p w14:paraId="2987F4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lang w:val="en-GB"/>
        </w:rPr>
      </w:pPr>
      <w:r>
        <w:rPr>
          <w:rFonts w:hint="default" w:ascii="Times New Roman" w:hAnsi="Times New Roman" w:eastAsia="宋体" w:cs="Times New Roman"/>
          <w:color w:val="auto"/>
          <w:sz w:val="24"/>
          <w:szCs w:val="21"/>
          <w:highlight w:val="none"/>
          <w:u w:val="none" w:color="auto"/>
          <w:lang w:val="en-GB"/>
        </w:rPr>
        <w:t>（</w:t>
      </w:r>
      <w:r>
        <w:rPr>
          <w:rFonts w:hint="default" w:ascii="Times New Roman" w:hAnsi="Times New Roman" w:eastAsia="宋体" w:cs="Times New Roman"/>
          <w:color w:val="auto"/>
          <w:sz w:val="24"/>
          <w:szCs w:val="21"/>
          <w:highlight w:val="none"/>
          <w:u w:val="single" w:color="auto"/>
          <w:lang w:val="en-GB"/>
        </w:rPr>
        <w:t>2）废气收集措施</w:t>
      </w:r>
    </w:p>
    <w:p w14:paraId="5C0B65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lang w:val="en-GB"/>
        </w:rPr>
      </w:pPr>
      <w:r>
        <w:rPr>
          <w:rFonts w:hint="default" w:ascii="Times New Roman" w:hAnsi="Times New Roman" w:eastAsia="宋体" w:cs="Times New Roman"/>
          <w:color w:val="auto"/>
          <w:sz w:val="24"/>
          <w:szCs w:val="21"/>
          <w:highlight w:val="none"/>
          <w:u w:val="single" w:color="auto"/>
          <w:lang w:val="en-GB"/>
        </w:rPr>
        <w:t>本项目</w:t>
      </w:r>
      <w:r>
        <w:rPr>
          <w:rFonts w:hint="eastAsia" w:ascii="Times New Roman" w:hAnsi="Times New Roman" w:eastAsia="宋体" w:cs="Times New Roman"/>
          <w:color w:val="auto"/>
          <w:sz w:val="24"/>
          <w:szCs w:val="21"/>
          <w:highlight w:val="none"/>
          <w:u w:val="single" w:color="auto"/>
          <w:lang w:val="en-GB" w:eastAsia="zh-CN"/>
        </w:rPr>
        <w:t>车间内各生产区域内的生产线进行了封闭负压收集，同时</w:t>
      </w:r>
      <w:r>
        <w:rPr>
          <w:rFonts w:hint="default" w:ascii="Times New Roman" w:hAnsi="Times New Roman" w:eastAsia="宋体" w:cs="Times New Roman"/>
          <w:color w:val="auto"/>
          <w:sz w:val="24"/>
          <w:szCs w:val="21"/>
          <w:highlight w:val="none"/>
          <w:u w:val="single" w:color="auto"/>
          <w:lang w:val="en-GB"/>
        </w:rPr>
        <w:t>各镀槽、酸洗槽、活化槽等</w:t>
      </w:r>
      <w:r>
        <w:rPr>
          <w:rFonts w:hint="eastAsia" w:ascii="Times New Roman" w:hAnsi="Times New Roman" w:eastAsia="宋体" w:cs="Times New Roman"/>
          <w:color w:val="auto"/>
          <w:sz w:val="24"/>
          <w:szCs w:val="21"/>
          <w:highlight w:val="none"/>
          <w:u w:val="single" w:color="auto"/>
          <w:lang w:val="en-GB" w:eastAsia="zh-CN"/>
        </w:rPr>
        <w:t>产污槽</w:t>
      </w:r>
      <w:r>
        <w:rPr>
          <w:rFonts w:hint="default" w:ascii="Times New Roman" w:hAnsi="Times New Roman" w:eastAsia="宋体" w:cs="Times New Roman"/>
          <w:color w:val="auto"/>
          <w:sz w:val="24"/>
          <w:szCs w:val="21"/>
          <w:highlight w:val="none"/>
          <w:u w:val="single" w:color="auto"/>
          <w:lang w:val="en-GB"/>
        </w:rPr>
        <w:t>采取槽边</w:t>
      </w:r>
      <w:r>
        <w:rPr>
          <w:rFonts w:hint="default" w:ascii="Times New Roman" w:hAnsi="Times New Roman" w:eastAsia="宋体" w:cs="Times New Roman"/>
          <w:color w:val="auto"/>
          <w:sz w:val="24"/>
          <w:szCs w:val="21"/>
          <w:highlight w:val="none"/>
          <w:u w:val="single" w:color="auto"/>
          <w:lang w:val="en-GB" w:eastAsia="zh-CN"/>
        </w:rPr>
        <w:t>或者槽顶</w:t>
      </w:r>
      <w:r>
        <w:rPr>
          <w:rFonts w:hint="default" w:ascii="Times New Roman" w:hAnsi="Times New Roman" w:eastAsia="宋体" w:cs="Times New Roman"/>
          <w:color w:val="auto"/>
          <w:sz w:val="24"/>
          <w:szCs w:val="21"/>
          <w:highlight w:val="none"/>
          <w:u w:val="single" w:color="auto"/>
          <w:lang w:val="en-GB"/>
        </w:rPr>
        <w:t>抽风</w:t>
      </w:r>
      <w:r>
        <w:rPr>
          <w:rFonts w:hint="default" w:ascii="Times New Roman" w:hAnsi="Times New Roman" w:eastAsia="宋体" w:cs="Times New Roman"/>
          <w:bCs/>
          <w:color w:val="auto"/>
          <w:sz w:val="24"/>
          <w:szCs w:val="24"/>
          <w:highlight w:val="none"/>
          <w:u w:val="single" w:color="auto"/>
        </w:rPr>
        <w:t>，</w:t>
      </w:r>
      <w:r>
        <w:rPr>
          <w:rFonts w:hint="default" w:ascii="Times New Roman" w:hAnsi="Times New Roman" w:eastAsia="宋体" w:cs="Times New Roman"/>
          <w:bCs/>
          <w:color w:val="auto"/>
          <w:sz w:val="24"/>
          <w:szCs w:val="24"/>
          <w:highlight w:val="none"/>
          <w:u w:val="single" w:color="auto"/>
          <w:lang w:eastAsia="zh-CN"/>
        </w:rPr>
        <w:t>该方式</w:t>
      </w:r>
      <w:r>
        <w:rPr>
          <w:rFonts w:hint="default" w:ascii="Times New Roman" w:hAnsi="Times New Roman" w:eastAsia="宋体" w:cs="Times New Roman"/>
          <w:color w:val="auto"/>
          <w:sz w:val="24"/>
          <w:szCs w:val="21"/>
          <w:highlight w:val="none"/>
          <w:u w:val="single" w:color="auto"/>
          <w:lang w:val="en-GB"/>
        </w:rPr>
        <w:t>具有较高的废气收集效率，</w:t>
      </w:r>
      <w:r>
        <w:rPr>
          <w:rFonts w:hint="default" w:ascii="Times New Roman" w:hAnsi="Times New Roman" w:eastAsia="宋体" w:cs="Times New Roman"/>
          <w:color w:val="auto"/>
          <w:sz w:val="24"/>
          <w:szCs w:val="21"/>
          <w:highlight w:val="none"/>
          <w:u w:val="single" w:color="auto"/>
          <w:lang w:val="en-GB" w:eastAsia="zh-CN"/>
        </w:rPr>
        <w:t>参考同类型项目</w:t>
      </w:r>
      <w:r>
        <w:rPr>
          <w:rFonts w:hint="default" w:ascii="Times New Roman" w:hAnsi="Times New Roman" w:eastAsia="宋体" w:cs="Times New Roman"/>
          <w:color w:val="auto"/>
          <w:sz w:val="24"/>
          <w:szCs w:val="21"/>
          <w:highlight w:val="none"/>
          <w:u w:val="single" w:color="auto"/>
          <w:lang w:val="en-GB"/>
        </w:rPr>
        <w:t>废气收集效率可达95%以上</w:t>
      </w:r>
      <w:r>
        <w:rPr>
          <w:rFonts w:hint="default" w:ascii="Times New Roman" w:hAnsi="Times New Roman" w:eastAsia="宋体" w:cs="Times New Roman"/>
          <w:color w:val="auto"/>
          <w:sz w:val="24"/>
          <w:szCs w:val="21"/>
          <w:highlight w:val="none"/>
          <w:u w:val="single" w:color="auto"/>
          <w:lang w:val="en-GB" w:eastAsia="zh-CN"/>
        </w:rPr>
        <w:t>；树脂压制烧结</w:t>
      </w:r>
      <w:r>
        <w:rPr>
          <w:rFonts w:hint="eastAsia" w:ascii="Times New Roman" w:hAnsi="Times New Roman" w:eastAsia="宋体" w:cs="Times New Roman"/>
          <w:color w:val="auto"/>
          <w:sz w:val="24"/>
          <w:szCs w:val="21"/>
          <w:highlight w:val="none"/>
          <w:u w:val="single" w:color="auto"/>
          <w:lang w:val="en-GB" w:eastAsia="zh-CN"/>
        </w:rPr>
        <w:t>工序</w:t>
      </w:r>
      <w:r>
        <w:rPr>
          <w:rFonts w:hint="default" w:ascii="Times New Roman" w:hAnsi="Times New Roman" w:eastAsia="宋体" w:cs="Times New Roman"/>
          <w:color w:val="auto"/>
          <w:sz w:val="24"/>
          <w:szCs w:val="21"/>
          <w:highlight w:val="none"/>
          <w:u w:val="single" w:color="auto"/>
          <w:lang w:val="en-GB" w:eastAsia="zh-CN"/>
        </w:rPr>
        <w:t>采用集气罩收集，废气收集效率约</w:t>
      </w:r>
      <w:r>
        <w:rPr>
          <w:rFonts w:hint="default" w:ascii="Times New Roman" w:hAnsi="Times New Roman" w:eastAsia="宋体" w:cs="Times New Roman"/>
          <w:color w:val="auto"/>
          <w:sz w:val="24"/>
          <w:szCs w:val="21"/>
          <w:highlight w:val="none"/>
          <w:u w:val="single" w:color="auto"/>
          <w:lang w:val="en-US" w:eastAsia="zh-CN"/>
        </w:rPr>
        <w:t>90%</w:t>
      </w:r>
      <w:r>
        <w:rPr>
          <w:rFonts w:hint="default" w:ascii="Times New Roman" w:hAnsi="Times New Roman" w:eastAsia="宋体" w:cs="Times New Roman"/>
          <w:color w:val="auto"/>
          <w:sz w:val="24"/>
          <w:szCs w:val="21"/>
          <w:highlight w:val="none"/>
          <w:u w:val="single" w:color="auto"/>
          <w:lang w:val="en-GB"/>
        </w:rPr>
        <w:t>。</w:t>
      </w:r>
    </w:p>
    <w:p w14:paraId="3B57B1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lang w:val="en-GB"/>
        </w:rPr>
      </w:pPr>
      <w:r>
        <w:rPr>
          <w:rFonts w:hint="default" w:ascii="Times New Roman" w:hAnsi="Times New Roman" w:eastAsia="宋体" w:cs="Times New Roman"/>
          <w:color w:val="auto"/>
          <w:sz w:val="24"/>
          <w:szCs w:val="21"/>
          <w:highlight w:val="none"/>
          <w:u w:val="single" w:color="auto"/>
          <w:lang w:val="en-GB"/>
        </w:rPr>
        <w:t>（3）废气净化措施</w:t>
      </w:r>
    </w:p>
    <w:p w14:paraId="00201B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lang w:val="en-US" w:eastAsia="zh-CN"/>
        </w:rPr>
      </w:pPr>
      <w:r>
        <w:rPr>
          <w:rFonts w:hint="default" w:ascii="Times New Roman" w:hAnsi="Times New Roman" w:eastAsia="宋体" w:cs="Times New Roman"/>
          <w:color w:val="auto"/>
          <w:sz w:val="24"/>
          <w:szCs w:val="21"/>
          <w:highlight w:val="none"/>
          <w:u w:val="single" w:color="auto"/>
          <w:lang w:val="en-GB"/>
        </w:rPr>
        <w:t>本项目前处理过程中会产生硫酸雾、氯化氢</w:t>
      </w:r>
      <w:r>
        <w:rPr>
          <w:rFonts w:hint="default" w:ascii="Times New Roman" w:hAnsi="Times New Roman" w:eastAsia="宋体" w:cs="Times New Roman"/>
          <w:color w:val="auto"/>
          <w:sz w:val="24"/>
          <w:szCs w:val="21"/>
          <w:highlight w:val="none"/>
          <w:u w:val="single" w:color="auto"/>
          <w:lang w:val="en-GB" w:eastAsia="zh-CN"/>
        </w:rPr>
        <w:t>、氮氧化物采用三级喷淋塔吸收法吸收，根据</w:t>
      </w:r>
      <w:r>
        <w:rPr>
          <w:rFonts w:hint="default" w:ascii="Times New Roman" w:hAnsi="Times New Roman" w:eastAsia="宋体" w:cs="Times New Roman"/>
          <w:color w:val="auto"/>
          <w:sz w:val="24"/>
          <w:szCs w:val="21"/>
          <w:highlight w:val="none"/>
          <w:u w:val="single" w:color="auto"/>
          <w:lang w:val="en-GB"/>
        </w:rPr>
        <w:t>《污染源源强核算技术指南电镀》（HJ984-2018）附录F</w:t>
      </w:r>
      <w:r>
        <w:rPr>
          <w:rFonts w:hint="default" w:ascii="Times New Roman" w:hAnsi="Times New Roman" w:eastAsia="宋体" w:cs="Times New Roman"/>
          <w:color w:val="auto"/>
          <w:sz w:val="24"/>
          <w:szCs w:val="21"/>
          <w:highlight w:val="none"/>
          <w:u w:val="single" w:color="auto"/>
          <w:lang w:val="en-GB" w:eastAsia="zh-CN"/>
        </w:rPr>
        <w:t>：氯化氢的去除效率可达到</w:t>
      </w:r>
      <w:r>
        <w:rPr>
          <w:rFonts w:hint="default" w:ascii="Times New Roman" w:hAnsi="Times New Roman" w:eastAsia="宋体" w:cs="Times New Roman"/>
          <w:color w:val="auto"/>
          <w:sz w:val="24"/>
          <w:szCs w:val="21"/>
          <w:highlight w:val="none"/>
          <w:u w:val="single" w:color="auto"/>
          <w:lang w:val="en-US" w:eastAsia="zh-CN"/>
        </w:rPr>
        <w:t>95%以上，硫酸雾</w:t>
      </w:r>
      <w:r>
        <w:rPr>
          <w:rFonts w:hint="default" w:ascii="Times New Roman" w:hAnsi="Times New Roman" w:eastAsia="宋体" w:cs="Times New Roman"/>
          <w:color w:val="auto"/>
          <w:sz w:val="24"/>
          <w:szCs w:val="21"/>
          <w:highlight w:val="none"/>
          <w:u w:val="single" w:color="auto"/>
          <w:lang w:val="en-GB"/>
        </w:rPr>
        <w:t>去除效率可达90%以上</w:t>
      </w:r>
      <w:r>
        <w:rPr>
          <w:rFonts w:hint="default" w:ascii="Times New Roman" w:hAnsi="Times New Roman" w:eastAsia="宋体" w:cs="Times New Roman"/>
          <w:color w:val="auto"/>
          <w:sz w:val="24"/>
          <w:szCs w:val="21"/>
          <w:highlight w:val="none"/>
          <w:u w:val="single" w:color="auto"/>
          <w:lang w:val="en-GB" w:eastAsia="zh-CN"/>
        </w:rPr>
        <w:t>，氮氧化物</w:t>
      </w:r>
      <w:r>
        <w:rPr>
          <w:rFonts w:hint="default" w:ascii="Times New Roman" w:hAnsi="Times New Roman" w:eastAsia="宋体" w:cs="Times New Roman"/>
          <w:color w:val="auto"/>
          <w:sz w:val="24"/>
          <w:szCs w:val="21"/>
          <w:highlight w:val="none"/>
          <w:u w:val="single" w:color="auto"/>
          <w:lang w:val="en-GB"/>
        </w:rPr>
        <w:t>去除效率可达</w:t>
      </w:r>
      <w:r>
        <w:rPr>
          <w:rFonts w:hint="default" w:ascii="Times New Roman" w:hAnsi="Times New Roman" w:eastAsia="宋体" w:cs="Times New Roman"/>
          <w:color w:val="auto"/>
          <w:sz w:val="24"/>
          <w:szCs w:val="21"/>
          <w:highlight w:val="none"/>
          <w:u w:val="single" w:color="auto"/>
          <w:lang w:val="en-US" w:eastAsia="zh-CN"/>
        </w:rPr>
        <w:t>85</w:t>
      </w:r>
      <w:r>
        <w:rPr>
          <w:rFonts w:hint="default" w:ascii="Times New Roman" w:hAnsi="Times New Roman" w:eastAsia="宋体" w:cs="Times New Roman"/>
          <w:color w:val="auto"/>
          <w:sz w:val="24"/>
          <w:szCs w:val="21"/>
          <w:highlight w:val="none"/>
          <w:u w:val="single" w:color="auto"/>
          <w:lang w:val="en-GB"/>
        </w:rPr>
        <w:t>%以上</w:t>
      </w:r>
      <w:r>
        <w:rPr>
          <w:rFonts w:hint="default" w:ascii="Times New Roman" w:hAnsi="Times New Roman" w:eastAsia="宋体" w:cs="Times New Roman"/>
          <w:color w:val="auto"/>
          <w:sz w:val="24"/>
          <w:szCs w:val="21"/>
          <w:highlight w:val="none"/>
          <w:u w:val="single" w:color="auto"/>
          <w:lang w:val="en-GB" w:eastAsia="zh-CN"/>
        </w:rPr>
        <w:t>，本项目采用三级喷淋塔吸收，则氯化氢的去除效率可达到</w:t>
      </w:r>
      <w:r>
        <w:rPr>
          <w:rFonts w:hint="default" w:ascii="Times New Roman" w:hAnsi="Times New Roman" w:eastAsia="宋体" w:cs="Times New Roman"/>
          <w:color w:val="auto"/>
          <w:sz w:val="24"/>
          <w:szCs w:val="21"/>
          <w:highlight w:val="none"/>
          <w:u w:val="single" w:color="auto"/>
          <w:lang w:val="en-US" w:eastAsia="zh-CN"/>
        </w:rPr>
        <w:t>99.5%以上，硫酸雾</w:t>
      </w:r>
      <w:r>
        <w:rPr>
          <w:rFonts w:hint="default" w:ascii="Times New Roman" w:hAnsi="Times New Roman" w:eastAsia="宋体" w:cs="Times New Roman"/>
          <w:color w:val="auto"/>
          <w:sz w:val="24"/>
          <w:szCs w:val="21"/>
          <w:highlight w:val="none"/>
          <w:u w:val="single" w:color="auto"/>
          <w:lang w:val="en-GB"/>
        </w:rPr>
        <w:t>去除效率可达</w:t>
      </w:r>
      <w:r>
        <w:rPr>
          <w:rFonts w:hint="default" w:ascii="Times New Roman" w:hAnsi="Times New Roman" w:eastAsia="宋体" w:cs="Times New Roman"/>
          <w:color w:val="auto"/>
          <w:sz w:val="24"/>
          <w:szCs w:val="21"/>
          <w:highlight w:val="none"/>
          <w:u w:val="single" w:color="auto"/>
          <w:lang w:val="en-US" w:eastAsia="zh-CN"/>
        </w:rPr>
        <w:t>99</w:t>
      </w:r>
      <w:r>
        <w:rPr>
          <w:rFonts w:hint="default" w:ascii="Times New Roman" w:hAnsi="Times New Roman" w:eastAsia="宋体" w:cs="Times New Roman"/>
          <w:color w:val="auto"/>
          <w:sz w:val="24"/>
          <w:szCs w:val="21"/>
          <w:highlight w:val="none"/>
          <w:u w:val="single" w:color="auto"/>
          <w:lang w:val="en-GB"/>
        </w:rPr>
        <w:t>%以上</w:t>
      </w:r>
      <w:r>
        <w:rPr>
          <w:rFonts w:hint="default" w:ascii="Times New Roman" w:hAnsi="Times New Roman" w:eastAsia="宋体" w:cs="Times New Roman"/>
          <w:color w:val="auto"/>
          <w:sz w:val="24"/>
          <w:szCs w:val="21"/>
          <w:highlight w:val="none"/>
          <w:u w:val="single" w:color="auto"/>
          <w:lang w:val="en-GB" w:eastAsia="zh-CN"/>
        </w:rPr>
        <w:t>，氮氧化物</w:t>
      </w:r>
      <w:r>
        <w:rPr>
          <w:rFonts w:hint="default" w:ascii="Times New Roman" w:hAnsi="Times New Roman" w:eastAsia="宋体" w:cs="Times New Roman"/>
          <w:color w:val="auto"/>
          <w:sz w:val="24"/>
          <w:szCs w:val="21"/>
          <w:highlight w:val="none"/>
          <w:u w:val="single" w:color="auto"/>
          <w:lang w:val="en-GB"/>
        </w:rPr>
        <w:t>去除效率可达</w:t>
      </w:r>
      <w:r>
        <w:rPr>
          <w:rFonts w:hint="default" w:ascii="Times New Roman" w:hAnsi="Times New Roman" w:eastAsia="宋体" w:cs="Times New Roman"/>
          <w:color w:val="auto"/>
          <w:sz w:val="24"/>
          <w:szCs w:val="21"/>
          <w:highlight w:val="none"/>
          <w:u w:val="single" w:color="auto"/>
          <w:lang w:val="en-US" w:eastAsia="zh-CN"/>
        </w:rPr>
        <w:t>95</w:t>
      </w:r>
      <w:r>
        <w:rPr>
          <w:rFonts w:hint="default" w:ascii="Times New Roman" w:hAnsi="Times New Roman" w:eastAsia="宋体" w:cs="Times New Roman"/>
          <w:color w:val="auto"/>
          <w:sz w:val="24"/>
          <w:szCs w:val="21"/>
          <w:highlight w:val="none"/>
          <w:u w:val="single" w:color="auto"/>
          <w:lang w:val="en-GB"/>
        </w:rPr>
        <w:t>%以上</w:t>
      </w:r>
      <w:r>
        <w:rPr>
          <w:rFonts w:hint="default" w:ascii="Times New Roman" w:hAnsi="Times New Roman" w:eastAsia="宋体" w:cs="Times New Roman"/>
          <w:color w:val="auto"/>
          <w:sz w:val="24"/>
          <w:szCs w:val="21"/>
          <w:highlight w:val="none"/>
          <w:u w:val="single" w:color="auto"/>
          <w:lang w:val="en-GB" w:eastAsia="zh-CN"/>
        </w:rPr>
        <w:t>；</w:t>
      </w:r>
      <w:r>
        <w:rPr>
          <w:rFonts w:hint="default" w:ascii="Times New Roman" w:hAnsi="Times New Roman" w:eastAsia="宋体" w:cs="Times New Roman"/>
          <w:color w:val="auto"/>
          <w:sz w:val="24"/>
          <w:szCs w:val="24"/>
          <w:highlight w:val="none"/>
          <w:u w:val="single" w:color="auto"/>
          <w:vertAlign w:val="baseline"/>
          <w:lang w:eastAsia="zh-CN"/>
        </w:rPr>
        <w:t>非甲烷总烃</w:t>
      </w:r>
      <w:r>
        <w:rPr>
          <w:rFonts w:hint="default" w:ascii="Times New Roman" w:hAnsi="Times New Roman" w:eastAsia="宋体" w:cs="Times New Roman"/>
          <w:color w:val="auto"/>
          <w:sz w:val="24"/>
          <w:szCs w:val="21"/>
          <w:highlight w:val="none"/>
          <w:u w:val="single" w:color="auto"/>
          <w:lang w:val="en-US" w:eastAsia="zh-CN"/>
        </w:rPr>
        <w:t>采用冷却塔＋干湿过滤器＋活性炭去除，去除效率可达到60%以上。</w:t>
      </w:r>
    </w:p>
    <w:p w14:paraId="6D6F1026">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9.2.1.2废气处理措施及其可行性分析</w:t>
      </w:r>
    </w:p>
    <w:p w14:paraId="59C72B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w:t>
      </w:r>
      <w:r>
        <w:rPr>
          <w:rFonts w:hint="default" w:ascii="Times New Roman" w:hAnsi="Times New Roman" w:eastAsia="宋体" w:cs="Times New Roman"/>
          <w:color w:val="auto"/>
          <w:sz w:val="24"/>
          <w:szCs w:val="21"/>
          <w:highlight w:val="none"/>
          <w:u w:val="none" w:color="auto"/>
          <w:lang w:val="en-US" w:eastAsia="zh-CN"/>
        </w:rPr>
        <w:t>1</w:t>
      </w:r>
      <w:r>
        <w:rPr>
          <w:rFonts w:hint="default" w:ascii="Times New Roman" w:hAnsi="Times New Roman" w:eastAsia="宋体" w:cs="Times New Roman"/>
          <w:color w:val="auto"/>
          <w:sz w:val="24"/>
          <w:szCs w:val="21"/>
          <w:highlight w:val="none"/>
          <w:u w:val="none" w:color="auto"/>
          <w:lang w:val="en-GB"/>
        </w:rPr>
        <w:t>）酸性废气防治措施</w:t>
      </w:r>
    </w:p>
    <w:p w14:paraId="567F71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本项目酸性废气主要包括氯化氢、硫酸雾、氮氧化物。</w:t>
      </w:r>
    </w:p>
    <w:p w14:paraId="137A9D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lang w:val="en-GB"/>
        </w:rPr>
      </w:pPr>
      <w:r>
        <w:rPr>
          <w:rFonts w:hint="default" w:ascii="Times New Roman" w:hAnsi="Times New Roman" w:eastAsia="宋体" w:cs="Times New Roman"/>
          <w:color w:val="auto"/>
          <w:sz w:val="24"/>
          <w:szCs w:val="21"/>
          <w:highlight w:val="none"/>
          <w:u w:val="single" w:color="auto"/>
          <w:lang w:val="en-GB"/>
        </w:rPr>
        <w:t>①处理措施</w:t>
      </w:r>
    </w:p>
    <w:p w14:paraId="1861C0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lang w:val="en-GB"/>
        </w:rPr>
      </w:pPr>
      <w:r>
        <w:rPr>
          <w:rFonts w:hint="default" w:ascii="Times New Roman" w:hAnsi="Times New Roman" w:eastAsia="宋体" w:cs="Times New Roman"/>
          <w:color w:val="auto"/>
          <w:sz w:val="24"/>
          <w:szCs w:val="21"/>
          <w:highlight w:val="none"/>
          <w:u w:val="single" w:color="auto"/>
          <w:lang w:val="en-GB"/>
        </w:rPr>
        <w:t>本项目</w:t>
      </w:r>
      <w:r>
        <w:rPr>
          <w:rFonts w:hint="eastAsia" w:ascii="Times New Roman" w:hAnsi="Times New Roman" w:eastAsia="宋体" w:cs="Times New Roman"/>
          <w:color w:val="auto"/>
          <w:sz w:val="24"/>
          <w:szCs w:val="21"/>
          <w:highlight w:val="none"/>
          <w:u w:val="single" w:color="auto"/>
          <w:lang w:val="en-GB" w:eastAsia="zh-CN"/>
        </w:rPr>
        <w:t>车间内各生产区域内的生产线进行了封闭负压收集，同时</w:t>
      </w:r>
      <w:r>
        <w:rPr>
          <w:rFonts w:hint="default" w:ascii="Times New Roman" w:hAnsi="Times New Roman" w:eastAsia="宋体" w:cs="Times New Roman"/>
          <w:color w:val="auto"/>
          <w:sz w:val="24"/>
          <w:szCs w:val="21"/>
          <w:highlight w:val="none"/>
          <w:u w:val="single" w:color="auto"/>
          <w:lang w:val="en-GB"/>
        </w:rPr>
        <w:t>各镀槽、酸洗槽、活化槽等</w:t>
      </w:r>
      <w:r>
        <w:rPr>
          <w:rFonts w:hint="eastAsia" w:ascii="Times New Roman" w:hAnsi="Times New Roman" w:eastAsia="宋体" w:cs="Times New Roman"/>
          <w:color w:val="auto"/>
          <w:sz w:val="24"/>
          <w:szCs w:val="21"/>
          <w:highlight w:val="none"/>
          <w:u w:val="single" w:color="auto"/>
          <w:lang w:val="en-GB" w:eastAsia="zh-CN"/>
        </w:rPr>
        <w:t>产污槽</w:t>
      </w:r>
      <w:r>
        <w:rPr>
          <w:rFonts w:hint="default" w:ascii="Times New Roman" w:hAnsi="Times New Roman" w:eastAsia="宋体" w:cs="Times New Roman"/>
          <w:color w:val="auto"/>
          <w:sz w:val="24"/>
          <w:szCs w:val="21"/>
          <w:highlight w:val="none"/>
          <w:u w:val="single" w:color="auto"/>
          <w:lang w:val="en-GB"/>
        </w:rPr>
        <w:t>采取槽边</w:t>
      </w:r>
      <w:r>
        <w:rPr>
          <w:rFonts w:hint="default" w:ascii="Times New Roman" w:hAnsi="Times New Roman" w:eastAsia="宋体" w:cs="Times New Roman"/>
          <w:color w:val="auto"/>
          <w:sz w:val="24"/>
          <w:szCs w:val="21"/>
          <w:highlight w:val="none"/>
          <w:u w:val="single" w:color="auto"/>
          <w:lang w:val="en-GB" w:eastAsia="zh-CN"/>
        </w:rPr>
        <w:t>或者槽顶</w:t>
      </w:r>
      <w:r>
        <w:rPr>
          <w:rFonts w:hint="default" w:ascii="Times New Roman" w:hAnsi="Times New Roman" w:eastAsia="宋体" w:cs="Times New Roman"/>
          <w:color w:val="auto"/>
          <w:sz w:val="24"/>
          <w:szCs w:val="21"/>
          <w:highlight w:val="none"/>
          <w:u w:val="single" w:color="auto"/>
          <w:lang w:val="en-GB"/>
        </w:rPr>
        <w:t>抽风，通过引风机引至“喷淋塔中和法”处理设施处理达标后通过25米高排气筒排放。处理工艺如下：</w:t>
      </w:r>
    </w:p>
    <w:p w14:paraId="3377C63A">
      <w:pPr>
        <w:spacing w:line="360" w:lineRule="auto"/>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cs="Times New Roman"/>
          <w:bCs/>
          <w:color w:val="auto"/>
          <w:kern w:val="0"/>
          <w:sz w:val="24"/>
          <w:highlight w:val="none"/>
          <w:u w:val="single" w:color="auto"/>
        </w:rPr>
        <w:object>
          <v:shape id="_x0000_i1043" o:spt="75" type="#_x0000_t75" style="height:48.2pt;width:439.9pt;" o:ole="t" filled="f" o:preferrelative="t" stroked="f" coordsize="21600,21600">
            <v:path/>
            <v:fill on="f" focussize="0,0"/>
            <v:stroke on="f"/>
            <v:imagedata r:id="rId66" o:title=""/>
            <o:lock v:ext="edit" aspectratio="t"/>
            <w10:wrap type="none"/>
            <w10:anchorlock/>
          </v:shape>
          <o:OLEObject Type="Embed" ProgID="Visio.Drawing.11" ShapeID="_x0000_i1043" DrawAspect="Content" ObjectID="_1468075743" r:id="rId65">
            <o:LockedField>false</o:LockedField>
          </o:OLEObject>
        </w:object>
      </w:r>
      <w:r>
        <w:rPr>
          <w:rFonts w:hint="default" w:ascii="Times New Roman" w:hAnsi="Times New Roman" w:eastAsia="宋体" w:cs="Times New Roman"/>
          <w:b/>
          <w:color w:val="auto"/>
          <w:sz w:val="21"/>
          <w:szCs w:val="18"/>
          <w:highlight w:val="none"/>
          <w:u w:val="single" w:color="auto"/>
        </w:rPr>
        <w:t>图</w:t>
      </w:r>
      <w:r>
        <w:rPr>
          <w:rFonts w:hint="default" w:ascii="Times New Roman" w:hAnsi="Times New Roman" w:eastAsia="宋体" w:cs="Times New Roman"/>
          <w:b/>
          <w:color w:val="auto"/>
          <w:sz w:val="21"/>
          <w:szCs w:val="18"/>
          <w:highlight w:val="none"/>
          <w:u w:val="single" w:color="auto"/>
          <w:lang w:val="en-US" w:eastAsia="zh-CN"/>
        </w:rPr>
        <w:t>9</w:t>
      </w:r>
      <w:r>
        <w:rPr>
          <w:rFonts w:hint="default" w:ascii="Times New Roman" w:hAnsi="Times New Roman" w:eastAsia="宋体" w:cs="Times New Roman"/>
          <w:b/>
          <w:color w:val="auto"/>
          <w:sz w:val="21"/>
          <w:szCs w:val="18"/>
          <w:highlight w:val="none"/>
          <w:u w:val="single" w:color="auto"/>
        </w:rPr>
        <w:t>.2-</w:t>
      </w:r>
      <w:r>
        <w:rPr>
          <w:rFonts w:hint="default" w:ascii="Times New Roman" w:hAnsi="Times New Roman" w:eastAsia="宋体" w:cs="Times New Roman"/>
          <w:b/>
          <w:color w:val="auto"/>
          <w:sz w:val="21"/>
          <w:szCs w:val="18"/>
          <w:highlight w:val="none"/>
          <w:u w:val="single" w:color="auto"/>
          <w:lang w:val="en-US" w:eastAsia="zh-CN"/>
        </w:rPr>
        <w:t>1</w:t>
      </w:r>
      <w:r>
        <w:rPr>
          <w:rFonts w:hint="default" w:ascii="Times New Roman" w:hAnsi="Times New Roman" w:eastAsia="宋体" w:cs="Times New Roman"/>
          <w:b/>
          <w:color w:val="auto"/>
          <w:sz w:val="21"/>
          <w:szCs w:val="18"/>
          <w:highlight w:val="none"/>
          <w:u w:val="single" w:color="auto"/>
        </w:rPr>
        <w:t xml:space="preserve"> 硫酸雾、氯化氢、氮氧化物废气处理工艺流程图</w:t>
      </w:r>
    </w:p>
    <w:p w14:paraId="009E6B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①处理工艺经济技术可行性分析</w:t>
      </w:r>
    </w:p>
    <w:p w14:paraId="5DEB3B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US" w:eastAsia="zh-CN"/>
        </w:rPr>
        <w:t>a</w:t>
      </w:r>
      <w:r>
        <w:rPr>
          <w:rFonts w:hint="default" w:ascii="Times New Roman" w:hAnsi="Times New Roman" w:eastAsia="宋体" w:cs="Times New Roman"/>
          <w:color w:val="auto"/>
          <w:sz w:val="24"/>
          <w:szCs w:val="21"/>
          <w:highlight w:val="none"/>
          <w:u w:val="none" w:color="auto"/>
          <w:lang w:val="en-GB"/>
        </w:rPr>
        <w:t>喷淋塔中合法</w:t>
      </w:r>
    </w:p>
    <w:p w14:paraId="5DCB7A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氯化氢、硫酸雾废气共用</w:t>
      </w:r>
      <w:r>
        <w:rPr>
          <w:rFonts w:hint="eastAsia" w:ascii="Times New Roman" w:hAnsi="Times New Roman" w:eastAsia="宋体" w:cs="Times New Roman"/>
          <w:color w:val="auto"/>
          <w:sz w:val="24"/>
          <w:szCs w:val="21"/>
          <w:highlight w:val="none"/>
          <w:u w:val="none" w:color="auto"/>
          <w:lang w:val="en-GB" w:eastAsia="zh-CN"/>
        </w:rPr>
        <w:t>三级</w:t>
      </w:r>
      <w:r>
        <w:rPr>
          <w:rFonts w:hint="default" w:ascii="Times New Roman" w:hAnsi="Times New Roman" w:eastAsia="宋体" w:cs="Times New Roman"/>
          <w:color w:val="auto"/>
          <w:sz w:val="24"/>
          <w:szCs w:val="21"/>
          <w:highlight w:val="none"/>
          <w:u w:val="none" w:color="auto"/>
          <w:lang w:val="en-GB"/>
        </w:rPr>
        <w:t>碱液喷淋净化塔，在喷淋塔中填充适当的填料，气体从下部进入，碱液从上向下喷淋，沿填料表面下降，加湿填料，气体沿填料的间隙上升，在填料表面气液接触，进行吸收。常用的填料有瓷质小环、鞍形和波纹填料。一般除了支撑板上前几层用整砌法外，均用乱堆法安放填料。</w:t>
      </w:r>
    </w:p>
    <w:p w14:paraId="4F3BF1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本项目采用波纹填料采用碱液作为喷淋吸收物质，一方面利用氯化氢、硫酸雾易溶于水进行物理吸收，另一方面利用碱液与氯化氢、硫酸雾发生反应，从而使废气得到快速去除。</w:t>
      </w:r>
    </w:p>
    <w:p w14:paraId="24B6B2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US" w:eastAsia="zh-CN"/>
        </w:rPr>
        <w:t>b</w:t>
      </w:r>
      <w:r>
        <w:rPr>
          <w:rFonts w:hint="default" w:ascii="Times New Roman" w:hAnsi="Times New Roman" w:eastAsia="宋体" w:cs="Times New Roman"/>
          <w:color w:val="auto"/>
          <w:sz w:val="24"/>
          <w:szCs w:val="21"/>
          <w:highlight w:val="none"/>
          <w:u w:val="none" w:color="auto"/>
          <w:lang w:val="en-GB"/>
        </w:rPr>
        <w:t>废气处理达标可行性分析</w:t>
      </w:r>
    </w:p>
    <w:p w14:paraId="4C799A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根据《污染源强核算技术指南电镀》（HJ984-2018）附录F所介绍，采用“喷淋塔中和法”处理设施处理硫酸雾的去除效率≥90%、氯化氢去除效率≥95%、氮氧化物的去除效率≥80%，</w:t>
      </w:r>
      <w:r>
        <w:rPr>
          <w:rFonts w:hint="default" w:ascii="Times New Roman" w:hAnsi="Times New Roman" w:eastAsia="宋体" w:cs="Times New Roman"/>
          <w:color w:val="auto"/>
          <w:sz w:val="24"/>
          <w:szCs w:val="21"/>
          <w:highlight w:val="none"/>
          <w:u w:val="single" w:color="auto"/>
          <w:lang w:val="en-GB" w:eastAsia="zh-CN"/>
        </w:rPr>
        <w:t>本项目采用三级喷淋塔吸收，设置六套三级喷淋塔，氯化氢的去除效率可达到</w:t>
      </w:r>
      <w:r>
        <w:rPr>
          <w:rFonts w:hint="default" w:ascii="Times New Roman" w:hAnsi="Times New Roman" w:eastAsia="宋体" w:cs="Times New Roman"/>
          <w:color w:val="auto"/>
          <w:sz w:val="24"/>
          <w:szCs w:val="21"/>
          <w:highlight w:val="none"/>
          <w:u w:val="single" w:color="auto"/>
          <w:lang w:val="en-US" w:eastAsia="zh-CN"/>
        </w:rPr>
        <w:t>99.5%以上，硫酸雾</w:t>
      </w:r>
      <w:r>
        <w:rPr>
          <w:rFonts w:hint="default" w:ascii="Times New Roman" w:hAnsi="Times New Roman" w:eastAsia="宋体" w:cs="Times New Roman"/>
          <w:color w:val="auto"/>
          <w:sz w:val="24"/>
          <w:szCs w:val="21"/>
          <w:highlight w:val="none"/>
          <w:u w:val="single" w:color="auto"/>
          <w:lang w:val="en-GB"/>
        </w:rPr>
        <w:t>去除效率可达</w:t>
      </w:r>
      <w:r>
        <w:rPr>
          <w:rFonts w:hint="default" w:ascii="Times New Roman" w:hAnsi="Times New Roman" w:eastAsia="宋体" w:cs="Times New Roman"/>
          <w:color w:val="auto"/>
          <w:sz w:val="24"/>
          <w:szCs w:val="21"/>
          <w:highlight w:val="none"/>
          <w:u w:val="single" w:color="auto"/>
          <w:lang w:val="en-US" w:eastAsia="zh-CN"/>
        </w:rPr>
        <w:t>99</w:t>
      </w:r>
      <w:r>
        <w:rPr>
          <w:rFonts w:hint="default" w:ascii="Times New Roman" w:hAnsi="Times New Roman" w:eastAsia="宋体" w:cs="Times New Roman"/>
          <w:color w:val="auto"/>
          <w:sz w:val="24"/>
          <w:szCs w:val="21"/>
          <w:highlight w:val="none"/>
          <w:u w:val="single" w:color="auto"/>
          <w:lang w:val="en-GB"/>
        </w:rPr>
        <w:t>%以上</w:t>
      </w:r>
      <w:r>
        <w:rPr>
          <w:rFonts w:hint="default" w:ascii="Times New Roman" w:hAnsi="Times New Roman" w:eastAsia="宋体" w:cs="Times New Roman"/>
          <w:color w:val="auto"/>
          <w:sz w:val="24"/>
          <w:szCs w:val="21"/>
          <w:highlight w:val="none"/>
          <w:u w:val="single" w:color="auto"/>
          <w:lang w:val="en-GB" w:eastAsia="zh-CN"/>
        </w:rPr>
        <w:t>，氮氧化物</w:t>
      </w:r>
      <w:r>
        <w:rPr>
          <w:rFonts w:hint="default" w:ascii="Times New Roman" w:hAnsi="Times New Roman" w:eastAsia="宋体" w:cs="Times New Roman"/>
          <w:color w:val="auto"/>
          <w:sz w:val="24"/>
          <w:szCs w:val="21"/>
          <w:highlight w:val="none"/>
          <w:u w:val="single" w:color="auto"/>
          <w:lang w:val="en-GB"/>
        </w:rPr>
        <w:t>去除效率可达</w:t>
      </w:r>
      <w:r>
        <w:rPr>
          <w:rFonts w:hint="default" w:ascii="Times New Roman" w:hAnsi="Times New Roman" w:eastAsia="宋体" w:cs="Times New Roman"/>
          <w:color w:val="auto"/>
          <w:sz w:val="24"/>
          <w:szCs w:val="21"/>
          <w:highlight w:val="none"/>
          <w:u w:val="single" w:color="auto"/>
          <w:lang w:val="en-US" w:eastAsia="zh-CN"/>
        </w:rPr>
        <w:t>95</w:t>
      </w:r>
      <w:r>
        <w:rPr>
          <w:rFonts w:hint="default" w:ascii="Times New Roman" w:hAnsi="Times New Roman" w:eastAsia="宋体" w:cs="Times New Roman"/>
          <w:color w:val="auto"/>
          <w:sz w:val="24"/>
          <w:szCs w:val="21"/>
          <w:highlight w:val="none"/>
          <w:u w:val="single" w:color="auto"/>
          <w:lang w:val="en-GB"/>
        </w:rPr>
        <w:t>%以上</w:t>
      </w:r>
      <w:r>
        <w:rPr>
          <w:rFonts w:hint="default" w:ascii="Times New Roman" w:hAnsi="Times New Roman" w:eastAsia="宋体" w:cs="Times New Roman"/>
          <w:color w:val="auto"/>
          <w:sz w:val="24"/>
          <w:szCs w:val="21"/>
          <w:highlight w:val="none"/>
          <w:u w:val="single" w:color="auto"/>
          <w:lang w:val="en-GB" w:eastAsia="zh-CN"/>
        </w:rPr>
        <w:t>；</w:t>
      </w:r>
      <w:r>
        <w:rPr>
          <w:rFonts w:hint="default" w:ascii="Times New Roman" w:hAnsi="Times New Roman" w:eastAsia="宋体" w:cs="Times New Roman"/>
          <w:color w:val="auto"/>
          <w:sz w:val="24"/>
          <w:szCs w:val="21"/>
          <w:highlight w:val="none"/>
          <w:u w:val="none" w:color="auto"/>
          <w:lang w:val="en-GB"/>
        </w:rPr>
        <w:t>。根据工程分析结果，氯化氢、硫酸雾、氮氧化物采用“</w:t>
      </w:r>
      <w:r>
        <w:rPr>
          <w:rFonts w:hint="default" w:ascii="Times New Roman" w:hAnsi="Times New Roman" w:eastAsia="宋体" w:cs="Times New Roman"/>
          <w:color w:val="auto"/>
          <w:sz w:val="24"/>
          <w:szCs w:val="21"/>
          <w:highlight w:val="none"/>
          <w:u w:val="none" w:color="auto"/>
          <w:lang w:val="en-GB" w:eastAsia="zh-CN"/>
        </w:rPr>
        <w:t>三级</w:t>
      </w:r>
      <w:r>
        <w:rPr>
          <w:rFonts w:hint="default" w:ascii="Times New Roman" w:hAnsi="Times New Roman" w:eastAsia="宋体" w:cs="Times New Roman"/>
          <w:color w:val="auto"/>
          <w:sz w:val="24"/>
          <w:szCs w:val="21"/>
          <w:highlight w:val="none"/>
          <w:u w:val="none" w:color="auto"/>
          <w:lang w:val="en-GB"/>
        </w:rPr>
        <w:t>喷淋塔中合法”工艺处理后可实现达标排放，工艺可行。因此，本项目综合废气采用“</w:t>
      </w:r>
      <w:r>
        <w:rPr>
          <w:rFonts w:hint="default" w:ascii="Times New Roman" w:hAnsi="Times New Roman" w:eastAsia="宋体" w:cs="Times New Roman"/>
          <w:color w:val="auto"/>
          <w:sz w:val="24"/>
          <w:szCs w:val="21"/>
          <w:highlight w:val="none"/>
          <w:u w:val="none" w:color="auto"/>
          <w:lang w:val="en-GB" w:eastAsia="zh-CN"/>
        </w:rPr>
        <w:t>三级</w:t>
      </w:r>
      <w:r>
        <w:rPr>
          <w:rFonts w:hint="default" w:ascii="Times New Roman" w:hAnsi="Times New Roman" w:eastAsia="宋体" w:cs="Times New Roman"/>
          <w:color w:val="auto"/>
          <w:sz w:val="24"/>
          <w:szCs w:val="21"/>
          <w:highlight w:val="none"/>
          <w:u w:val="none" w:color="auto"/>
          <w:lang w:val="en-GB"/>
        </w:rPr>
        <w:t>喷淋塔中和法”理设施处理在经济上是可行的。</w:t>
      </w:r>
    </w:p>
    <w:p w14:paraId="24D7EF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US" w:eastAsia="zh-CN"/>
        </w:rPr>
      </w:pPr>
      <w:r>
        <w:rPr>
          <w:rFonts w:hint="default" w:ascii="Times New Roman" w:hAnsi="Times New Roman" w:eastAsia="宋体" w:cs="Times New Roman"/>
          <w:color w:val="auto"/>
          <w:sz w:val="24"/>
          <w:szCs w:val="21"/>
          <w:highlight w:val="none"/>
          <w:u w:val="none" w:color="auto"/>
          <w:lang w:val="en-GB"/>
        </w:rPr>
        <w:t>（</w:t>
      </w:r>
      <w:r>
        <w:rPr>
          <w:rFonts w:hint="default" w:ascii="Times New Roman" w:hAnsi="Times New Roman" w:eastAsia="宋体" w:cs="Times New Roman"/>
          <w:color w:val="auto"/>
          <w:sz w:val="24"/>
          <w:szCs w:val="21"/>
          <w:highlight w:val="none"/>
          <w:u w:val="none" w:color="auto"/>
          <w:lang w:val="en-US" w:eastAsia="zh-CN"/>
        </w:rPr>
        <w:t>2</w:t>
      </w:r>
      <w:r>
        <w:rPr>
          <w:rFonts w:hint="default" w:ascii="Times New Roman" w:hAnsi="Times New Roman" w:eastAsia="宋体" w:cs="Times New Roman"/>
          <w:color w:val="auto"/>
          <w:sz w:val="24"/>
          <w:szCs w:val="21"/>
          <w:highlight w:val="none"/>
          <w:u w:val="none" w:color="auto"/>
          <w:lang w:val="en-GB"/>
        </w:rPr>
        <w:t>）</w:t>
      </w:r>
      <w:r>
        <w:rPr>
          <w:rFonts w:hint="default" w:ascii="Times New Roman" w:hAnsi="Times New Roman" w:eastAsia="宋体" w:cs="Times New Roman"/>
          <w:color w:val="auto"/>
          <w:sz w:val="24"/>
          <w:szCs w:val="21"/>
          <w:highlight w:val="none"/>
          <w:u w:val="none" w:color="auto"/>
          <w:lang w:val="en-GB" w:eastAsia="zh-CN"/>
        </w:rPr>
        <w:t>挥发性有机废气</w:t>
      </w:r>
    </w:p>
    <w:p w14:paraId="4BD4C6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目前，</w:t>
      </w:r>
      <w:r>
        <w:rPr>
          <w:rFonts w:hint="eastAsia" w:ascii="Times New Roman" w:hAnsi="Times New Roman" w:eastAsia="宋体" w:cs="Times New Roman"/>
          <w:color w:val="auto"/>
          <w:sz w:val="24"/>
          <w:szCs w:val="21"/>
          <w:highlight w:val="none"/>
          <w:u w:val="none" w:color="auto"/>
          <w:lang w:val="en-GB" w:eastAsia="zh-CN"/>
        </w:rPr>
        <w:t>低浓度</w:t>
      </w:r>
      <w:r>
        <w:rPr>
          <w:rFonts w:hint="default" w:ascii="Times New Roman" w:hAnsi="Times New Roman" w:eastAsia="宋体" w:cs="Times New Roman"/>
          <w:color w:val="auto"/>
          <w:sz w:val="24"/>
          <w:szCs w:val="21"/>
          <w:highlight w:val="none"/>
          <w:u w:val="none" w:color="auto"/>
          <w:lang w:val="en-GB"/>
        </w:rPr>
        <w:t>有机废气的处理的方式主要包括活性炭吸附、生物滤床及等离子法，其比选情况详见下表。</w:t>
      </w:r>
    </w:p>
    <w:p w14:paraId="2FD56F14">
      <w:pPr>
        <w:spacing w:line="360" w:lineRule="auto"/>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9</w:t>
      </w:r>
      <w:r>
        <w:rPr>
          <w:rFonts w:hint="default" w:ascii="Times New Roman" w:hAnsi="Times New Roman" w:eastAsia="宋体" w:cs="Times New Roman"/>
          <w:b/>
          <w:color w:val="auto"/>
          <w:sz w:val="21"/>
          <w:szCs w:val="18"/>
          <w:highlight w:val="none"/>
          <w:u w:val="none" w:color="auto"/>
        </w:rPr>
        <w:t>.2-有机废气废气处理工艺对比</w:t>
      </w:r>
    </w:p>
    <w:tbl>
      <w:tblPr>
        <w:tblStyle w:val="22"/>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478"/>
        <w:gridCol w:w="1559"/>
        <w:gridCol w:w="1984"/>
        <w:gridCol w:w="1418"/>
      </w:tblGrid>
      <w:tr w14:paraId="035C0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283C0D3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类别</w:t>
            </w:r>
          </w:p>
        </w:tc>
        <w:tc>
          <w:tcPr>
            <w:tcW w:w="1478" w:type="dxa"/>
            <w:shd w:val="clear" w:color="auto" w:fill="auto"/>
          </w:tcPr>
          <w:p w14:paraId="6FECCB3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方案一</w:t>
            </w:r>
          </w:p>
          <w:p w14:paraId="0F48888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活性炭吸附法</w:t>
            </w:r>
          </w:p>
        </w:tc>
        <w:tc>
          <w:tcPr>
            <w:tcW w:w="1559" w:type="dxa"/>
            <w:shd w:val="clear" w:color="auto" w:fill="auto"/>
            <w:vAlign w:val="center"/>
          </w:tcPr>
          <w:p w14:paraId="57E9C6F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方案二</w:t>
            </w:r>
          </w:p>
          <w:p w14:paraId="5448E4A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生物滤床法</w:t>
            </w:r>
          </w:p>
        </w:tc>
        <w:tc>
          <w:tcPr>
            <w:tcW w:w="1984" w:type="dxa"/>
            <w:shd w:val="clear" w:color="auto" w:fill="auto"/>
            <w:vAlign w:val="center"/>
          </w:tcPr>
          <w:p w14:paraId="500EF00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方案三</w:t>
            </w:r>
          </w:p>
          <w:p w14:paraId="704A6EB2">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等离子法</w:t>
            </w:r>
          </w:p>
        </w:tc>
        <w:tc>
          <w:tcPr>
            <w:tcW w:w="1418" w:type="dxa"/>
            <w:shd w:val="clear" w:color="auto" w:fill="auto"/>
            <w:vAlign w:val="center"/>
          </w:tcPr>
          <w:p w14:paraId="5E71B5F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对比结果</w:t>
            </w:r>
          </w:p>
        </w:tc>
      </w:tr>
      <w:tr w14:paraId="11182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68CCC2D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处理方式</w:t>
            </w:r>
          </w:p>
        </w:tc>
        <w:tc>
          <w:tcPr>
            <w:tcW w:w="1478" w:type="dxa"/>
            <w:shd w:val="clear" w:color="auto" w:fill="auto"/>
            <w:vAlign w:val="center"/>
          </w:tcPr>
          <w:p w14:paraId="48EDE43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吸附</w:t>
            </w:r>
          </w:p>
        </w:tc>
        <w:tc>
          <w:tcPr>
            <w:tcW w:w="1559" w:type="dxa"/>
            <w:shd w:val="clear" w:color="auto" w:fill="auto"/>
            <w:vAlign w:val="center"/>
          </w:tcPr>
          <w:p w14:paraId="6567423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生物降解</w:t>
            </w:r>
          </w:p>
        </w:tc>
        <w:tc>
          <w:tcPr>
            <w:tcW w:w="1984" w:type="dxa"/>
            <w:shd w:val="clear" w:color="auto" w:fill="auto"/>
          </w:tcPr>
          <w:p w14:paraId="1EE5D80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高压放电催化氧化</w:t>
            </w:r>
          </w:p>
        </w:tc>
        <w:tc>
          <w:tcPr>
            <w:tcW w:w="1418" w:type="dxa"/>
            <w:shd w:val="clear" w:color="auto" w:fill="auto"/>
            <w:vAlign w:val="center"/>
          </w:tcPr>
          <w:p w14:paraId="77F8360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3D7A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222D2A1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去除效果效率</w:t>
            </w:r>
          </w:p>
        </w:tc>
        <w:tc>
          <w:tcPr>
            <w:tcW w:w="1478" w:type="dxa"/>
            <w:shd w:val="clear" w:color="auto" w:fill="auto"/>
            <w:vAlign w:val="center"/>
          </w:tcPr>
          <w:p w14:paraId="6D027A6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85%</w:t>
            </w:r>
          </w:p>
        </w:tc>
        <w:tc>
          <w:tcPr>
            <w:tcW w:w="1559" w:type="dxa"/>
            <w:shd w:val="clear" w:color="auto" w:fill="auto"/>
            <w:vAlign w:val="center"/>
          </w:tcPr>
          <w:p w14:paraId="71F4445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w:t>
            </w:r>
          </w:p>
        </w:tc>
        <w:tc>
          <w:tcPr>
            <w:tcW w:w="1984" w:type="dxa"/>
            <w:shd w:val="clear" w:color="auto" w:fill="auto"/>
          </w:tcPr>
          <w:p w14:paraId="2A63BB1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w:t>
            </w:r>
          </w:p>
        </w:tc>
        <w:tc>
          <w:tcPr>
            <w:tcW w:w="1418" w:type="dxa"/>
            <w:shd w:val="clear" w:color="auto" w:fill="auto"/>
            <w:vAlign w:val="center"/>
          </w:tcPr>
          <w:p w14:paraId="5E899FC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方案二/三优</w:t>
            </w:r>
          </w:p>
        </w:tc>
      </w:tr>
      <w:tr w14:paraId="17146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28C7CFC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更换周期</w:t>
            </w:r>
          </w:p>
        </w:tc>
        <w:tc>
          <w:tcPr>
            <w:tcW w:w="1478" w:type="dxa"/>
            <w:shd w:val="clear" w:color="auto" w:fill="auto"/>
            <w:vAlign w:val="center"/>
          </w:tcPr>
          <w:p w14:paraId="2B61CC1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一个月</w:t>
            </w:r>
          </w:p>
        </w:tc>
        <w:tc>
          <w:tcPr>
            <w:tcW w:w="1559" w:type="dxa"/>
            <w:shd w:val="clear" w:color="auto" w:fill="auto"/>
            <w:vAlign w:val="center"/>
          </w:tcPr>
          <w:p w14:paraId="5A34B88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十年</w:t>
            </w:r>
          </w:p>
        </w:tc>
        <w:tc>
          <w:tcPr>
            <w:tcW w:w="1984" w:type="dxa"/>
            <w:shd w:val="clear" w:color="auto" w:fill="auto"/>
          </w:tcPr>
          <w:p w14:paraId="714C6D1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三年</w:t>
            </w:r>
          </w:p>
        </w:tc>
        <w:tc>
          <w:tcPr>
            <w:tcW w:w="1418" w:type="dxa"/>
            <w:shd w:val="clear" w:color="auto" w:fill="auto"/>
            <w:vAlign w:val="center"/>
          </w:tcPr>
          <w:p w14:paraId="1545896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方案一优</w:t>
            </w:r>
          </w:p>
        </w:tc>
      </w:tr>
      <w:tr w14:paraId="158C51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374E282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更换费用</w:t>
            </w:r>
          </w:p>
        </w:tc>
        <w:tc>
          <w:tcPr>
            <w:tcW w:w="1478" w:type="dxa"/>
            <w:shd w:val="clear" w:color="auto" w:fill="auto"/>
            <w:vAlign w:val="center"/>
          </w:tcPr>
          <w:p w14:paraId="13C031F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低</w:t>
            </w:r>
          </w:p>
        </w:tc>
        <w:tc>
          <w:tcPr>
            <w:tcW w:w="1559" w:type="dxa"/>
            <w:shd w:val="clear" w:color="auto" w:fill="auto"/>
            <w:vAlign w:val="center"/>
          </w:tcPr>
          <w:p w14:paraId="0DB7F97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w:t>
            </w:r>
          </w:p>
        </w:tc>
        <w:tc>
          <w:tcPr>
            <w:tcW w:w="1984" w:type="dxa"/>
            <w:shd w:val="clear" w:color="auto" w:fill="auto"/>
          </w:tcPr>
          <w:p w14:paraId="4108479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w:t>
            </w:r>
          </w:p>
        </w:tc>
        <w:tc>
          <w:tcPr>
            <w:tcW w:w="1418" w:type="dxa"/>
            <w:shd w:val="clear" w:color="auto" w:fill="auto"/>
            <w:vAlign w:val="center"/>
          </w:tcPr>
          <w:p w14:paraId="58EF386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方案一优</w:t>
            </w:r>
          </w:p>
        </w:tc>
      </w:tr>
      <w:tr w14:paraId="7F749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681A319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投资成本</w:t>
            </w:r>
          </w:p>
        </w:tc>
        <w:tc>
          <w:tcPr>
            <w:tcW w:w="1478" w:type="dxa"/>
            <w:shd w:val="clear" w:color="auto" w:fill="auto"/>
            <w:vAlign w:val="center"/>
          </w:tcPr>
          <w:p w14:paraId="2299B62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低</w:t>
            </w:r>
          </w:p>
        </w:tc>
        <w:tc>
          <w:tcPr>
            <w:tcW w:w="1559" w:type="dxa"/>
            <w:shd w:val="clear" w:color="auto" w:fill="auto"/>
            <w:vAlign w:val="center"/>
          </w:tcPr>
          <w:p w14:paraId="68C84CC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w:t>
            </w:r>
          </w:p>
        </w:tc>
        <w:tc>
          <w:tcPr>
            <w:tcW w:w="1984" w:type="dxa"/>
            <w:shd w:val="clear" w:color="auto" w:fill="auto"/>
          </w:tcPr>
          <w:p w14:paraId="29A9C350">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w:t>
            </w:r>
          </w:p>
        </w:tc>
        <w:tc>
          <w:tcPr>
            <w:tcW w:w="1418" w:type="dxa"/>
            <w:shd w:val="clear" w:color="auto" w:fill="auto"/>
            <w:vAlign w:val="center"/>
          </w:tcPr>
          <w:p w14:paraId="56245E3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方案一优</w:t>
            </w:r>
          </w:p>
        </w:tc>
      </w:tr>
      <w:tr w14:paraId="63645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217CFAF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运营成本</w:t>
            </w:r>
          </w:p>
        </w:tc>
        <w:tc>
          <w:tcPr>
            <w:tcW w:w="1478" w:type="dxa"/>
            <w:shd w:val="clear" w:color="auto" w:fill="auto"/>
            <w:vAlign w:val="center"/>
          </w:tcPr>
          <w:p w14:paraId="0341CE9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低</w:t>
            </w:r>
          </w:p>
        </w:tc>
        <w:tc>
          <w:tcPr>
            <w:tcW w:w="1559" w:type="dxa"/>
            <w:shd w:val="clear" w:color="auto" w:fill="auto"/>
            <w:vAlign w:val="center"/>
          </w:tcPr>
          <w:p w14:paraId="2E4FDAB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w:t>
            </w:r>
          </w:p>
        </w:tc>
        <w:tc>
          <w:tcPr>
            <w:tcW w:w="1984" w:type="dxa"/>
            <w:shd w:val="clear" w:color="auto" w:fill="auto"/>
          </w:tcPr>
          <w:p w14:paraId="5BF8F50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高</w:t>
            </w:r>
          </w:p>
        </w:tc>
        <w:tc>
          <w:tcPr>
            <w:tcW w:w="1418" w:type="dxa"/>
            <w:shd w:val="clear" w:color="auto" w:fill="auto"/>
            <w:vAlign w:val="center"/>
          </w:tcPr>
          <w:p w14:paraId="2926029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方案一优</w:t>
            </w:r>
          </w:p>
        </w:tc>
      </w:tr>
      <w:tr w14:paraId="5AB08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50FB1FF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设备维护成本</w:t>
            </w:r>
          </w:p>
        </w:tc>
        <w:tc>
          <w:tcPr>
            <w:tcW w:w="1478" w:type="dxa"/>
            <w:shd w:val="clear" w:color="auto" w:fill="auto"/>
            <w:vAlign w:val="center"/>
          </w:tcPr>
          <w:p w14:paraId="534670E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低</w:t>
            </w:r>
          </w:p>
        </w:tc>
        <w:tc>
          <w:tcPr>
            <w:tcW w:w="1559" w:type="dxa"/>
            <w:shd w:val="clear" w:color="auto" w:fill="auto"/>
            <w:vAlign w:val="center"/>
          </w:tcPr>
          <w:p w14:paraId="6967E16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w:t>
            </w:r>
          </w:p>
        </w:tc>
        <w:tc>
          <w:tcPr>
            <w:tcW w:w="1984" w:type="dxa"/>
            <w:shd w:val="clear" w:color="auto" w:fill="auto"/>
          </w:tcPr>
          <w:p w14:paraId="42F4CCF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高</w:t>
            </w:r>
          </w:p>
        </w:tc>
        <w:tc>
          <w:tcPr>
            <w:tcW w:w="1418" w:type="dxa"/>
            <w:shd w:val="clear" w:color="auto" w:fill="auto"/>
            <w:vAlign w:val="center"/>
          </w:tcPr>
          <w:p w14:paraId="2C17244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方案一优</w:t>
            </w:r>
          </w:p>
        </w:tc>
      </w:tr>
      <w:tr w14:paraId="438C5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17F5F68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操作管理难度</w:t>
            </w:r>
          </w:p>
        </w:tc>
        <w:tc>
          <w:tcPr>
            <w:tcW w:w="1478" w:type="dxa"/>
            <w:shd w:val="clear" w:color="auto" w:fill="auto"/>
            <w:vAlign w:val="center"/>
          </w:tcPr>
          <w:p w14:paraId="340964B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低</w:t>
            </w:r>
          </w:p>
        </w:tc>
        <w:tc>
          <w:tcPr>
            <w:tcW w:w="1559" w:type="dxa"/>
            <w:shd w:val="clear" w:color="auto" w:fill="auto"/>
            <w:vAlign w:val="center"/>
          </w:tcPr>
          <w:p w14:paraId="106172F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低</w:t>
            </w:r>
          </w:p>
        </w:tc>
        <w:tc>
          <w:tcPr>
            <w:tcW w:w="1984" w:type="dxa"/>
            <w:shd w:val="clear" w:color="auto" w:fill="auto"/>
          </w:tcPr>
          <w:p w14:paraId="66D0AE5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w:t>
            </w:r>
          </w:p>
        </w:tc>
        <w:tc>
          <w:tcPr>
            <w:tcW w:w="1418" w:type="dxa"/>
            <w:shd w:val="clear" w:color="auto" w:fill="auto"/>
            <w:vAlign w:val="center"/>
          </w:tcPr>
          <w:p w14:paraId="5DAC6C0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方案一优</w:t>
            </w:r>
          </w:p>
        </w:tc>
      </w:tr>
      <w:tr w14:paraId="47CFF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32C2375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是否造成二次污染</w:t>
            </w:r>
          </w:p>
        </w:tc>
        <w:tc>
          <w:tcPr>
            <w:tcW w:w="1478" w:type="dxa"/>
            <w:shd w:val="clear" w:color="auto" w:fill="auto"/>
            <w:vAlign w:val="center"/>
          </w:tcPr>
          <w:p w14:paraId="4EA255B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否</w:t>
            </w:r>
          </w:p>
        </w:tc>
        <w:tc>
          <w:tcPr>
            <w:tcW w:w="1559" w:type="dxa"/>
            <w:shd w:val="clear" w:color="auto" w:fill="auto"/>
            <w:vAlign w:val="center"/>
          </w:tcPr>
          <w:p w14:paraId="230F9E2F">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否</w:t>
            </w:r>
          </w:p>
        </w:tc>
        <w:tc>
          <w:tcPr>
            <w:tcW w:w="1984" w:type="dxa"/>
            <w:shd w:val="clear" w:color="auto" w:fill="auto"/>
          </w:tcPr>
          <w:p w14:paraId="5A0A00A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否</w:t>
            </w:r>
          </w:p>
        </w:tc>
        <w:tc>
          <w:tcPr>
            <w:tcW w:w="1418" w:type="dxa"/>
            <w:shd w:val="clear" w:color="auto" w:fill="auto"/>
            <w:vAlign w:val="center"/>
          </w:tcPr>
          <w:p w14:paraId="4707761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bl>
    <w:p w14:paraId="35B2B8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US" w:eastAsia="zh-CN"/>
        </w:rPr>
      </w:pPr>
      <w:r>
        <w:rPr>
          <w:rFonts w:hint="default" w:ascii="Times New Roman" w:hAnsi="Times New Roman" w:eastAsia="宋体" w:cs="Times New Roman"/>
          <w:color w:val="auto"/>
          <w:sz w:val="24"/>
          <w:szCs w:val="21"/>
          <w:highlight w:val="none"/>
          <w:u w:val="none" w:color="auto"/>
          <w:lang w:val="en-GB"/>
        </w:rPr>
        <w:t>根据上表综合考虑，</w:t>
      </w:r>
      <w:r>
        <w:rPr>
          <w:rFonts w:hint="default" w:ascii="Times New Roman" w:hAnsi="Times New Roman" w:eastAsia="宋体" w:cs="Times New Roman"/>
          <w:color w:val="auto"/>
          <w:sz w:val="24"/>
          <w:szCs w:val="21"/>
          <w:highlight w:val="none"/>
          <w:u w:val="none" w:color="auto"/>
          <w:lang w:val="en-GB" w:eastAsia="zh-CN"/>
        </w:rPr>
        <w:t>压制烧结</w:t>
      </w:r>
      <w:r>
        <w:rPr>
          <w:rFonts w:hint="default" w:ascii="Times New Roman" w:hAnsi="Times New Roman" w:eastAsia="宋体" w:cs="Times New Roman"/>
          <w:color w:val="auto"/>
          <w:sz w:val="24"/>
          <w:szCs w:val="21"/>
          <w:highlight w:val="none"/>
          <w:u w:val="none" w:color="auto"/>
          <w:lang w:val="en-GB"/>
        </w:rPr>
        <w:t>工序</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1"/>
          <w:highlight w:val="none"/>
          <w:u w:val="none" w:color="auto"/>
          <w:lang w:val="en-GB"/>
        </w:rPr>
        <w:t>产生量较小，采用活性炭吸附处理有机废气具有更高的可靠</w:t>
      </w:r>
      <w:r>
        <w:rPr>
          <w:rFonts w:hint="default" w:ascii="Times New Roman" w:hAnsi="Times New Roman" w:eastAsia="宋体" w:cs="Times New Roman"/>
          <w:color w:val="auto"/>
          <w:sz w:val="24"/>
          <w:szCs w:val="21"/>
          <w:highlight w:val="none"/>
          <w:u w:val="single" w:color="auto"/>
          <w:lang w:val="en-GB"/>
        </w:rPr>
        <w:t>性。</w:t>
      </w:r>
      <w:r>
        <w:rPr>
          <w:rFonts w:hint="eastAsia" w:ascii="Times New Roman" w:hAnsi="Times New Roman" w:eastAsia="宋体" w:cs="Times New Roman"/>
          <w:color w:val="auto"/>
          <w:sz w:val="24"/>
          <w:szCs w:val="21"/>
          <w:highlight w:val="none"/>
          <w:u w:val="single" w:color="auto"/>
          <w:lang w:val="en-GB" w:eastAsia="zh-CN"/>
        </w:rPr>
        <w:t>同时由于本项目产生的烧结废气温度较高（</w:t>
      </w:r>
      <w:r>
        <w:rPr>
          <w:rFonts w:hint="eastAsia" w:ascii="Times New Roman" w:hAnsi="Times New Roman" w:eastAsia="宋体" w:cs="Times New Roman"/>
          <w:color w:val="auto"/>
          <w:sz w:val="24"/>
          <w:szCs w:val="21"/>
          <w:highlight w:val="none"/>
          <w:u w:val="single" w:color="auto"/>
          <w:lang w:val="en-US" w:eastAsia="zh-CN"/>
        </w:rPr>
        <w:t>150℃</w:t>
      </w:r>
      <w:r>
        <w:rPr>
          <w:rFonts w:hint="eastAsia" w:ascii="Times New Roman" w:hAnsi="Times New Roman" w:eastAsia="宋体" w:cs="Times New Roman"/>
          <w:color w:val="auto"/>
          <w:sz w:val="24"/>
          <w:szCs w:val="21"/>
          <w:highlight w:val="none"/>
          <w:u w:val="single" w:color="auto"/>
          <w:lang w:val="en-GB" w:eastAsia="zh-CN"/>
        </w:rPr>
        <w:t>），活性炭吸附的最适温度为</w:t>
      </w:r>
      <w:r>
        <w:rPr>
          <w:rFonts w:hint="eastAsia" w:ascii="Times New Roman" w:hAnsi="Times New Roman" w:eastAsia="宋体" w:cs="Times New Roman"/>
          <w:color w:val="auto"/>
          <w:sz w:val="24"/>
          <w:szCs w:val="21"/>
          <w:highlight w:val="none"/>
          <w:u w:val="single" w:color="auto"/>
          <w:lang w:val="en-US" w:eastAsia="zh-CN"/>
        </w:rPr>
        <w:t>40℃，本项目拟在活性炭吸附装置前增加冷却塔降低烟气温度，同时为了保证烟气的湿度，在冷却塔后增加干湿分离器去除烟气中因冷却塔降温而携带的水分，然后再进入活性炭吸附装置，从而保证活性炭的吸附效率及使用时间。采用冷却塔＋干湿过滤器＋活性炭可以有效去除本项目的低浓度高温有机废气。</w:t>
      </w:r>
    </w:p>
    <w:p w14:paraId="55EB97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根据前述工程分</w:t>
      </w:r>
      <w:r>
        <w:rPr>
          <w:rFonts w:hint="default" w:ascii="Times New Roman" w:hAnsi="Times New Roman" w:eastAsia="宋体" w:cs="Times New Roman"/>
          <w:color w:val="auto"/>
          <w:sz w:val="24"/>
          <w:szCs w:val="24"/>
          <w:highlight w:val="none"/>
          <w:u w:val="none" w:color="auto"/>
          <w:lang w:val="en-GB"/>
        </w:rPr>
        <w:t>析，本项目产生的</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4"/>
          <w:highlight w:val="none"/>
          <w:u w:val="none" w:color="auto"/>
          <w:lang w:val="en-GB"/>
        </w:rPr>
        <w:t>经</w:t>
      </w:r>
      <w:r>
        <w:rPr>
          <w:rFonts w:hint="eastAsia" w:ascii="Times New Roman" w:hAnsi="Times New Roman" w:eastAsia="宋体" w:cs="Times New Roman"/>
          <w:color w:val="auto"/>
          <w:sz w:val="24"/>
          <w:szCs w:val="21"/>
          <w:highlight w:val="none"/>
          <w:u w:val="single" w:color="auto"/>
          <w:lang w:val="en-US" w:eastAsia="zh-CN"/>
        </w:rPr>
        <w:t>冷却塔＋干湿过滤器＋活性炭</w:t>
      </w:r>
      <w:r>
        <w:rPr>
          <w:rFonts w:hint="default" w:ascii="Times New Roman" w:hAnsi="Times New Roman" w:eastAsia="宋体" w:cs="Times New Roman"/>
          <w:color w:val="auto"/>
          <w:sz w:val="24"/>
          <w:szCs w:val="24"/>
          <w:highlight w:val="none"/>
          <w:u w:val="none" w:color="auto"/>
          <w:lang w:val="en-GB"/>
        </w:rPr>
        <w:t>处理后能够达到</w:t>
      </w:r>
      <w:r>
        <w:rPr>
          <w:rFonts w:hint="default" w:ascii="Times New Roman" w:hAnsi="Times New Roman" w:eastAsia="宋体" w:cs="Times New Roman"/>
          <w:color w:val="auto"/>
          <w:sz w:val="24"/>
          <w:szCs w:val="24"/>
          <w:highlight w:val="none"/>
          <w:u w:val="none" w:color="auto"/>
          <w:lang w:val="en-US" w:eastAsia="zh-CN"/>
        </w:rPr>
        <w:t>合成树脂工业污染物排放标准》（GB31572-2015）中表4浓度限值</w:t>
      </w:r>
      <w:r>
        <w:rPr>
          <w:rFonts w:hint="default" w:ascii="Times New Roman" w:hAnsi="Times New Roman" w:eastAsia="宋体" w:cs="Times New Roman"/>
          <w:color w:val="auto"/>
          <w:sz w:val="24"/>
          <w:szCs w:val="24"/>
          <w:highlight w:val="none"/>
          <w:u w:val="none" w:color="auto"/>
          <w:lang w:val="en-GB"/>
        </w:rPr>
        <w:t>。根据前述大气环境预测结果，</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4"/>
          <w:highlight w:val="none"/>
          <w:u w:val="none" w:color="auto"/>
          <w:lang w:val="en-GB"/>
        </w:rPr>
        <w:t>对</w:t>
      </w:r>
      <w:r>
        <w:rPr>
          <w:rFonts w:hint="default" w:ascii="Times New Roman" w:hAnsi="Times New Roman" w:eastAsia="宋体" w:cs="Times New Roman"/>
          <w:color w:val="auto"/>
          <w:sz w:val="24"/>
          <w:szCs w:val="21"/>
          <w:highlight w:val="none"/>
          <w:u w:val="none" w:color="auto"/>
          <w:lang w:val="en-GB"/>
        </w:rPr>
        <w:t>周边环境空气的贡献值较小，对周边环境空气质量现状影响不大。</w:t>
      </w:r>
    </w:p>
    <w:p w14:paraId="43BA55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因此，本环评认为采用</w:t>
      </w:r>
      <w:r>
        <w:rPr>
          <w:rFonts w:hint="eastAsia" w:ascii="Times New Roman" w:hAnsi="Times New Roman" w:eastAsia="宋体" w:cs="Times New Roman"/>
          <w:color w:val="auto"/>
          <w:sz w:val="24"/>
          <w:szCs w:val="21"/>
          <w:highlight w:val="none"/>
          <w:u w:val="single" w:color="auto"/>
          <w:lang w:val="en-US" w:eastAsia="zh-CN"/>
        </w:rPr>
        <w:t>冷却塔＋干湿过滤器＋活性炭</w:t>
      </w:r>
      <w:r>
        <w:rPr>
          <w:rFonts w:hint="default" w:ascii="Times New Roman" w:hAnsi="Times New Roman" w:eastAsia="宋体" w:cs="Times New Roman"/>
          <w:color w:val="auto"/>
          <w:sz w:val="24"/>
          <w:szCs w:val="21"/>
          <w:highlight w:val="none"/>
          <w:u w:val="none" w:color="auto"/>
          <w:lang w:val="en-GB"/>
        </w:rPr>
        <w:t>处理</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1"/>
          <w:highlight w:val="none"/>
          <w:u w:val="none" w:color="auto"/>
          <w:lang w:val="en-GB"/>
        </w:rPr>
        <w:t>是可行的。</w:t>
      </w:r>
    </w:p>
    <w:p w14:paraId="1C49CC45">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9.2.1.3排气筒设置合理性</w:t>
      </w:r>
    </w:p>
    <w:p w14:paraId="5F90E9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本项目各排气筒高度设置为25m</w:t>
      </w:r>
      <w:r>
        <w:rPr>
          <w:rFonts w:hint="eastAsia" w:ascii="Times New Roman" w:hAnsi="Times New Roman" w:eastAsia="宋体" w:cs="Times New Roman"/>
          <w:color w:val="auto"/>
          <w:sz w:val="24"/>
          <w:szCs w:val="21"/>
          <w:highlight w:val="none"/>
          <w:u w:val="none" w:color="auto"/>
          <w:lang w:val="en-GB" w:eastAsia="zh-CN"/>
        </w:rPr>
        <w:t>、</w:t>
      </w:r>
      <w:r>
        <w:rPr>
          <w:rFonts w:hint="eastAsia" w:ascii="Times New Roman" w:hAnsi="Times New Roman" w:eastAsia="宋体" w:cs="Times New Roman"/>
          <w:color w:val="auto"/>
          <w:sz w:val="24"/>
          <w:szCs w:val="21"/>
          <w:highlight w:val="none"/>
          <w:u w:val="none" w:color="auto"/>
          <w:lang w:val="en-US" w:eastAsia="zh-CN"/>
        </w:rPr>
        <w:t>15m</w:t>
      </w:r>
      <w:r>
        <w:rPr>
          <w:rFonts w:hint="default" w:ascii="Times New Roman" w:hAnsi="Times New Roman" w:eastAsia="宋体" w:cs="Times New Roman"/>
          <w:color w:val="auto"/>
          <w:sz w:val="24"/>
          <w:szCs w:val="21"/>
          <w:highlight w:val="none"/>
          <w:u w:val="none" w:color="auto"/>
          <w:lang w:val="en-GB"/>
        </w:rPr>
        <w:t>，根据《电镀污染物排放标准》（GB21900-2008），废气排气筒高度应不低于15m，排气筒高度应高出周围200m半径范围的建筑5m 以上（周围200m范围内最高建筑物为厂区厂房），本项目排气筒高度满足要求。</w:t>
      </w:r>
    </w:p>
    <w:p w14:paraId="2CDC21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各排气筒内径经按照废气量进行设计，根据各排气筒废气量核算，各排气筒废气排放速度在15m/s左右，能够满足《大气污染治理工程技术导则》（HJ2000-2010）中排气筒排放速度要求。</w:t>
      </w:r>
    </w:p>
    <w:p w14:paraId="2FDCEC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综上，本项目各排气筒高度、出口内径设置合理可行。</w:t>
      </w:r>
    </w:p>
    <w:p w14:paraId="6348A59F">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9.2.2废水污染防治措施及其可行性</w:t>
      </w:r>
    </w:p>
    <w:p w14:paraId="601B347B">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9.2.2.1废水分类收集方案</w:t>
      </w:r>
    </w:p>
    <w:p w14:paraId="6116B4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（1）节水清洗</w:t>
      </w:r>
    </w:p>
    <w:p w14:paraId="06DA48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生产线工件</w:t>
      </w:r>
      <w:r>
        <w:rPr>
          <w:rFonts w:hint="default" w:ascii="Times New Roman" w:hAnsi="Times New Roman" w:eastAsia="宋体" w:cs="Times New Roman"/>
          <w:color w:val="auto"/>
          <w:sz w:val="24"/>
          <w:szCs w:val="21"/>
          <w:highlight w:val="none"/>
          <w:u w:val="none" w:color="auto"/>
          <w:lang w:val="en-GB" w:eastAsia="zh-CN"/>
        </w:rPr>
        <w:t>大部分工艺</w:t>
      </w:r>
      <w:r>
        <w:rPr>
          <w:rFonts w:hint="default" w:ascii="Times New Roman" w:hAnsi="Times New Roman" w:eastAsia="宋体" w:cs="Times New Roman"/>
          <w:color w:val="auto"/>
          <w:sz w:val="24"/>
          <w:szCs w:val="21"/>
          <w:highlight w:val="none"/>
          <w:u w:val="none" w:color="auto"/>
          <w:lang w:val="en-GB"/>
        </w:rPr>
        <w:t>采用三级逆流清洗，减少清洗废水产生量。</w:t>
      </w:r>
    </w:p>
    <w:p w14:paraId="5BDBD2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GB"/>
        </w:rPr>
      </w:pPr>
      <w:r>
        <w:rPr>
          <w:rFonts w:hint="default" w:ascii="Times New Roman" w:hAnsi="Times New Roman" w:eastAsia="宋体" w:cs="Times New Roman"/>
          <w:color w:val="auto"/>
          <w:sz w:val="24"/>
          <w:szCs w:val="21"/>
          <w:highlight w:val="none"/>
          <w:u w:val="none" w:color="auto"/>
          <w:lang w:val="en-GB"/>
        </w:rPr>
        <w:t>（2）废水分质收集、处理</w:t>
      </w:r>
    </w:p>
    <w:p w14:paraId="17A172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z w:val="24"/>
          <w:szCs w:val="21"/>
          <w:highlight w:val="none"/>
          <w:u w:val="none" w:color="auto"/>
          <w:lang w:val="en-GB"/>
        </w:rPr>
        <w:t>本项目采用污污分流的方式，将各类废水分类收集和处理。根据废水类别及处理工艺的不同分为</w:t>
      </w:r>
      <w:r>
        <w:rPr>
          <w:rFonts w:hint="eastAsia" w:ascii="Times New Roman" w:hAnsi="Times New Roman" w:eastAsia="宋体" w:cs="Times New Roman"/>
          <w:strike w:val="0"/>
          <w:dstrike w:val="0"/>
          <w:color w:val="auto"/>
          <w:sz w:val="24"/>
          <w:szCs w:val="21"/>
          <w:highlight w:val="none"/>
          <w:u w:val="none" w:color="auto"/>
          <w:lang w:val="en-US" w:eastAsia="zh-CN"/>
        </w:rPr>
        <w:t>含重金属废水（</w:t>
      </w:r>
      <w:r>
        <w:rPr>
          <w:rFonts w:hint="default" w:ascii="Times New Roman" w:hAnsi="Times New Roman" w:eastAsia="宋体" w:cs="Times New Roman"/>
          <w:strike w:val="0"/>
          <w:dstrike w:val="0"/>
          <w:color w:val="auto"/>
          <w:sz w:val="24"/>
          <w:szCs w:val="21"/>
          <w:highlight w:val="none"/>
          <w:u w:val="none" w:color="auto"/>
        </w:rPr>
        <w:t>含镍废水、含铜废水、含锌</w:t>
      </w:r>
      <w:r>
        <w:rPr>
          <w:rFonts w:hint="default" w:ascii="Times New Roman" w:hAnsi="Times New Roman" w:eastAsia="宋体" w:cs="Times New Roman"/>
          <w:strike w:val="0"/>
          <w:dstrike w:val="0"/>
          <w:color w:val="auto"/>
          <w:sz w:val="24"/>
          <w:szCs w:val="21"/>
          <w:highlight w:val="none"/>
          <w:u w:val="none" w:color="auto"/>
          <w:lang w:eastAsia="zh-CN"/>
        </w:rPr>
        <w:t>镍</w:t>
      </w:r>
      <w:r>
        <w:rPr>
          <w:rFonts w:hint="default" w:ascii="Times New Roman" w:hAnsi="Times New Roman" w:eastAsia="宋体" w:cs="Times New Roman"/>
          <w:strike w:val="0"/>
          <w:dstrike w:val="0"/>
          <w:color w:val="auto"/>
          <w:sz w:val="24"/>
          <w:szCs w:val="21"/>
          <w:highlight w:val="none"/>
          <w:u w:val="none" w:color="auto"/>
        </w:rPr>
        <w:t>废水、</w:t>
      </w:r>
      <w:r>
        <w:rPr>
          <w:rFonts w:hint="default" w:ascii="Times New Roman" w:hAnsi="Times New Roman" w:eastAsia="宋体" w:cs="Times New Roman"/>
          <w:strike w:val="0"/>
          <w:dstrike w:val="0"/>
          <w:color w:val="auto"/>
          <w:sz w:val="24"/>
          <w:szCs w:val="21"/>
          <w:highlight w:val="none"/>
          <w:u w:val="none" w:color="auto"/>
          <w:lang w:eastAsia="zh-CN"/>
        </w:rPr>
        <w:t>退镀</w:t>
      </w:r>
      <w:r>
        <w:rPr>
          <w:rFonts w:hint="default" w:ascii="Times New Roman" w:hAnsi="Times New Roman" w:eastAsia="宋体" w:cs="Times New Roman"/>
          <w:strike w:val="0"/>
          <w:dstrike w:val="0"/>
          <w:color w:val="auto"/>
          <w:sz w:val="24"/>
          <w:szCs w:val="21"/>
          <w:highlight w:val="none"/>
          <w:u w:val="none" w:color="auto"/>
        </w:rPr>
        <w:t>废水</w:t>
      </w:r>
      <w:r>
        <w:rPr>
          <w:rFonts w:hint="eastAsia" w:ascii="Times New Roman" w:hAnsi="Times New Roman" w:eastAsia="宋体" w:cs="Times New Roman"/>
          <w:strike w:val="0"/>
          <w:dstrike w:val="0"/>
          <w:color w:val="auto"/>
          <w:sz w:val="24"/>
          <w:szCs w:val="21"/>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电镀车间地面清洗废水</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strike w:val="0"/>
          <w:dstrike w:val="0"/>
          <w:color w:val="auto"/>
          <w:sz w:val="24"/>
          <w:szCs w:val="21"/>
          <w:highlight w:val="none"/>
          <w:u w:val="none" w:color="auto"/>
          <w:lang w:val="en-US" w:eastAsia="zh-CN"/>
        </w:rPr>
        <w:t>非重金属废水（酸碱废水、含油废水、</w:t>
      </w:r>
      <w:r>
        <w:rPr>
          <w:rFonts w:hint="default" w:ascii="Times New Roman" w:hAnsi="Times New Roman" w:eastAsia="宋体" w:cs="Times New Roman"/>
          <w:strike w:val="0"/>
          <w:dstrike w:val="0"/>
          <w:color w:val="auto"/>
          <w:sz w:val="24"/>
          <w:szCs w:val="21"/>
          <w:highlight w:val="none"/>
          <w:u w:val="none" w:color="auto"/>
        </w:rPr>
        <w:t>废气处理设施废水</w:t>
      </w:r>
      <w:r>
        <w:rPr>
          <w:rFonts w:hint="eastAsia" w:ascii="Times New Roman" w:hAnsi="Times New Roman" w:eastAsia="宋体" w:cs="Times New Roman"/>
          <w:strike w:val="0"/>
          <w:dstrike w:val="0"/>
          <w:color w:val="auto"/>
          <w:sz w:val="24"/>
          <w:szCs w:val="21"/>
          <w:highlight w:val="none"/>
          <w:u w:val="none" w:color="auto"/>
          <w:lang w:eastAsia="zh-CN"/>
        </w:rPr>
        <w:t>）</w:t>
      </w:r>
      <w:r>
        <w:rPr>
          <w:rFonts w:hint="eastAsia" w:ascii="Times New Roman" w:hAnsi="Times New Roman" w:eastAsia="宋体" w:cs="Times New Roman"/>
          <w:strike w:val="0"/>
          <w:dstrike w:val="0"/>
          <w:color w:val="auto"/>
          <w:sz w:val="24"/>
          <w:szCs w:val="21"/>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机加工车间废水（卫生废水、容器清洗废水、直接冷却废水）</w:t>
      </w:r>
      <w:r>
        <w:rPr>
          <w:rFonts w:hint="eastAsia" w:ascii="Times New Roman" w:hAnsi="Times New Roman" w:eastAsia="宋体" w:cs="Times New Roman"/>
          <w:strike w:val="0"/>
          <w:dstrike w:val="0"/>
          <w:color w:val="auto"/>
          <w:sz w:val="24"/>
          <w:szCs w:val="21"/>
          <w:highlight w:val="none"/>
          <w:u w:val="none" w:color="auto"/>
          <w:lang w:val="en-US" w:eastAsia="zh-CN"/>
        </w:rPr>
        <w:t>、生活污水、初期雨水</w:t>
      </w:r>
      <w:r>
        <w:rPr>
          <w:rFonts w:hint="eastAsia" w:ascii="Times New Roman" w:hAnsi="Times New Roman" w:eastAsia="宋体" w:cs="Times New Roman"/>
          <w:color w:val="auto"/>
          <w:sz w:val="24"/>
          <w:szCs w:val="21"/>
          <w:highlight w:val="none"/>
          <w:u w:val="none" w:color="auto"/>
          <w:lang w:val="en-GB" w:eastAsia="zh-CN"/>
        </w:rPr>
        <w:t>。</w:t>
      </w:r>
      <w:r>
        <w:rPr>
          <w:rFonts w:hint="default" w:ascii="Times New Roman" w:hAnsi="Times New Roman" w:eastAsia="宋体" w:cs="Times New Roman"/>
          <w:strike w:val="0"/>
          <w:dstrike w:val="0"/>
          <w:color w:val="auto"/>
          <w:sz w:val="24"/>
          <w:szCs w:val="21"/>
          <w:highlight w:val="none"/>
          <w:u w:val="none" w:color="auto"/>
        </w:rPr>
        <w:t>项目</w:t>
      </w:r>
      <w:r>
        <w:rPr>
          <w:rFonts w:hint="default" w:ascii="Times New Roman" w:hAnsi="Times New Roman" w:eastAsia="宋体" w:cs="Times New Roman"/>
          <w:strike w:val="0"/>
          <w:dstrike w:val="0"/>
          <w:color w:val="auto"/>
          <w:sz w:val="24"/>
          <w:szCs w:val="21"/>
          <w:highlight w:val="none"/>
          <w:u w:val="none" w:color="auto"/>
          <w:lang w:eastAsia="zh-CN"/>
        </w:rPr>
        <w:t>含重金属废水经</w:t>
      </w:r>
      <w:r>
        <w:rPr>
          <w:rFonts w:hint="default" w:ascii="Times New Roman" w:hAnsi="Times New Roman" w:eastAsia="宋体" w:cs="Times New Roman"/>
          <w:strike w:val="0"/>
          <w:dstrike w:val="0"/>
          <w:color w:val="auto"/>
          <w:sz w:val="24"/>
          <w:szCs w:val="21"/>
          <w:highlight w:val="none"/>
          <w:u w:val="none" w:color="auto"/>
          <w:lang w:val="en-US" w:eastAsia="zh-CN"/>
        </w:rPr>
        <w:t>pH中和+沉淀</w:t>
      </w:r>
      <w:r>
        <w:rPr>
          <w:rFonts w:hint="eastAsia" w:ascii="Times New Roman" w:hAnsi="Times New Roman" w:eastAsia="宋体" w:cs="Times New Roman"/>
          <w:strike w:val="0"/>
          <w:dstrike w:val="0"/>
          <w:color w:val="auto"/>
          <w:sz w:val="24"/>
          <w:szCs w:val="21"/>
          <w:highlight w:val="none"/>
          <w:u w:val="none" w:color="auto"/>
          <w:lang w:val="en-US" w:eastAsia="zh-CN"/>
        </w:rPr>
        <w:t>（自由沉降）</w:t>
      </w:r>
      <w:r>
        <w:rPr>
          <w:rFonts w:hint="default"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strike w:val="0"/>
          <w:dstrike w:val="0"/>
          <w:color w:val="auto"/>
          <w:sz w:val="24"/>
          <w:szCs w:val="21"/>
          <w:highlight w:val="none"/>
          <w:u w:val="none" w:color="auto"/>
          <w:lang w:val="en-US" w:eastAsia="zh-CN"/>
        </w:rPr>
        <w:t>回用</w:t>
      </w:r>
      <w:r>
        <w:rPr>
          <w:rFonts w:hint="eastAsia" w:ascii="Times New Roman" w:hAnsi="Times New Roman" w:eastAsia="宋体" w:cs="Times New Roman"/>
          <w:strike w:val="0"/>
          <w:dstrike w:val="0"/>
          <w:color w:val="auto"/>
          <w:sz w:val="24"/>
          <w:szCs w:val="21"/>
          <w:highlight w:val="none"/>
          <w:u w:val="none" w:color="auto"/>
          <w:lang w:val="en-US" w:eastAsia="zh-CN"/>
        </w:rPr>
        <w:t>；非重金属废水</w:t>
      </w:r>
      <w:r>
        <w:rPr>
          <w:rFonts w:hint="default" w:ascii="Times New Roman" w:hAnsi="Times New Roman" w:eastAsia="宋体" w:cs="Times New Roman"/>
          <w:strike w:val="0"/>
          <w:dstrike w:val="0"/>
          <w:color w:val="auto"/>
          <w:sz w:val="24"/>
          <w:szCs w:val="21"/>
          <w:highlight w:val="none"/>
          <w:u w:val="none" w:color="auto"/>
          <w:lang w:val="en-US" w:eastAsia="zh-CN"/>
        </w:rPr>
        <w:t>经</w:t>
      </w:r>
      <w:r>
        <w:rPr>
          <w:rFonts w:hint="default" w:ascii="Times New Roman" w:hAnsi="Times New Roman" w:eastAsia="宋体" w:cs="Times New Roman"/>
          <w:strike w:val="0"/>
          <w:dstrike w:val="0"/>
          <w:color w:val="auto"/>
          <w:sz w:val="24"/>
          <w:szCs w:val="21"/>
          <w:highlight w:val="none"/>
          <w:u w:val="none" w:color="auto"/>
          <w:lang w:eastAsia="zh-CN"/>
        </w:rPr>
        <w:t>隔油</w:t>
      </w:r>
      <w:r>
        <w:rPr>
          <w:rFonts w:hint="default" w:ascii="Times New Roman" w:hAnsi="Times New Roman" w:eastAsia="宋体" w:cs="Times New Roman"/>
          <w:strike w:val="0"/>
          <w:dstrike w:val="0"/>
          <w:color w:val="auto"/>
          <w:sz w:val="24"/>
          <w:szCs w:val="21"/>
          <w:highlight w:val="none"/>
          <w:u w:val="none" w:color="auto"/>
        </w:rPr>
        <w:t>+</w:t>
      </w:r>
      <w:r>
        <w:rPr>
          <w:rFonts w:hint="default" w:ascii="Times New Roman" w:hAnsi="Times New Roman" w:eastAsia="宋体" w:cs="Times New Roman"/>
          <w:strike w:val="0"/>
          <w:dstrike w:val="0"/>
          <w:color w:val="auto"/>
          <w:sz w:val="24"/>
          <w:szCs w:val="21"/>
          <w:highlight w:val="none"/>
          <w:u w:val="none" w:color="auto"/>
          <w:lang w:eastAsia="zh-CN"/>
        </w:rPr>
        <w:t>气浮</w:t>
      </w:r>
      <w:r>
        <w:rPr>
          <w:rFonts w:hint="default"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strike w:val="0"/>
          <w:dstrike w:val="0"/>
          <w:color w:val="auto"/>
          <w:sz w:val="24"/>
          <w:szCs w:val="21"/>
          <w:highlight w:val="none"/>
          <w:u w:val="none" w:color="auto"/>
        </w:rPr>
        <w:t>混凝沉淀+</w:t>
      </w:r>
      <w:r>
        <w:rPr>
          <w:rFonts w:hint="default" w:ascii="Times New Roman" w:hAnsi="Times New Roman" w:eastAsia="宋体" w:cs="Times New Roman"/>
          <w:strike w:val="0"/>
          <w:dstrike w:val="0"/>
          <w:color w:val="auto"/>
          <w:sz w:val="24"/>
          <w:szCs w:val="21"/>
          <w:highlight w:val="none"/>
          <w:u w:val="none" w:color="auto"/>
          <w:lang w:eastAsia="zh-CN"/>
        </w:rPr>
        <w:t>袋滤</w:t>
      </w:r>
      <w:r>
        <w:rPr>
          <w:rFonts w:hint="default" w:ascii="Times New Roman" w:hAnsi="Times New Roman" w:eastAsia="宋体" w:cs="Times New Roman"/>
          <w:strike w:val="0"/>
          <w:dstrike w:val="0"/>
          <w:color w:val="auto"/>
          <w:sz w:val="24"/>
          <w:szCs w:val="21"/>
          <w:highlight w:val="none"/>
          <w:u w:val="none" w:color="auto"/>
        </w:rPr>
        <w:t>+超滤</w:t>
      </w:r>
      <w:r>
        <w:rPr>
          <w:rFonts w:hint="default" w:ascii="Times New Roman" w:hAnsi="Times New Roman" w:eastAsia="宋体" w:cs="Times New Roman"/>
          <w:color w:val="auto"/>
          <w:sz w:val="24"/>
          <w:szCs w:val="24"/>
          <w:highlight w:val="none"/>
          <w:u w:val="none" w:color="auto"/>
        </w:rPr>
        <w:t>处理后</w:t>
      </w:r>
      <w:r>
        <w:rPr>
          <w:rFonts w:hint="default" w:ascii="Times New Roman" w:hAnsi="Times New Roman" w:eastAsia="宋体" w:cs="Times New Roman"/>
          <w:color w:val="auto"/>
          <w:sz w:val="24"/>
          <w:szCs w:val="24"/>
          <w:highlight w:val="none"/>
          <w:u w:val="none" w:color="auto"/>
          <w:lang w:eastAsia="zh-CN"/>
        </w:rPr>
        <w:t>回用</w:t>
      </w:r>
      <w:r>
        <w:rPr>
          <w:rFonts w:hint="eastAsia" w:ascii="Times New Roman" w:hAnsi="Times New Roman" w:eastAsia="宋体" w:cs="Times New Roman"/>
          <w:color w:val="auto"/>
          <w:sz w:val="24"/>
          <w:szCs w:val="24"/>
          <w:highlight w:val="none"/>
          <w:u w:val="none" w:color="auto"/>
          <w:lang w:val="en-US" w:eastAsia="zh-CN"/>
        </w:rPr>
        <w:t>于生产及电镀车间地面清洗</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剩余浓水</w:t>
      </w:r>
      <w:r>
        <w:rPr>
          <w:rFonts w:hint="default" w:ascii="Times New Roman" w:hAnsi="Times New Roman" w:eastAsia="宋体" w:cs="Times New Roman"/>
          <w:color w:val="auto"/>
          <w:sz w:val="24"/>
          <w:szCs w:val="24"/>
          <w:highlight w:val="none"/>
          <w:u w:val="none" w:color="auto"/>
          <w:lang w:eastAsia="zh-CN"/>
        </w:rPr>
        <w:t>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color w:val="auto"/>
          <w:sz w:val="24"/>
          <w:szCs w:val="24"/>
          <w:highlight w:val="none"/>
          <w:u w:val="none" w:color="auto"/>
          <w:lang w:val="en-US" w:eastAsia="zh-CN"/>
        </w:rPr>
        <w:t>回用</w:t>
      </w:r>
      <w:r>
        <w:rPr>
          <w:rFonts w:hint="eastAsia" w:ascii="Times New Roman" w:hAnsi="Times New Roman" w:eastAsia="宋体" w:cs="Times New Roman"/>
          <w:color w:val="auto"/>
          <w:sz w:val="24"/>
          <w:szCs w:val="24"/>
          <w:highlight w:val="none"/>
          <w:u w:val="none" w:color="auto"/>
          <w:lang w:val="en-US" w:eastAsia="zh-CN"/>
        </w:rPr>
        <w:t>于生产</w:t>
      </w:r>
      <w:r>
        <w:rPr>
          <w:rFonts w:hint="default" w:ascii="Times New Roman" w:hAnsi="Times New Roman" w:eastAsia="宋体" w:cs="Times New Roman"/>
          <w:strike w:val="0"/>
          <w:dstrike w:val="0"/>
          <w:color w:val="auto"/>
          <w:sz w:val="24"/>
          <w:szCs w:val="21"/>
          <w:highlight w:val="none"/>
          <w:u w:val="none" w:color="auto"/>
        </w:rPr>
        <w:t>，不外排</w:t>
      </w:r>
      <w:r>
        <w:rPr>
          <w:rFonts w:hint="eastAsia" w:ascii="Times New Roman" w:hAnsi="Times New Roman" w:eastAsia="宋体" w:cs="Times New Roman"/>
          <w:strike w:val="0"/>
          <w:dstrike w:val="0"/>
          <w:color w:val="auto"/>
          <w:sz w:val="24"/>
          <w:szCs w:val="21"/>
          <w:highlight w:val="none"/>
          <w:u w:val="none" w:color="auto"/>
          <w:lang w:eastAsia="zh-CN"/>
        </w:rPr>
        <w:t>；</w:t>
      </w:r>
      <w:r>
        <w:rPr>
          <w:rFonts w:hint="eastAsia" w:ascii="Times New Roman" w:hAnsi="Times New Roman" w:eastAsia="宋体" w:cs="Times New Roman"/>
          <w:strike w:val="0"/>
          <w:dstrike w:val="0"/>
          <w:color w:val="auto"/>
          <w:sz w:val="24"/>
          <w:szCs w:val="21"/>
          <w:highlight w:val="none"/>
          <w:u w:val="none" w:color="auto"/>
          <w:lang w:val="en-US" w:eastAsia="zh-CN"/>
        </w:rPr>
        <w:t>初期雨水经非重金属废水处理设施处理后回用于生产；机加工车间卫生废水、容器清洗废水、直接冷却废水经独立沉淀池收集沉淀后</w:t>
      </w:r>
      <w:r>
        <w:rPr>
          <w:rFonts w:hint="default" w:ascii="Times New Roman" w:hAnsi="Times New Roman" w:eastAsia="宋体" w:cs="Times New Roman"/>
          <w:strike w:val="0"/>
          <w:dstrike w:val="0"/>
          <w:color w:val="auto"/>
          <w:sz w:val="24"/>
          <w:szCs w:val="21"/>
          <w:highlight w:val="none"/>
          <w:u w:val="none" w:color="auto"/>
        </w:rPr>
        <w:t>排至松木污水</w:t>
      </w:r>
      <w:r>
        <w:rPr>
          <w:rFonts w:hint="default" w:ascii="Times New Roman" w:hAnsi="Times New Roman" w:eastAsia="宋体" w:cs="Times New Roman"/>
          <w:color w:val="auto"/>
          <w:sz w:val="24"/>
          <w:szCs w:val="24"/>
          <w:highlight w:val="none"/>
          <w:u w:val="none" w:color="auto"/>
        </w:rPr>
        <w:t>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1"/>
          <w:highlight w:val="none"/>
          <w:u w:val="none" w:color="auto"/>
        </w:rPr>
        <w:t>生活污水经厂内化粪池预处理后排至松木污水</w:t>
      </w:r>
      <w:r>
        <w:rPr>
          <w:rFonts w:hint="default" w:ascii="Times New Roman" w:hAnsi="Times New Roman" w:eastAsia="宋体" w:cs="Times New Roman"/>
          <w:color w:val="auto"/>
          <w:sz w:val="24"/>
          <w:szCs w:val="24"/>
          <w:highlight w:val="none"/>
          <w:u w:val="none" w:color="auto"/>
        </w:rPr>
        <w:t>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r>
        <w:rPr>
          <w:rFonts w:hint="default" w:ascii="Times New Roman" w:hAnsi="Times New Roman" w:eastAsia="宋体" w:cs="Times New Roman"/>
          <w:color w:val="auto"/>
          <w:sz w:val="24"/>
          <w:szCs w:val="21"/>
          <w:highlight w:val="none"/>
          <w:u w:val="none" w:color="auto"/>
          <w:lang w:val="en-GB"/>
        </w:rPr>
        <w:t>。</w:t>
      </w:r>
    </w:p>
    <w:p w14:paraId="26457609">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9.2.2.2废水处理方案及规模</w:t>
      </w:r>
    </w:p>
    <w:p w14:paraId="1D351C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lang w:val="en-US" w:eastAsia="zh-CN"/>
        </w:rPr>
      </w:pPr>
      <w:r>
        <w:rPr>
          <w:rFonts w:hint="default" w:ascii="Times New Roman" w:hAnsi="Times New Roman" w:eastAsia="宋体" w:cs="Times New Roman"/>
          <w:color w:val="auto"/>
          <w:sz w:val="24"/>
          <w:szCs w:val="21"/>
          <w:highlight w:val="none"/>
          <w:u w:val="single" w:color="auto"/>
          <w:lang w:val="en-US" w:eastAsia="zh-CN"/>
        </w:rPr>
        <w:t>项目拟在厂区建设废水处理站，包括各类废水预处理设施</w:t>
      </w:r>
      <w:r>
        <w:rPr>
          <w:rFonts w:hint="eastAsia" w:ascii="Times New Roman" w:hAnsi="Times New Roman" w:eastAsia="宋体" w:cs="Times New Roman"/>
          <w:color w:val="auto"/>
          <w:sz w:val="24"/>
          <w:szCs w:val="21"/>
          <w:highlight w:val="none"/>
          <w:u w:val="single" w:color="auto"/>
          <w:lang w:val="en-US" w:eastAsia="zh-CN"/>
        </w:rPr>
        <w:t>（重金属废水处理设施、非重金属废水处理设施）</w:t>
      </w:r>
      <w:r>
        <w:rPr>
          <w:rFonts w:hint="default" w:ascii="Times New Roman" w:hAnsi="Times New Roman" w:eastAsia="宋体" w:cs="Times New Roman"/>
          <w:color w:val="auto"/>
          <w:sz w:val="24"/>
          <w:szCs w:val="21"/>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lang w:val="en-US" w:eastAsia="zh-CN"/>
        </w:rPr>
        <w:t>三效蒸发器</w:t>
      </w:r>
      <w:r>
        <w:rPr>
          <w:rFonts w:hint="eastAsia" w:ascii="Times New Roman" w:hAnsi="Times New Roman" w:eastAsia="宋体" w:cs="Times New Roman"/>
          <w:color w:val="auto"/>
          <w:sz w:val="24"/>
          <w:szCs w:val="24"/>
          <w:highlight w:val="none"/>
          <w:u w:val="single" w:color="auto"/>
          <w:lang w:val="en-US" w:eastAsia="zh-CN"/>
        </w:rPr>
        <w:t>、沉淀池</w:t>
      </w:r>
      <w:r>
        <w:rPr>
          <w:rFonts w:hint="default" w:ascii="Times New Roman" w:hAnsi="Times New Roman" w:eastAsia="宋体" w:cs="Times New Roman"/>
          <w:color w:val="auto"/>
          <w:sz w:val="24"/>
          <w:szCs w:val="21"/>
          <w:highlight w:val="none"/>
          <w:u w:val="single" w:color="auto"/>
          <w:lang w:val="en-US" w:eastAsia="zh-CN"/>
        </w:rPr>
        <w:t>，设计废水处理站设计处理规模为</w:t>
      </w:r>
      <w:r>
        <w:rPr>
          <w:rFonts w:hint="eastAsia" w:ascii="Times New Roman" w:hAnsi="Times New Roman" w:eastAsia="宋体" w:cs="Times New Roman"/>
          <w:color w:val="auto"/>
          <w:sz w:val="24"/>
          <w:szCs w:val="21"/>
          <w:highlight w:val="none"/>
          <w:u w:val="single" w:color="auto"/>
          <w:lang w:val="en-US" w:eastAsia="zh-CN"/>
        </w:rPr>
        <w:t>64</w:t>
      </w:r>
      <w:r>
        <w:rPr>
          <w:rFonts w:hint="default" w:ascii="Times New Roman" w:hAnsi="Times New Roman" w:eastAsia="宋体" w:cs="Times New Roman"/>
          <w:color w:val="auto"/>
          <w:sz w:val="24"/>
          <w:szCs w:val="21"/>
          <w:highlight w:val="none"/>
          <w:u w:val="single" w:color="auto"/>
          <w:lang w:val="en-US" w:eastAsia="zh-CN"/>
        </w:rPr>
        <w:t>m</w:t>
      </w:r>
      <w:r>
        <w:rPr>
          <w:rFonts w:hint="default" w:ascii="Times New Roman" w:hAnsi="Times New Roman" w:eastAsia="宋体" w:cs="Times New Roman"/>
          <w:color w:val="auto"/>
          <w:sz w:val="24"/>
          <w:szCs w:val="21"/>
          <w:highlight w:val="none"/>
          <w:u w:val="single" w:color="auto"/>
          <w:vertAlign w:val="superscript"/>
          <w:lang w:val="en-US" w:eastAsia="zh-CN"/>
        </w:rPr>
        <w:t>3</w:t>
      </w:r>
      <w:r>
        <w:rPr>
          <w:rFonts w:hint="default" w:ascii="Times New Roman" w:hAnsi="Times New Roman" w:eastAsia="宋体" w:cs="Times New Roman"/>
          <w:color w:val="auto"/>
          <w:sz w:val="24"/>
          <w:szCs w:val="21"/>
          <w:highlight w:val="none"/>
          <w:u w:val="single" w:color="auto"/>
          <w:lang w:val="en-US" w:eastAsia="zh-CN"/>
        </w:rPr>
        <w:t>/d。</w:t>
      </w:r>
      <w:r>
        <w:rPr>
          <w:rFonts w:hint="eastAsia" w:ascii="Times New Roman" w:hAnsi="Times New Roman" w:eastAsia="宋体" w:cs="Times New Roman"/>
          <w:strike w:val="0"/>
          <w:dstrike w:val="0"/>
          <w:color w:val="auto"/>
          <w:sz w:val="24"/>
          <w:szCs w:val="21"/>
          <w:highlight w:val="none"/>
          <w:u w:val="single" w:color="auto"/>
          <w:lang w:val="en-US" w:eastAsia="zh-CN"/>
        </w:rPr>
        <w:t>机加工车间卫生废水、容器清洗废水、直接冷却废水经独立沉淀池收集沉淀后</w:t>
      </w:r>
      <w:r>
        <w:rPr>
          <w:rFonts w:hint="default" w:ascii="Times New Roman" w:hAnsi="Times New Roman" w:eastAsia="宋体" w:cs="Times New Roman"/>
          <w:color w:val="auto"/>
          <w:sz w:val="24"/>
          <w:szCs w:val="21"/>
          <w:highlight w:val="none"/>
          <w:u w:val="single" w:color="auto"/>
          <w:lang w:val="en-US" w:eastAsia="zh-CN"/>
        </w:rPr>
        <w:t>排入园区市政污水管网</w:t>
      </w:r>
      <w:r>
        <w:rPr>
          <w:rFonts w:hint="eastAsia"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1"/>
          <w:highlight w:val="none"/>
          <w:u w:val="single" w:color="auto"/>
          <w:lang w:val="en-US" w:eastAsia="zh-CN"/>
        </w:rPr>
        <w:t>生活污水经厂内化粪池预处理后排入园区市政污水管网。</w:t>
      </w:r>
    </w:p>
    <w:p w14:paraId="79A680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lang w:val="en-US" w:eastAsia="zh-CN"/>
        </w:rPr>
      </w:pPr>
      <w:r>
        <w:rPr>
          <w:rFonts w:hint="default" w:ascii="Times New Roman" w:hAnsi="Times New Roman" w:eastAsia="宋体" w:cs="Times New Roman"/>
          <w:color w:val="auto"/>
          <w:sz w:val="24"/>
          <w:szCs w:val="21"/>
          <w:highlight w:val="none"/>
          <w:u w:val="single" w:color="auto"/>
          <w:lang w:val="en-US" w:eastAsia="zh-CN"/>
        </w:rPr>
        <w:t>本项目各类废水处理设施设计规模及处理工艺详见下表：</w:t>
      </w:r>
    </w:p>
    <w:p w14:paraId="1A1EF441">
      <w:pPr>
        <w:spacing w:line="240" w:lineRule="auto"/>
        <w:jc w:val="center"/>
        <w:rPr>
          <w:rFonts w:hint="default" w:ascii="Times New Roman" w:hAnsi="Times New Roman" w:eastAsia="宋体" w:cs="Times New Roman"/>
          <w:b/>
          <w:strike w:val="0"/>
          <w:dstrike w:val="0"/>
          <w:color w:val="auto"/>
          <w:sz w:val="21"/>
          <w:szCs w:val="18"/>
          <w:highlight w:val="none"/>
          <w:u w:val="single" w:color="auto"/>
          <w:lang w:eastAsia="zh-CN"/>
        </w:rPr>
      </w:pPr>
      <w:r>
        <w:rPr>
          <w:rFonts w:hint="default" w:ascii="Times New Roman" w:hAnsi="Times New Roman" w:eastAsia="宋体" w:cs="Times New Roman"/>
          <w:b/>
          <w:strike w:val="0"/>
          <w:dstrike w:val="0"/>
          <w:color w:val="auto"/>
          <w:sz w:val="21"/>
          <w:szCs w:val="18"/>
          <w:highlight w:val="none"/>
          <w:u w:val="single" w:color="auto"/>
          <w:lang w:eastAsia="zh-CN"/>
        </w:rPr>
        <w:t>表</w:t>
      </w:r>
      <w:r>
        <w:rPr>
          <w:rFonts w:hint="default" w:ascii="Times New Roman" w:hAnsi="Times New Roman" w:eastAsia="宋体" w:cs="Times New Roman"/>
          <w:b/>
          <w:strike w:val="0"/>
          <w:dstrike w:val="0"/>
          <w:color w:val="auto"/>
          <w:sz w:val="21"/>
          <w:szCs w:val="18"/>
          <w:highlight w:val="none"/>
          <w:u w:val="single" w:color="auto"/>
          <w:lang w:val="en-US" w:eastAsia="zh-CN"/>
        </w:rPr>
        <w:t>9</w:t>
      </w:r>
      <w:r>
        <w:rPr>
          <w:rFonts w:hint="default" w:ascii="Times New Roman" w:hAnsi="Times New Roman" w:eastAsia="宋体" w:cs="Times New Roman"/>
          <w:b/>
          <w:strike w:val="0"/>
          <w:dstrike w:val="0"/>
          <w:color w:val="auto"/>
          <w:sz w:val="21"/>
          <w:szCs w:val="18"/>
          <w:highlight w:val="none"/>
          <w:u w:val="single" w:color="auto"/>
          <w:lang w:eastAsia="zh-CN"/>
        </w:rPr>
        <w:t>.2-</w:t>
      </w:r>
      <w:r>
        <w:rPr>
          <w:rFonts w:hint="default" w:ascii="Times New Roman" w:hAnsi="Times New Roman" w:eastAsia="宋体" w:cs="Times New Roman"/>
          <w:b/>
          <w:strike w:val="0"/>
          <w:dstrike w:val="0"/>
          <w:color w:val="auto"/>
          <w:sz w:val="21"/>
          <w:szCs w:val="18"/>
          <w:highlight w:val="none"/>
          <w:u w:val="single" w:color="auto"/>
          <w:lang w:val="en-US" w:eastAsia="zh-CN"/>
        </w:rPr>
        <w:t>2</w:t>
      </w:r>
      <w:r>
        <w:rPr>
          <w:rFonts w:hint="default" w:ascii="Times New Roman" w:hAnsi="Times New Roman" w:eastAsia="宋体" w:cs="Times New Roman"/>
          <w:b/>
          <w:strike w:val="0"/>
          <w:dstrike w:val="0"/>
          <w:color w:val="auto"/>
          <w:sz w:val="21"/>
          <w:szCs w:val="18"/>
          <w:highlight w:val="none"/>
          <w:u w:val="single" w:color="auto"/>
          <w:lang w:eastAsia="zh-CN"/>
        </w:rPr>
        <w:t>本项目各类废水处理措施一览表</w:t>
      </w:r>
    </w:p>
    <w:tbl>
      <w:tblPr>
        <w:tblStyle w:val="22"/>
        <w:tblW w:w="481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3"/>
        <w:gridCol w:w="2316"/>
        <w:gridCol w:w="1499"/>
        <w:gridCol w:w="3190"/>
      </w:tblGrid>
      <w:tr w14:paraId="72255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28" w:type="pct"/>
            <w:vMerge w:val="restart"/>
            <w:vAlign w:val="center"/>
          </w:tcPr>
          <w:p w14:paraId="6008FF4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废水类别</w:t>
            </w:r>
          </w:p>
        </w:tc>
        <w:tc>
          <w:tcPr>
            <w:tcW w:w="4271" w:type="pct"/>
            <w:gridSpan w:val="3"/>
            <w:vAlign w:val="center"/>
          </w:tcPr>
          <w:p w14:paraId="6A9D9D1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处理措施</w:t>
            </w:r>
          </w:p>
        </w:tc>
      </w:tr>
      <w:tr w14:paraId="72F0F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28" w:type="pct"/>
            <w:vMerge w:val="continue"/>
            <w:vAlign w:val="center"/>
          </w:tcPr>
          <w:p w14:paraId="43F00B05">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1412" w:type="pct"/>
            <w:vAlign w:val="center"/>
          </w:tcPr>
          <w:p w14:paraId="7EA3826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处理设施名称</w:t>
            </w:r>
          </w:p>
        </w:tc>
        <w:tc>
          <w:tcPr>
            <w:tcW w:w="914" w:type="pct"/>
            <w:vAlign w:val="center"/>
          </w:tcPr>
          <w:p w14:paraId="2D9E186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设计处理规模</w:t>
            </w:r>
          </w:p>
          <w:p w14:paraId="5B4F38B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（m</w:t>
            </w:r>
            <w:r>
              <w:rPr>
                <w:rFonts w:hint="default" w:ascii="Times New Roman" w:hAnsi="Times New Roman" w:eastAsia="宋体" w:cs="Times New Roman"/>
                <w:bCs/>
                <w:color w:val="auto"/>
                <w:sz w:val="21"/>
                <w:szCs w:val="21"/>
                <w:highlight w:val="none"/>
                <w:u w:val="single" w:color="auto"/>
                <w:vertAlign w:val="superscript"/>
              </w:rPr>
              <w:t>3</w:t>
            </w:r>
            <w:r>
              <w:rPr>
                <w:rFonts w:hint="default" w:ascii="Times New Roman" w:hAnsi="Times New Roman" w:eastAsia="宋体" w:cs="Times New Roman"/>
                <w:bCs/>
                <w:color w:val="auto"/>
                <w:sz w:val="21"/>
                <w:szCs w:val="21"/>
                <w:highlight w:val="none"/>
                <w:u w:val="single" w:color="auto"/>
              </w:rPr>
              <w:t>/d）</w:t>
            </w:r>
          </w:p>
        </w:tc>
        <w:tc>
          <w:tcPr>
            <w:tcW w:w="1945" w:type="pct"/>
            <w:vAlign w:val="center"/>
          </w:tcPr>
          <w:p w14:paraId="5F3CFD2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处理工艺</w:t>
            </w:r>
          </w:p>
        </w:tc>
      </w:tr>
      <w:tr w14:paraId="69A17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28" w:type="pct"/>
            <w:vAlign w:val="center"/>
          </w:tcPr>
          <w:p w14:paraId="1D2D1C8D">
            <w:pPr>
              <w:snapToGrid w:val="0"/>
              <w:spacing w:line="240" w:lineRule="auto"/>
              <w:jc w:val="center"/>
              <w:rPr>
                <w:rFonts w:hint="eastAsia" w:ascii="Times New Roman" w:hAnsi="Times New Roman" w:eastAsia="宋体" w:cs="Times New Roman"/>
                <w:bCs/>
                <w:color w:val="auto"/>
                <w:sz w:val="21"/>
                <w:szCs w:val="21"/>
                <w:highlight w:val="none"/>
                <w:u w:val="single" w:color="auto"/>
                <w:lang w:eastAsia="zh-CN"/>
              </w:rPr>
            </w:pPr>
            <w:bookmarkStart w:id="103" w:name="_Hlk26116148"/>
            <w:bookmarkStart w:id="104" w:name="_Hlk75330400"/>
            <w:r>
              <w:rPr>
                <w:rFonts w:hint="eastAsia" w:ascii="Times New Roman" w:hAnsi="Times New Roman" w:eastAsia="宋体" w:cs="Times New Roman"/>
                <w:bCs/>
                <w:color w:val="auto"/>
                <w:sz w:val="21"/>
                <w:szCs w:val="21"/>
                <w:highlight w:val="none"/>
                <w:u w:val="single" w:color="auto"/>
                <w:lang w:eastAsia="zh-CN"/>
              </w:rPr>
              <w:t>非重金属废水</w:t>
            </w:r>
          </w:p>
        </w:tc>
        <w:tc>
          <w:tcPr>
            <w:tcW w:w="1412" w:type="pct"/>
            <w:vAlign w:val="center"/>
          </w:tcPr>
          <w:p w14:paraId="750229BB">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eastAsia" w:ascii="Times New Roman" w:hAnsi="Times New Roman" w:eastAsia="宋体" w:cs="Times New Roman"/>
                <w:bCs/>
                <w:color w:val="auto"/>
                <w:sz w:val="21"/>
                <w:szCs w:val="21"/>
                <w:highlight w:val="none"/>
                <w:u w:val="single" w:color="auto"/>
                <w:lang w:eastAsia="zh-CN"/>
              </w:rPr>
              <w:t>非重金属</w:t>
            </w:r>
            <w:r>
              <w:rPr>
                <w:rFonts w:hint="default" w:ascii="Times New Roman" w:hAnsi="Times New Roman" w:eastAsia="宋体" w:cs="Times New Roman"/>
                <w:bCs/>
                <w:color w:val="auto"/>
                <w:sz w:val="21"/>
                <w:szCs w:val="21"/>
                <w:highlight w:val="none"/>
                <w:u w:val="single" w:color="auto"/>
              </w:rPr>
              <w:t>废水处理设施</w:t>
            </w:r>
          </w:p>
        </w:tc>
        <w:tc>
          <w:tcPr>
            <w:tcW w:w="914" w:type="pct"/>
            <w:vAlign w:val="center"/>
          </w:tcPr>
          <w:p w14:paraId="05ACCE94">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40</w:t>
            </w:r>
          </w:p>
        </w:tc>
        <w:tc>
          <w:tcPr>
            <w:tcW w:w="1945" w:type="pct"/>
            <w:vAlign w:val="center"/>
          </w:tcPr>
          <w:p w14:paraId="2235A640">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eastAsia="zh-CN"/>
              </w:rPr>
              <w:t>隔油</w:t>
            </w:r>
            <w:r>
              <w:rPr>
                <w:rFonts w:hint="default" w:ascii="Times New Roman" w:hAnsi="Times New Roman" w:eastAsia="宋体" w:cs="Times New Roman"/>
                <w:bCs/>
                <w:color w:val="auto"/>
                <w:sz w:val="21"/>
                <w:szCs w:val="21"/>
                <w:highlight w:val="none"/>
                <w:u w:val="single" w:color="auto"/>
                <w:lang w:val="en-US" w:eastAsia="zh-CN"/>
              </w:rPr>
              <w:t>+</w:t>
            </w:r>
            <w:r>
              <w:rPr>
                <w:rFonts w:hint="default" w:ascii="Times New Roman" w:hAnsi="Times New Roman" w:eastAsia="宋体" w:cs="Times New Roman"/>
                <w:bCs/>
                <w:color w:val="auto"/>
                <w:sz w:val="21"/>
                <w:szCs w:val="21"/>
                <w:highlight w:val="none"/>
                <w:u w:val="single" w:color="auto"/>
              </w:rPr>
              <w:t>气浮+混凝沉淀+微滤+超滤</w:t>
            </w:r>
            <w:r>
              <w:rPr>
                <w:rFonts w:hint="default" w:ascii="Times New Roman" w:hAnsi="Times New Roman" w:eastAsia="宋体" w:cs="Times New Roman"/>
                <w:bCs/>
                <w:color w:val="auto"/>
                <w:sz w:val="21"/>
                <w:szCs w:val="21"/>
                <w:highlight w:val="none"/>
                <w:u w:val="single" w:color="auto"/>
                <w:lang w:val="en-US" w:eastAsia="zh-CN"/>
              </w:rPr>
              <w:t>+三效蒸发器</w:t>
            </w:r>
          </w:p>
        </w:tc>
      </w:tr>
      <w:bookmarkEnd w:id="103"/>
      <w:tr w14:paraId="6B9A9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28" w:type="pct"/>
            <w:vAlign w:val="center"/>
          </w:tcPr>
          <w:p w14:paraId="6970E7FA">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lang w:eastAsia="zh-CN"/>
              </w:rPr>
              <w:t>含重金属废水</w:t>
            </w:r>
          </w:p>
        </w:tc>
        <w:tc>
          <w:tcPr>
            <w:tcW w:w="1412" w:type="pct"/>
            <w:vAlign w:val="center"/>
          </w:tcPr>
          <w:p w14:paraId="7F89B7B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eastAsia" w:ascii="Times New Roman" w:hAnsi="Times New Roman" w:eastAsia="宋体" w:cs="Times New Roman"/>
                <w:bCs/>
                <w:color w:val="auto"/>
                <w:sz w:val="21"/>
                <w:szCs w:val="21"/>
                <w:highlight w:val="none"/>
                <w:u w:val="single" w:color="auto"/>
                <w:lang w:eastAsia="zh-CN"/>
              </w:rPr>
              <w:t>重金属</w:t>
            </w:r>
            <w:r>
              <w:rPr>
                <w:rFonts w:hint="default" w:ascii="Times New Roman" w:hAnsi="Times New Roman" w:eastAsia="宋体" w:cs="Times New Roman"/>
                <w:bCs/>
                <w:color w:val="auto"/>
                <w:sz w:val="21"/>
                <w:szCs w:val="21"/>
                <w:highlight w:val="none"/>
                <w:u w:val="single" w:color="auto"/>
              </w:rPr>
              <w:t>废水处理设施</w:t>
            </w:r>
          </w:p>
        </w:tc>
        <w:tc>
          <w:tcPr>
            <w:tcW w:w="914" w:type="pct"/>
            <w:vAlign w:val="center"/>
          </w:tcPr>
          <w:p w14:paraId="1B028156">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24</w:t>
            </w:r>
          </w:p>
        </w:tc>
        <w:tc>
          <w:tcPr>
            <w:tcW w:w="1945" w:type="pct"/>
            <w:vAlign w:val="center"/>
          </w:tcPr>
          <w:p w14:paraId="08D32127">
            <w:pPr>
              <w:snapToGrid w:val="0"/>
              <w:spacing w:line="240" w:lineRule="auto"/>
              <w:jc w:val="center"/>
              <w:rPr>
                <w:rFonts w:hint="default" w:ascii="Times New Roman" w:hAnsi="Times New Roman" w:eastAsia="宋体" w:cs="Times New Roman"/>
                <w:bCs/>
                <w:color w:val="auto"/>
                <w:sz w:val="21"/>
                <w:szCs w:val="21"/>
                <w:highlight w:val="none"/>
                <w:u w:val="single" w:color="auto"/>
              </w:rPr>
            </w:pPr>
            <w:bookmarkStart w:id="105" w:name="_Hlk26119578"/>
            <w:r>
              <w:rPr>
                <w:rFonts w:hint="default" w:ascii="Times New Roman" w:hAnsi="Times New Roman" w:eastAsia="宋体" w:cs="Times New Roman"/>
                <w:bCs/>
                <w:color w:val="auto"/>
                <w:sz w:val="21"/>
                <w:szCs w:val="21"/>
                <w:highlight w:val="none"/>
                <w:u w:val="single" w:color="auto"/>
                <w:lang w:val="en-US" w:eastAsia="zh-CN"/>
              </w:rPr>
              <w:t>pH调节+</w:t>
            </w:r>
            <w:r>
              <w:rPr>
                <w:rFonts w:hint="eastAsia" w:ascii="Times New Roman" w:hAnsi="Times New Roman" w:eastAsia="宋体" w:cs="Times New Roman"/>
                <w:bCs/>
                <w:color w:val="auto"/>
                <w:sz w:val="21"/>
                <w:szCs w:val="21"/>
                <w:highlight w:val="none"/>
                <w:u w:val="single" w:color="auto"/>
                <w:lang w:val="en-US" w:eastAsia="zh-CN"/>
              </w:rPr>
              <w:t>沉淀（自由沉降）</w:t>
            </w:r>
            <w:r>
              <w:rPr>
                <w:rFonts w:hint="default" w:ascii="Times New Roman" w:hAnsi="Times New Roman" w:eastAsia="宋体" w:cs="Times New Roman"/>
                <w:bCs/>
                <w:color w:val="auto"/>
                <w:sz w:val="21"/>
                <w:szCs w:val="21"/>
                <w:highlight w:val="none"/>
                <w:u w:val="single" w:color="auto"/>
                <w:lang w:val="en-US" w:eastAsia="zh-CN"/>
              </w:rPr>
              <w:t>+三效蒸发器</w:t>
            </w:r>
          </w:p>
          <w:bookmarkEnd w:id="105"/>
        </w:tc>
      </w:tr>
      <w:tr w14:paraId="09C3A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28" w:type="pct"/>
            <w:vAlign w:val="center"/>
          </w:tcPr>
          <w:p w14:paraId="36C17DD7">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机加工车间卫生废水、容器清洗废水、直接冷却废水</w:t>
            </w:r>
          </w:p>
        </w:tc>
        <w:tc>
          <w:tcPr>
            <w:tcW w:w="1412" w:type="pct"/>
            <w:vAlign w:val="center"/>
          </w:tcPr>
          <w:p w14:paraId="557D160C">
            <w:pPr>
              <w:snapToGrid w:val="0"/>
              <w:spacing w:line="240" w:lineRule="auto"/>
              <w:jc w:val="center"/>
              <w:rPr>
                <w:rFonts w:hint="eastAsia" w:ascii="Times New Roman" w:hAnsi="Times New Roman" w:eastAsia="宋体" w:cs="Times New Roman"/>
                <w:bCs/>
                <w:color w:val="auto"/>
                <w:sz w:val="21"/>
                <w:szCs w:val="21"/>
                <w:highlight w:val="none"/>
                <w:u w:val="single" w:color="auto"/>
                <w:lang w:eastAsia="zh-CN"/>
              </w:rPr>
            </w:pPr>
            <w:r>
              <w:rPr>
                <w:rFonts w:hint="eastAsia" w:ascii="Times New Roman" w:hAnsi="Times New Roman" w:eastAsia="宋体" w:cs="Times New Roman"/>
                <w:bCs/>
                <w:color w:val="auto"/>
                <w:sz w:val="21"/>
                <w:szCs w:val="21"/>
                <w:highlight w:val="none"/>
                <w:u w:val="single" w:color="auto"/>
                <w:lang w:val="en-US" w:eastAsia="zh-CN"/>
              </w:rPr>
              <w:t>沉淀池</w:t>
            </w:r>
          </w:p>
        </w:tc>
        <w:tc>
          <w:tcPr>
            <w:tcW w:w="914" w:type="pct"/>
            <w:vAlign w:val="center"/>
          </w:tcPr>
          <w:p w14:paraId="29D81EA4">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10</w:t>
            </w:r>
          </w:p>
        </w:tc>
        <w:tc>
          <w:tcPr>
            <w:tcW w:w="1945" w:type="pct"/>
            <w:vAlign w:val="center"/>
          </w:tcPr>
          <w:p w14:paraId="4F11CF2F">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沉淀</w:t>
            </w:r>
          </w:p>
        </w:tc>
      </w:tr>
      <w:tr w14:paraId="70027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28" w:type="pct"/>
            <w:vAlign w:val="center"/>
          </w:tcPr>
          <w:p w14:paraId="1D55F873">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lang w:eastAsia="zh-CN"/>
              </w:rPr>
              <w:t>生活污水</w:t>
            </w:r>
          </w:p>
        </w:tc>
        <w:tc>
          <w:tcPr>
            <w:tcW w:w="1412" w:type="pct"/>
            <w:vAlign w:val="center"/>
          </w:tcPr>
          <w:p w14:paraId="59F09E6B">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lang w:eastAsia="zh-CN"/>
              </w:rPr>
              <w:t>化粪池</w:t>
            </w:r>
          </w:p>
        </w:tc>
        <w:tc>
          <w:tcPr>
            <w:tcW w:w="914" w:type="pct"/>
            <w:vAlign w:val="center"/>
          </w:tcPr>
          <w:p w14:paraId="7CCF9DE5">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50</w:t>
            </w:r>
          </w:p>
        </w:tc>
        <w:tc>
          <w:tcPr>
            <w:tcW w:w="1945" w:type="pct"/>
            <w:vAlign w:val="center"/>
          </w:tcPr>
          <w:p w14:paraId="4C0BAF08">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化粪池</w:t>
            </w:r>
          </w:p>
        </w:tc>
      </w:tr>
      <w:bookmarkEnd w:id="104"/>
      <w:tr w14:paraId="3198A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28" w:type="pct"/>
            <w:vAlign w:val="center"/>
          </w:tcPr>
          <w:p w14:paraId="7824EC51">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合计</w:t>
            </w:r>
          </w:p>
        </w:tc>
        <w:tc>
          <w:tcPr>
            <w:tcW w:w="1412" w:type="pct"/>
            <w:vAlign w:val="center"/>
          </w:tcPr>
          <w:p w14:paraId="4E8438B1">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914" w:type="pct"/>
            <w:vAlign w:val="center"/>
          </w:tcPr>
          <w:p w14:paraId="10C6F9E4">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eastAsia" w:ascii="Times New Roman" w:hAnsi="Times New Roman" w:eastAsia="宋体" w:cs="Times New Roman"/>
                <w:bCs/>
                <w:color w:val="auto"/>
                <w:sz w:val="21"/>
                <w:szCs w:val="21"/>
                <w:highlight w:val="none"/>
                <w:u w:val="single" w:color="auto"/>
                <w:lang w:val="en-US" w:eastAsia="zh-CN"/>
              </w:rPr>
              <w:t>124</w:t>
            </w:r>
          </w:p>
        </w:tc>
        <w:tc>
          <w:tcPr>
            <w:tcW w:w="1945" w:type="pct"/>
            <w:vAlign w:val="center"/>
          </w:tcPr>
          <w:p w14:paraId="4C4825A8">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r>
    </w:tbl>
    <w:p w14:paraId="71A34DD1">
      <w:pPr>
        <w:ind w:firstLine="561"/>
        <w:rPr>
          <w:rFonts w:hint="default" w:ascii="Times New Roman" w:hAnsi="Times New Roman" w:eastAsia="宋体" w:cs="Times New Roman"/>
          <w:strike w:val="0"/>
          <w:dstrike w:val="0"/>
          <w:color w:val="auto"/>
          <w:sz w:val="24"/>
          <w:szCs w:val="21"/>
          <w:highlight w:val="none"/>
          <w:u w:val="single" w:color="auto"/>
          <w:lang w:eastAsia="zh-CN"/>
        </w:rPr>
      </w:pPr>
      <w:r>
        <w:rPr>
          <w:rFonts w:hint="default" w:ascii="Times New Roman" w:hAnsi="Times New Roman" w:eastAsia="宋体" w:cs="Times New Roman"/>
          <w:strike w:val="0"/>
          <w:dstrike w:val="0"/>
          <w:color w:val="auto"/>
          <w:sz w:val="24"/>
          <w:szCs w:val="21"/>
          <w:highlight w:val="none"/>
          <w:u w:val="single" w:color="auto"/>
        </w:rPr>
        <w:t>项目各类废水经专有管道收集后，前处理废水排入</w:t>
      </w:r>
      <w:r>
        <w:rPr>
          <w:rFonts w:hint="eastAsia" w:ascii="Times New Roman" w:hAnsi="Times New Roman" w:eastAsia="宋体" w:cs="Times New Roman"/>
          <w:strike w:val="0"/>
          <w:dstrike w:val="0"/>
          <w:color w:val="auto"/>
          <w:sz w:val="24"/>
          <w:szCs w:val="21"/>
          <w:highlight w:val="none"/>
          <w:u w:val="single" w:color="auto"/>
          <w:lang w:eastAsia="zh-CN"/>
        </w:rPr>
        <w:t>非重金属废水处理设施</w:t>
      </w:r>
      <w:r>
        <w:rPr>
          <w:rFonts w:hint="default" w:ascii="Times New Roman" w:hAnsi="Times New Roman" w:eastAsia="宋体" w:cs="Times New Roman"/>
          <w:strike w:val="0"/>
          <w:dstrike w:val="0"/>
          <w:color w:val="auto"/>
          <w:sz w:val="24"/>
          <w:szCs w:val="21"/>
          <w:highlight w:val="none"/>
          <w:u w:val="single" w:color="auto"/>
        </w:rPr>
        <w:t>，通过隔油+沉淀可去除大部分的COD及SS；含</w:t>
      </w:r>
      <w:r>
        <w:rPr>
          <w:rFonts w:hint="default" w:ascii="Times New Roman" w:hAnsi="Times New Roman" w:eastAsia="宋体" w:cs="Times New Roman"/>
          <w:strike w:val="0"/>
          <w:dstrike w:val="0"/>
          <w:color w:val="auto"/>
          <w:sz w:val="24"/>
          <w:szCs w:val="21"/>
          <w:highlight w:val="none"/>
          <w:u w:val="single" w:color="auto"/>
          <w:lang w:eastAsia="zh-CN"/>
        </w:rPr>
        <w:t>重金属</w:t>
      </w:r>
      <w:r>
        <w:rPr>
          <w:rFonts w:hint="default" w:ascii="Times New Roman" w:hAnsi="Times New Roman" w:eastAsia="宋体" w:cs="Times New Roman"/>
          <w:strike w:val="0"/>
          <w:dstrike w:val="0"/>
          <w:color w:val="auto"/>
          <w:sz w:val="24"/>
          <w:szCs w:val="21"/>
          <w:highlight w:val="none"/>
          <w:u w:val="single" w:color="auto"/>
        </w:rPr>
        <w:t>废水</w:t>
      </w:r>
      <w:r>
        <w:rPr>
          <w:rFonts w:hint="default" w:ascii="Times New Roman" w:hAnsi="Times New Roman" w:eastAsia="宋体" w:cs="Times New Roman"/>
          <w:strike w:val="0"/>
          <w:dstrike w:val="0"/>
          <w:color w:val="auto"/>
          <w:sz w:val="24"/>
          <w:szCs w:val="21"/>
          <w:highlight w:val="none"/>
          <w:u w:val="single" w:color="auto"/>
          <w:lang w:eastAsia="zh-CN"/>
        </w:rPr>
        <w:t>酸碱中和后</w:t>
      </w:r>
      <w:r>
        <w:rPr>
          <w:rFonts w:hint="eastAsia" w:ascii="Times New Roman" w:hAnsi="Times New Roman" w:eastAsia="宋体" w:cs="Times New Roman"/>
          <w:strike w:val="0"/>
          <w:dstrike w:val="0"/>
          <w:color w:val="auto"/>
          <w:sz w:val="24"/>
          <w:szCs w:val="21"/>
          <w:highlight w:val="none"/>
          <w:u w:val="single" w:color="auto"/>
          <w:lang w:eastAsia="zh-CN"/>
        </w:rPr>
        <w:t>经自由沉降</w:t>
      </w:r>
      <w:r>
        <w:rPr>
          <w:rFonts w:hint="default" w:ascii="Times New Roman" w:hAnsi="Times New Roman" w:eastAsia="宋体" w:cs="Times New Roman"/>
          <w:strike w:val="0"/>
          <w:dstrike w:val="0"/>
          <w:color w:val="auto"/>
          <w:sz w:val="24"/>
          <w:szCs w:val="21"/>
          <w:highlight w:val="none"/>
          <w:u w:val="single" w:color="auto"/>
        </w:rPr>
        <w:t>可去除</w:t>
      </w:r>
      <w:r>
        <w:rPr>
          <w:rFonts w:hint="eastAsia" w:ascii="Times New Roman" w:hAnsi="Times New Roman" w:eastAsia="宋体" w:cs="Times New Roman"/>
          <w:strike w:val="0"/>
          <w:dstrike w:val="0"/>
          <w:color w:val="auto"/>
          <w:sz w:val="24"/>
          <w:szCs w:val="21"/>
          <w:highlight w:val="none"/>
          <w:u w:val="single" w:color="auto"/>
          <w:lang w:eastAsia="zh-CN"/>
        </w:rPr>
        <w:t>部分</w:t>
      </w:r>
      <w:r>
        <w:rPr>
          <w:rFonts w:hint="default" w:ascii="Times New Roman" w:hAnsi="Times New Roman" w:eastAsia="宋体" w:cs="Times New Roman"/>
          <w:strike w:val="0"/>
          <w:dstrike w:val="0"/>
          <w:color w:val="auto"/>
          <w:sz w:val="24"/>
          <w:szCs w:val="21"/>
          <w:highlight w:val="none"/>
          <w:u w:val="single" w:color="auto"/>
        </w:rPr>
        <w:t>重金属。项目各类废水经预处理后</w:t>
      </w:r>
      <w:r>
        <w:rPr>
          <w:rFonts w:hint="default" w:ascii="Times New Roman" w:hAnsi="Times New Roman" w:eastAsia="宋体" w:cs="Times New Roman"/>
          <w:strike w:val="0"/>
          <w:dstrike w:val="0"/>
          <w:color w:val="auto"/>
          <w:sz w:val="24"/>
          <w:szCs w:val="21"/>
          <w:highlight w:val="none"/>
          <w:u w:val="single" w:color="auto"/>
          <w:lang w:eastAsia="zh-CN"/>
        </w:rPr>
        <w:t>部分回用于生产，部分</w:t>
      </w:r>
      <w:r>
        <w:rPr>
          <w:rFonts w:hint="default" w:ascii="Times New Roman" w:hAnsi="Times New Roman" w:eastAsia="宋体" w:cs="Times New Roman"/>
          <w:strike w:val="0"/>
          <w:dstrike w:val="0"/>
          <w:color w:val="auto"/>
          <w:sz w:val="24"/>
          <w:szCs w:val="21"/>
          <w:highlight w:val="none"/>
          <w:u w:val="single" w:color="auto"/>
        </w:rPr>
        <w:t>进入</w:t>
      </w:r>
      <w:r>
        <w:rPr>
          <w:rFonts w:hint="default" w:ascii="Times New Roman" w:hAnsi="Times New Roman" w:eastAsia="宋体" w:cs="Times New Roman"/>
          <w:color w:val="auto"/>
          <w:sz w:val="24"/>
          <w:szCs w:val="24"/>
          <w:highlight w:val="none"/>
          <w:u w:val="single" w:color="auto"/>
          <w:lang w:val="en-US" w:eastAsia="zh-CN"/>
        </w:rPr>
        <w:t>三效蒸发器</w:t>
      </w:r>
      <w:r>
        <w:rPr>
          <w:rFonts w:hint="default" w:ascii="Times New Roman" w:hAnsi="Times New Roman" w:eastAsia="宋体" w:cs="Times New Roman"/>
          <w:strike w:val="0"/>
          <w:dstrike w:val="0"/>
          <w:color w:val="auto"/>
          <w:sz w:val="24"/>
          <w:szCs w:val="21"/>
          <w:highlight w:val="none"/>
          <w:u w:val="single" w:color="auto"/>
        </w:rPr>
        <w:t>，各类重金属最终成为</w:t>
      </w:r>
      <w:r>
        <w:rPr>
          <w:rFonts w:hint="default" w:ascii="Times New Roman" w:hAnsi="Times New Roman" w:eastAsia="宋体" w:cs="Times New Roman"/>
          <w:color w:val="auto"/>
          <w:sz w:val="24"/>
          <w:szCs w:val="24"/>
          <w:highlight w:val="none"/>
          <w:u w:val="single" w:color="auto"/>
          <w:lang w:val="en-US" w:eastAsia="zh-CN"/>
        </w:rPr>
        <w:t>三效蒸发器蒸</w:t>
      </w:r>
      <w:r>
        <w:rPr>
          <w:rFonts w:hint="eastAsia" w:ascii="Times New Roman" w:hAnsi="Times New Roman" w:eastAsia="宋体" w:cs="Times New Roman"/>
          <w:color w:val="auto"/>
          <w:sz w:val="24"/>
          <w:szCs w:val="24"/>
          <w:highlight w:val="none"/>
          <w:u w:val="single" w:color="auto"/>
          <w:lang w:val="en-US" w:eastAsia="zh-CN"/>
        </w:rPr>
        <w:t>发</w:t>
      </w:r>
      <w:r>
        <w:rPr>
          <w:rFonts w:hint="default" w:ascii="Times New Roman" w:hAnsi="Times New Roman" w:eastAsia="宋体" w:cs="Times New Roman"/>
          <w:strike w:val="0"/>
          <w:dstrike w:val="0"/>
          <w:color w:val="auto"/>
          <w:sz w:val="24"/>
          <w:szCs w:val="21"/>
          <w:highlight w:val="none"/>
          <w:u w:val="single" w:color="auto"/>
        </w:rPr>
        <w:t>残渣作为危险废物处置，无废水外排</w:t>
      </w:r>
      <w:r>
        <w:rPr>
          <w:rFonts w:hint="default" w:ascii="Times New Roman" w:hAnsi="Times New Roman" w:eastAsia="宋体" w:cs="Times New Roman"/>
          <w:strike w:val="0"/>
          <w:dstrike w:val="0"/>
          <w:color w:val="auto"/>
          <w:sz w:val="24"/>
          <w:szCs w:val="21"/>
          <w:highlight w:val="none"/>
          <w:u w:val="single" w:color="auto"/>
          <w:lang w:eastAsia="zh-CN"/>
        </w:rPr>
        <w:t>；</w:t>
      </w:r>
      <w:r>
        <w:rPr>
          <w:rFonts w:hint="default" w:ascii="Times New Roman" w:hAnsi="Times New Roman" w:eastAsia="宋体" w:cs="Times New Roman"/>
          <w:color w:val="auto"/>
          <w:sz w:val="24"/>
          <w:szCs w:val="24"/>
          <w:highlight w:val="none"/>
          <w:u w:val="single" w:color="auto"/>
        </w:rPr>
        <w:t>生活污水经厂内化粪池预处理后排至松木污水处理厂</w:t>
      </w:r>
      <w:r>
        <w:rPr>
          <w:rFonts w:hint="default" w:ascii="Times New Roman" w:hAnsi="Times New Roman" w:eastAsia="宋体" w:cs="Times New Roman"/>
          <w:color w:val="auto"/>
          <w:sz w:val="24"/>
          <w:szCs w:val="24"/>
          <w:highlight w:val="none"/>
          <w:u w:val="single" w:color="auto"/>
          <w:lang w:eastAsia="zh-CN"/>
        </w:rPr>
        <w:t>处理达标后</w:t>
      </w:r>
      <w:r>
        <w:rPr>
          <w:rFonts w:hint="default" w:ascii="Times New Roman" w:hAnsi="Times New Roman" w:eastAsia="宋体" w:cs="Times New Roman"/>
          <w:color w:val="auto"/>
          <w:sz w:val="24"/>
          <w:szCs w:val="24"/>
          <w:highlight w:val="none"/>
          <w:u w:val="single" w:color="auto"/>
        </w:rPr>
        <w:t>再排入</w:t>
      </w:r>
      <w:r>
        <w:rPr>
          <w:rFonts w:hint="default" w:ascii="Times New Roman" w:hAnsi="Times New Roman" w:eastAsia="宋体" w:cs="Times New Roman"/>
          <w:color w:val="auto"/>
          <w:sz w:val="24"/>
          <w:szCs w:val="24"/>
          <w:highlight w:val="none"/>
          <w:u w:val="single" w:color="auto"/>
          <w:lang w:eastAsia="zh-CN"/>
        </w:rPr>
        <w:t>湘江</w:t>
      </w:r>
      <w:r>
        <w:rPr>
          <w:rFonts w:hint="eastAsia" w:ascii="Times New Roman" w:hAnsi="Times New Roman" w:eastAsia="宋体" w:cs="Times New Roman"/>
          <w:color w:val="auto"/>
          <w:sz w:val="24"/>
          <w:szCs w:val="24"/>
          <w:highlight w:val="none"/>
          <w:u w:val="single" w:color="auto"/>
          <w:lang w:eastAsia="zh-CN"/>
        </w:rPr>
        <w:t>；</w:t>
      </w:r>
      <w:r>
        <w:rPr>
          <w:rFonts w:hint="eastAsia" w:ascii="Times New Roman" w:hAnsi="Times New Roman" w:eastAsia="宋体" w:cs="Times New Roman"/>
          <w:color w:val="auto"/>
          <w:sz w:val="24"/>
          <w:szCs w:val="24"/>
          <w:highlight w:val="none"/>
          <w:u w:val="single" w:color="auto"/>
          <w:lang w:val="en-US" w:eastAsia="zh-CN"/>
        </w:rPr>
        <w:t>机加工车间卫生废水、容器清洗废水、直接冷却废水</w:t>
      </w:r>
      <w:r>
        <w:rPr>
          <w:rFonts w:hint="default" w:ascii="Times New Roman" w:hAnsi="Times New Roman" w:eastAsia="宋体" w:cs="Times New Roman"/>
          <w:color w:val="auto"/>
          <w:sz w:val="24"/>
          <w:szCs w:val="24"/>
          <w:highlight w:val="none"/>
          <w:u w:val="single" w:color="auto"/>
        </w:rPr>
        <w:t>经</w:t>
      </w:r>
      <w:r>
        <w:rPr>
          <w:rFonts w:hint="eastAsia" w:ascii="Times New Roman" w:hAnsi="Times New Roman" w:eastAsia="宋体" w:cs="Times New Roman"/>
          <w:color w:val="auto"/>
          <w:sz w:val="24"/>
          <w:szCs w:val="24"/>
          <w:highlight w:val="none"/>
          <w:u w:val="single" w:color="auto"/>
          <w:lang w:val="en-US" w:eastAsia="zh-CN"/>
        </w:rPr>
        <w:t>独立沉淀池</w:t>
      </w:r>
      <w:r>
        <w:rPr>
          <w:rFonts w:hint="default" w:ascii="Times New Roman" w:hAnsi="Times New Roman" w:eastAsia="宋体" w:cs="Times New Roman"/>
          <w:color w:val="auto"/>
          <w:sz w:val="24"/>
          <w:szCs w:val="24"/>
          <w:highlight w:val="none"/>
          <w:u w:val="single" w:color="auto"/>
        </w:rPr>
        <w:t>预处理后排至松木污水处理厂</w:t>
      </w:r>
      <w:r>
        <w:rPr>
          <w:rFonts w:hint="default" w:ascii="Times New Roman" w:hAnsi="Times New Roman" w:eastAsia="宋体" w:cs="Times New Roman"/>
          <w:color w:val="auto"/>
          <w:sz w:val="24"/>
          <w:szCs w:val="24"/>
          <w:highlight w:val="none"/>
          <w:u w:val="single" w:color="auto"/>
          <w:lang w:eastAsia="zh-CN"/>
        </w:rPr>
        <w:t>处理达标后</w:t>
      </w:r>
      <w:r>
        <w:rPr>
          <w:rFonts w:hint="default" w:ascii="Times New Roman" w:hAnsi="Times New Roman" w:eastAsia="宋体" w:cs="Times New Roman"/>
          <w:color w:val="auto"/>
          <w:sz w:val="24"/>
          <w:szCs w:val="24"/>
          <w:highlight w:val="none"/>
          <w:u w:val="single" w:color="auto"/>
        </w:rPr>
        <w:t>再排入</w:t>
      </w:r>
      <w:r>
        <w:rPr>
          <w:rFonts w:hint="default" w:ascii="Times New Roman" w:hAnsi="Times New Roman" w:eastAsia="宋体" w:cs="Times New Roman"/>
          <w:color w:val="auto"/>
          <w:sz w:val="24"/>
          <w:szCs w:val="24"/>
          <w:highlight w:val="none"/>
          <w:u w:val="single" w:color="auto"/>
          <w:lang w:eastAsia="zh-CN"/>
        </w:rPr>
        <w:t>湘江。</w:t>
      </w:r>
    </w:p>
    <w:p w14:paraId="0517E582">
      <w:pPr>
        <w:ind w:firstLine="561"/>
        <w:rPr>
          <w:rFonts w:hint="default" w:ascii="Times New Roman" w:hAnsi="Times New Roman" w:eastAsia="宋体" w:cs="Times New Roman"/>
          <w:strike w:val="0"/>
          <w:dstrike w:val="0"/>
          <w:color w:val="auto"/>
          <w:sz w:val="24"/>
          <w:szCs w:val="21"/>
          <w:highlight w:val="none"/>
          <w:u w:val="none" w:color="auto"/>
        </w:rPr>
      </w:pPr>
      <w:r>
        <w:rPr>
          <w:rFonts w:hint="default" w:ascii="Times New Roman" w:hAnsi="Times New Roman" w:eastAsia="宋体" w:cs="Times New Roman"/>
          <w:strike w:val="0"/>
          <w:dstrike w:val="0"/>
          <w:color w:val="auto"/>
          <w:sz w:val="24"/>
          <w:szCs w:val="21"/>
          <w:highlight w:val="none"/>
          <w:u w:val="single" w:color="auto"/>
        </w:rPr>
        <w:t>具体的工艺</w:t>
      </w:r>
      <w:r>
        <w:rPr>
          <w:rFonts w:hint="default" w:ascii="Times New Roman" w:hAnsi="Times New Roman" w:eastAsia="宋体" w:cs="Times New Roman"/>
          <w:strike w:val="0"/>
          <w:dstrike w:val="0"/>
          <w:color w:val="auto"/>
          <w:sz w:val="24"/>
          <w:szCs w:val="21"/>
          <w:highlight w:val="none"/>
          <w:u w:val="single" w:color="auto"/>
          <w:lang w:eastAsia="zh-CN"/>
        </w:rPr>
        <w:t>流程如下</w:t>
      </w:r>
      <w:r>
        <w:rPr>
          <w:rFonts w:hint="default" w:ascii="Times New Roman" w:hAnsi="Times New Roman" w:eastAsia="宋体" w:cs="Times New Roman"/>
          <w:strike w:val="0"/>
          <w:dstrike w:val="0"/>
          <w:color w:val="auto"/>
          <w:sz w:val="24"/>
          <w:szCs w:val="21"/>
          <w:highlight w:val="none"/>
          <w:u w:val="none" w:color="auto"/>
        </w:rPr>
        <w:t>。</w:t>
      </w:r>
    </w:p>
    <w:p w14:paraId="0E50B8BF">
      <w:pPr>
        <w:spacing w:line="240" w:lineRule="auto"/>
        <w:ind w:firstLine="0" w:firstLineChars="0"/>
        <w:jc w:val="center"/>
        <w:rPr>
          <w:rFonts w:hint="default" w:ascii="Times New Roman" w:hAnsi="Times New Roman" w:eastAsia="宋体" w:cs="Times New Roman"/>
          <w:b/>
          <w:strike w:val="0"/>
          <w:dstrike w:val="0"/>
          <w:color w:val="auto"/>
          <w:sz w:val="21"/>
          <w:szCs w:val="18"/>
          <w:highlight w:val="none"/>
          <w:u w:val="single" w:color="auto"/>
          <w:lang w:eastAsia="zh-CN"/>
        </w:rPr>
      </w:pPr>
      <w:r>
        <w:rPr>
          <w:rFonts w:hint="default" w:ascii="Times New Roman" w:hAnsi="Times New Roman" w:cs="Times New Roman"/>
          <w:color w:val="auto"/>
          <w:highlight w:val="none"/>
          <w:u w:val="single" w:color="auto"/>
        </w:rPr>
        <w:object>
          <v:shape id="_x0000_i1044" o:spt="75" type="#_x0000_t75" style="height:184.25pt;width:416.25pt;" o:ole="t" filled="f" o:preferrelative="t" stroked="f" coordsize="21600,21600">
            <v:path/>
            <v:fill on="f" focussize="0,0"/>
            <v:stroke on="f"/>
            <v:imagedata r:id="rId18" o:title=""/>
            <o:lock v:ext="edit" aspectratio="f"/>
            <w10:wrap type="none"/>
            <w10:anchorlock/>
          </v:shape>
          <o:OLEObject Type="Embed" ProgID="Visio.Drawing.15" ShapeID="_x0000_i1044" DrawAspect="Content" ObjectID="_1468075744" r:id="rId67">
            <o:LockedField>false</o:LockedField>
          </o:OLEObject>
        </w:object>
      </w:r>
    </w:p>
    <w:p w14:paraId="52BA78A9">
      <w:pPr>
        <w:spacing w:line="240" w:lineRule="auto"/>
        <w:ind w:firstLine="0" w:firstLineChars="0"/>
        <w:jc w:val="center"/>
        <w:rPr>
          <w:rFonts w:hint="default" w:ascii="Times New Roman" w:hAnsi="Times New Roman" w:eastAsia="宋体" w:cs="Times New Roman"/>
          <w:b/>
          <w:strike w:val="0"/>
          <w:dstrike w:val="0"/>
          <w:color w:val="auto"/>
          <w:sz w:val="21"/>
          <w:szCs w:val="18"/>
          <w:highlight w:val="none"/>
          <w:u w:val="single" w:color="auto"/>
          <w:lang w:val="en-US" w:eastAsia="zh-CN"/>
        </w:rPr>
      </w:pPr>
      <w:r>
        <w:rPr>
          <w:rFonts w:hint="default" w:ascii="Times New Roman" w:hAnsi="Times New Roman" w:eastAsia="宋体" w:cs="Times New Roman"/>
          <w:b/>
          <w:strike w:val="0"/>
          <w:dstrike w:val="0"/>
          <w:color w:val="auto"/>
          <w:sz w:val="21"/>
          <w:szCs w:val="18"/>
          <w:highlight w:val="none"/>
          <w:u w:val="single" w:color="auto"/>
          <w:lang w:eastAsia="zh-CN"/>
        </w:rPr>
        <w:t>图</w:t>
      </w:r>
      <w:r>
        <w:rPr>
          <w:rFonts w:hint="eastAsia" w:ascii="Times New Roman" w:hAnsi="Times New Roman" w:eastAsia="宋体" w:cs="Times New Roman"/>
          <w:b/>
          <w:strike w:val="0"/>
          <w:dstrike w:val="0"/>
          <w:color w:val="auto"/>
          <w:sz w:val="21"/>
          <w:szCs w:val="18"/>
          <w:highlight w:val="none"/>
          <w:u w:val="single" w:color="auto"/>
          <w:lang w:val="en-US" w:eastAsia="zh-CN"/>
        </w:rPr>
        <w:t>9</w:t>
      </w:r>
      <w:r>
        <w:rPr>
          <w:rFonts w:hint="default" w:ascii="Times New Roman" w:hAnsi="Times New Roman" w:eastAsia="宋体" w:cs="Times New Roman"/>
          <w:b/>
          <w:strike w:val="0"/>
          <w:dstrike w:val="0"/>
          <w:color w:val="auto"/>
          <w:sz w:val="21"/>
          <w:szCs w:val="18"/>
          <w:highlight w:val="none"/>
          <w:u w:val="single" w:color="auto"/>
          <w:lang w:val="en-US" w:eastAsia="zh-CN"/>
        </w:rPr>
        <w:t>.2-2 污水处理工艺图</w:t>
      </w:r>
    </w:p>
    <w:p w14:paraId="41BA1403">
      <w:pPr>
        <w:ind w:firstLine="561"/>
        <w:rPr>
          <w:rFonts w:hint="default" w:ascii="Times New Roman" w:hAnsi="Times New Roman" w:eastAsia="宋体" w:cs="Times New Roman"/>
          <w:strike w:val="0"/>
          <w:dstrike w:val="0"/>
          <w:color w:val="auto"/>
          <w:sz w:val="24"/>
          <w:szCs w:val="21"/>
          <w:highlight w:val="none"/>
          <w:u w:val="single" w:color="auto"/>
          <w:lang w:val="en-US" w:eastAsia="zh-CN"/>
        </w:rPr>
      </w:pPr>
      <w:r>
        <w:rPr>
          <w:rFonts w:hint="default" w:ascii="Times New Roman" w:hAnsi="Times New Roman" w:eastAsia="宋体" w:cs="Times New Roman"/>
          <w:strike w:val="0"/>
          <w:dstrike w:val="0"/>
          <w:color w:val="auto"/>
          <w:sz w:val="24"/>
          <w:szCs w:val="21"/>
          <w:highlight w:val="none"/>
          <w:u w:val="single" w:color="auto"/>
          <w:lang w:val="en-US" w:eastAsia="zh-CN"/>
        </w:rPr>
        <w:t>三效蒸发器设备系统图见图</w:t>
      </w:r>
      <w:r>
        <w:rPr>
          <w:rFonts w:hint="eastAsia" w:ascii="Times New Roman" w:hAnsi="Times New Roman" w:eastAsia="宋体" w:cs="Times New Roman"/>
          <w:strike w:val="0"/>
          <w:dstrike w:val="0"/>
          <w:color w:val="auto"/>
          <w:sz w:val="24"/>
          <w:szCs w:val="21"/>
          <w:highlight w:val="none"/>
          <w:u w:val="single" w:color="auto"/>
          <w:lang w:val="en-US" w:eastAsia="zh-CN"/>
        </w:rPr>
        <w:t>9</w:t>
      </w:r>
      <w:r>
        <w:rPr>
          <w:rFonts w:hint="default" w:ascii="Times New Roman" w:hAnsi="Times New Roman" w:eastAsia="宋体" w:cs="Times New Roman"/>
          <w:strike w:val="0"/>
          <w:dstrike w:val="0"/>
          <w:color w:val="auto"/>
          <w:sz w:val="24"/>
          <w:szCs w:val="21"/>
          <w:highlight w:val="none"/>
          <w:u w:val="single" w:color="auto"/>
          <w:lang w:val="en-US" w:eastAsia="zh-CN"/>
        </w:rPr>
        <w:t>.2-3。</w:t>
      </w:r>
    </w:p>
    <w:p w14:paraId="7CEAA852">
      <w:pPr>
        <w:spacing w:line="240" w:lineRule="auto"/>
        <w:rPr>
          <w:rFonts w:hint="default" w:ascii="Times New Roman" w:hAnsi="Times New Roman" w:eastAsia="仿宋_GB2312" w:cs="Times New Roman"/>
          <w:color w:val="auto"/>
          <w:u w:val="single" w:color="auto"/>
          <w:lang w:val="en-US" w:eastAsia="zh-CN"/>
        </w:rPr>
      </w:pPr>
      <w:r>
        <w:rPr>
          <w:rFonts w:hint="default" w:ascii="Times New Roman" w:hAnsi="Times New Roman" w:eastAsia="仿宋_GB2312" w:cs="Times New Roman"/>
          <w:color w:val="auto"/>
          <w:u w:val="single" w:color="auto"/>
          <w:lang w:val="en-US" w:eastAsia="zh-CN"/>
        </w:rPr>
        <w:drawing>
          <wp:inline distT="0" distB="0" distL="114300" distR="114300">
            <wp:extent cx="5102860" cy="3213100"/>
            <wp:effectExtent l="0" t="0" r="2540" b="6350"/>
            <wp:docPr id="17" name="图片 17" descr="166530173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5301735997"/>
                    <pic:cNvPicPr>
                      <a:picLocks noChangeAspect="1"/>
                    </pic:cNvPicPr>
                  </pic:nvPicPr>
                  <pic:blipFill>
                    <a:blip r:embed="rId68"/>
                    <a:srcRect t="270" r="421" b="8805"/>
                    <a:stretch>
                      <a:fillRect/>
                    </a:stretch>
                  </pic:blipFill>
                  <pic:spPr>
                    <a:xfrm>
                      <a:off x="0" y="0"/>
                      <a:ext cx="5102860" cy="3213100"/>
                    </a:xfrm>
                    <a:prstGeom prst="rect">
                      <a:avLst/>
                    </a:prstGeom>
                  </pic:spPr>
                </pic:pic>
              </a:graphicData>
            </a:graphic>
          </wp:inline>
        </w:drawing>
      </w:r>
    </w:p>
    <w:p w14:paraId="4BB95CE8">
      <w:pPr>
        <w:pStyle w:val="9"/>
        <w:ind w:left="0" w:leftChars="0" w:firstLine="0" w:firstLineChars="0"/>
        <w:jc w:val="center"/>
        <w:rPr>
          <w:rFonts w:hint="default" w:ascii="Times New Roman" w:hAnsi="Times New Roman" w:eastAsia="宋体" w:cs="Times New Roman"/>
          <w:b/>
          <w:strike w:val="0"/>
          <w:dstrike w:val="0"/>
          <w:color w:val="auto"/>
          <w:kern w:val="2"/>
          <w:sz w:val="21"/>
          <w:szCs w:val="18"/>
          <w:highlight w:val="none"/>
          <w:u w:val="single" w:color="auto"/>
          <w:lang w:val="en-US" w:eastAsia="zh-CN" w:bidi="ar-SA"/>
        </w:rPr>
      </w:pPr>
      <w:r>
        <w:rPr>
          <w:rFonts w:hint="default" w:ascii="Times New Roman" w:hAnsi="Times New Roman" w:eastAsia="宋体" w:cs="Times New Roman"/>
          <w:b/>
          <w:strike w:val="0"/>
          <w:dstrike w:val="0"/>
          <w:color w:val="auto"/>
          <w:kern w:val="2"/>
          <w:sz w:val="21"/>
          <w:szCs w:val="18"/>
          <w:highlight w:val="none"/>
          <w:u w:val="single" w:color="auto"/>
          <w:lang w:val="en-US" w:eastAsia="zh-CN" w:bidi="ar-SA"/>
        </w:rPr>
        <w:t>图</w:t>
      </w:r>
      <w:r>
        <w:rPr>
          <w:rFonts w:hint="eastAsia" w:ascii="Times New Roman" w:hAnsi="Times New Roman" w:eastAsia="宋体" w:cs="Times New Roman"/>
          <w:b/>
          <w:strike w:val="0"/>
          <w:dstrike w:val="0"/>
          <w:color w:val="auto"/>
          <w:kern w:val="2"/>
          <w:sz w:val="21"/>
          <w:szCs w:val="18"/>
          <w:highlight w:val="none"/>
          <w:u w:val="single" w:color="auto"/>
          <w:lang w:val="en-US" w:eastAsia="zh-CN" w:bidi="ar-SA"/>
        </w:rPr>
        <w:t>9</w:t>
      </w:r>
      <w:r>
        <w:rPr>
          <w:rFonts w:hint="default" w:ascii="Times New Roman" w:hAnsi="Times New Roman" w:eastAsia="宋体" w:cs="Times New Roman"/>
          <w:b/>
          <w:strike w:val="0"/>
          <w:dstrike w:val="0"/>
          <w:color w:val="auto"/>
          <w:kern w:val="2"/>
          <w:sz w:val="21"/>
          <w:szCs w:val="18"/>
          <w:highlight w:val="none"/>
          <w:u w:val="single" w:color="auto"/>
          <w:lang w:val="en-US" w:eastAsia="zh-CN" w:bidi="ar-SA"/>
        </w:rPr>
        <w:t>.2-3 三效蒸发器污水处理系统图</w:t>
      </w:r>
    </w:p>
    <w:p w14:paraId="5BCFF283">
      <w:pPr>
        <w:ind w:firstLine="561"/>
        <w:rPr>
          <w:rFonts w:hint="default" w:ascii="Times New Roman" w:hAnsi="Times New Roman" w:eastAsia="宋体" w:cs="Times New Roman"/>
          <w:strike w:val="0"/>
          <w:dstrike w:val="0"/>
          <w:color w:val="auto"/>
          <w:sz w:val="24"/>
          <w:szCs w:val="21"/>
          <w:highlight w:val="none"/>
          <w:u w:val="single" w:color="auto"/>
          <w:lang w:val="en-US" w:eastAsia="zh-CN"/>
        </w:rPr>
      </w:pPr>
      <w:r>
        <w:rPr>
          <w:rFonts w:hint="default" w:ascii="Times New Roman" w:hAnsi="Times New Roman" w:eastAsia="宋体" w:cs="Times New Roman"/>
          <w:strike w:val="0"/>
          <w:dstrike w:val="0"/>
          <w:color w:val="auto"/>
          <w:sz w:val="24"/>
          <w:szCs w:val="21"/>
          <w:highlight w:val="none"/>
          <w:u w:val="single" w:color="auto"/>
          <w:lang w:val="en-US" w:eastAsia="zh-CN"/>
        </w:rPr>
        <w:t>三效蒸发器原理：三效蒸发器主要由相互串联的三组蒸发器、冷凝器、盐分离器和辅助设备等组成三组蒸发器以串联的形式运行，组成三效蒸发器。</w:t>
      </w:r>
    </w:p>
    <w:p w14:paraId="1CCD007C">
      <w:pPr>
        <w:ind w:firstLine="561"/>
        <w:rPr>
          <w:rFonts w:hint="default" w:ascii="Times New Roman" w:hAnsi="Times New Roman" w:eastAsia="宋体" w:cs="Times New Roman"/>
          <w:strike w:val="0"/>
          <w:dstrike w:val="0"/>
          <w:color w:val="auto"/>
          <w:sz w:val="24"/>
          <w:szCs w:val="21"/>
          <w:highlight w:val="none"/>
          <w:u w:val="single" w:color="auto"/>
          <w:lang w:val="en-US" w:eastAsia="zh-CN"/>
        </w:rPr>
      </w:pPr>
      <w:r>
        <w:rPr>
          <w:rFonts w:hint="default" w:ascii="Times New Roman" w:hAnsi="Times New Roman" w:eastAsia="宋体" w:cs="Times New Roman"/>
          <w:strike w:val="0"/>
          <w:dstrike w:val="0"/>
          <w:color w:val="auto"/>
          <w:sz w:val="24"/>
          <w:szCs w:val="21"/>
          <w:highlight w:val="none"/>
          <w:u w:val="single" w:color="auto"/>
          <w:lang w:val="en-US" w:eastAsia="zh-CN"/>
        </w:rPr>
        <w:t>整套蒸发系统采用连续进料连续出料的生产方式。需要蒸发的物料经进料泵进入一效加热器进行加热，然后进入蒸发室，进行蒸发，在分离器中进行气液分离，溶液从分离器底部流入循环泵吸入口，利用循环泵送入加热器、分离器进行循环流动与蒸发，蒸发出来的蒸汽进入冷凝器被全部冷凝。</w:t>
      </w:r>
    </w:p>
    <w:p w14:paraId="4C9226D1">
      <w:pPr>
        <w:ind w:firstLine="561"/>
        <w:rPr>
          <w:rFonts w:hint="default" w:ascii="Times New Roman" w:hAnsi="Times New Roman" w:eastAsia="宋体" w:cs="Times New Roman"/>
          <w:strike w:val="0"/>
          <w:dstrike w:val="0"/>
          <w:color w:val="auto"/>
          <w:sz w:val="24"/>
          <w:szCs w:val="21"/>
          <w:highlight w:val="none"/>
          <w:u w:val="single" w:color="auto"/>
          <w:lang w:val="en-US" w:eastAsia="zh-CN"/>
        </w:rPr>
      </w:pPr>
      <w:r>
        <w:rPr>
          <w:rFonts w:hint="default" w:ascii="Times New Roman" w:hAnsi="Times New Roman" w:eastAsia="宋体" w:cs="Times New Roman"/>
          <w:strike w:val="0"/>
          <w:dstrike w:val="0"/>
          <w:color w:val="auto"/>
          <w:sz w:val="24"/>
          <w:szCs w:val="21"/>
          <w:highlight w:val="none"/>
          <w:u w:val="single" w:color="auto"/>
          <w:lang w:val="en-US" w:eastAsia="zh-CN"/>
        </w:rPr>
        <w:t>在蒸发换热室内，外接蒸汽液化产生汽化潜热，对废水进行加热。由于蒸发换热室内压力较大，物料在蒸发换热室中高于正常液体沸点压力下加热至过热。加热后的液体进入结晶蒸发室后，物料的压力迅速下降，导致部分物料水溶液闪蒸或者沸腾。</w:t>
      </w:r>
    </w:p>
    <w:p w14:paraId="6D5091C1">
      <w:pPr>
        <w:ind w:firstLine="561"/>
        <w:rPr>
          <w:rFonts w:hint="default" w:ascii="Times New Roman" w:hAnsi="Times New Roman" w:eastAsia="宋体" w:cs="Times New Roman"/>
          <w:strike w:val="0"/>
          <w:dstrike w:val="0"/>
          <w:color w:val="auto"/>
          <w:sz w:val="24"/>
          <w:szCs w:val="21"/>
          <w:highlight w:val="none"/>
          <w:u w:val="single" w:color="auto"/>
          <w:lang w:val="en-US" w:eastAsia="zh-CN"/>
        </w:rPr>
      </w:pPr>
      <w:r>
        <w:rPr>
          <w:rFonts w:hint="default" w:ascii="Times New Roman" w:hAnsi="Times New Roman" w:eastAsia="宋体" w:cs="Times New Roman"/>
          <w:strike w:val="0"/>
          <w:dstrike w:val="0"/>
          <w:color w:val="auto"/>
          <w:sz w:val="24"/>
          <w:szCs w:val="21"/>
          <w:highlight w:val="none"/>
          <w:u w:val="single" w:color="auto"/>
          <w:lang w:val="en-US" w:eastAsia="zh-CN"/>
        </w:rPr>
        <w:t>废水蒸发后的蒸汽进入二效蒸发器作为动力蒸发器进行加热，未蒸发废水和盐分暂存在结晶蒸发室。一效、二效、三效蒸发器之间通过平衡管相通，在负压所用下，高含盐废水或物料由一效向二效、三效依次流动，废水不断被蒸发，废水中盐的浓度越来越高，当废水物料中的盐分超过饱和状态时，水中盐分就会不断地析出，进入蒸发结晶室的下部的集盐室，整个过程周而复始，实现盐水分离。</w:t>
      </w:r>
    </w:p>
    <w:p w14:paraId="116FCB78">
      <w:pPr>
        <w:ind w:firstLine="561"/>
        <w:rPr>
          <w:rFonts w:hint="default" w:ascii="Times New Roman" w:hAnsi="Times New Roman" w:eastAsia="宋体" w:cs="Times New Roman"/>
          <w:strike w:val="0"/>
          <w:dstrike w:val="0"/>
          <w:color w:val="auto"/>
          <w:sz w:val="24"/>
          <w:szCs w:val="21"/>
          <w:highlight w:val="none"/>
          <w:u w:val="single" w:color="auto"/>
          <w:lang w:val="en-US" w:eastAsia="zh-CN"/>
        </w:rPr>
      </w:pPr>
      <w:r>
        <w:rPr>
          <w:rFonts w:hint="default" w:ascii="Times New Roman" w:hAnsi="Times New Roman" w:eastAsia="宋体" w:cs="Times New Roman"/>
          <w:strike w:val="0"/>
          <w:dstrike w:val="0"/>
          <w:color w:val="auto"/>
          <w:sz w:val="24"/>
          <w:szCs w:val="21"/>
          <w:highlight w:val="none"/>
          <w:u w:val="single" w:color="auto"/>
          <w:lang w:val="en-US" w:eastAsia="zh-CN"/>
        </w:rPr>
        <w:t xml:space="preserve">冷凝器链接有真空系统，真空系统抽掉蒸发系统内产生的未冷凝气体，使冷凝器和蒸发器保持负压状态，提高蒸发系统的蒸发效率。在负压作用下，三效蒸发器中的废水产生的二次蒸汽自动进入冷凝器，在循环冷却水的冷却下，废水物料产生的二次蒸汽迅速转变成冷凝水。冷凝水可采用连续出水的方式，回收至回用水池。 </w:t>
      </w:r>
    </w:p>
    <w:p w14:paraId="72D4839B">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9.2.2.3废水处理方案可行性分析</w:t>
      </w:r>
    </w:p>
    <w:p w14:paraId="3DB7635D">
      <w:pPr>
        <w:ind w:firstLine="561"/>
        <w:jc w:val="both"/>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类比同类工程情况，项目</w:t>
      </w:r>
      <w:r>
        <w:rPr>
          <w:rFonts w:hint="eastAsia" w:ascii="Times New Roman" w:hAnsi="Times New Roman" w:eastAsia="宋体" w:cs="Times New Roman"/>
          <w:strike w:val="0"/>
          <w:dstrike w:val="0"/>
          <w:color w:val="auto"/>
          <w:sz w:val="24"/>
          <w:szCs w:val="21"/>
          <w:highlight w:val="none"/>
          <w:u w:val="none" w:color="auto"/>
          <w:lang w:val="en-US" w:eastAsia="zh-CN"/>
        </w:rPr>
        <w:t>电镀工序生产</w:t>
      </w:r>
      <w:r>
        <w:rPr>
          <w:rFonts w:hint="default" w:ascii="Times New Roman" w:hAnsi="Times New Roman" w:eastAsia="宋体" w:cs="Times New Roman"/>
          <w:strike w:val="0"/>
          <w:dstrike w:val="0"/>
          <w:color w:val="auto"/>
          <w:sz w:val="24"/>
          <w:szCs w:val="21"/>
          <w:highlight w:val="none"/>
          <w:u w:val="none" w:color="auto"/>
          <w:lang w:val="en-US" w:eastAsia="zh-CN"/>
        </w:rPr>
        <w:t>废水</w:t>
      </w:r>
      <w:r>
        <w:rPr>
          <w:rFonts w:hint="eastAsia" w:ascii="Times New Roman" w:hAnsi="Times New Roman" w:eastAsia="宋体" w:cs="Times New Roman"/>
          <w:strike w:val="0"/>
          <w:dstrike w:val="0"/>
          <w:color w:val="auto"/>
          <w:sz w:val="24"/>
          <w:szCs w:val="21"/>
          <w:highlight w:val="none"/>
          <w:u w:val="none" w:color="auto"/>
          <w:lang w:val="en-US" w:eastAsia="zh-CN"/>
        </w:rPr>
        <w:t>及其辅助生产废水</w:t>
      </w:r>
      <w:r>
        <w:rPr>
          <w:rFonts w:hint="default" w:ascii="Times New Roman" w:hAnsi="Times New Roman" w:eastAsia="宋体" w:cs="Times New Roman"/>
          <w:strike w:val="0"/>
          <w:dstrike w:val="0"/>
          <w:color w:val="auto"/>
          <w:sz w:val="24"/>
          <w:szCs w:val="21"/>
          <w:highlight w:val="none"/>
          <w:u w:val="none" w:color="auto"/>
          <w:lang w:val="en-US" w:eastAsia="zh-CN"/>
        </w:rPr>
        <w:t>经上述工艺处理后，可全部回用于生产工序，实现废水零排放。</w:t>
      </w:r>
    </w:p>
    <w:p w14:paraId="0ED4BE29">
      <w:pPr>
        <w:ind w:firstLine="561"/>
        <w:jc w:val="both"/>
        <w:rPr>
          <w:rFonts w:hint="eastAsia" w:ascii="Times New Roman" w:hAnsi="Times New Roman" w:eastAsia="宋体" w:cs="Times New Roman"/>
          <w:strike w:val="0"/>
          <w:dstrike w:val="0"/>
          <w:color w:val="auto"/>
          <w:sz w:val="24"/>
          <w:szCs w:val="21"/>
          <w:highlight w:val="none"/>
          <w:u w:val="none" w:color="auto"/>
          <w:lang w:val="en-US" w:eastAsia="zh-CN"/>
        </w:rPr>
      </w:pPr>
      <w:r>
        <w:rPr>
          <w:rFonts w:hint="eastAsia" w:ascii="Times New Roman" w:hAnsi="Times New Roman" w:eastAsia="宋体" w:cs="Times New Roman"/>
          <w:strike w:val="0"/>
          <w:dstrike w:val="0"/>
          <w:color w:val="auto"/>
          <w:sz w:val="24"/>
          <w:szCs w:val="21"/>
          <w:highlight w:val="none"/>
          <w:u w:val="none" w:color="auto"/>
          <w:lang w:val="en-US" w:eastAsia="zh-CN"/>
        </w:rPr>
        <w:t>项目机加工车间卫生废水、容器清洗废水、直接冷却废水主要污染物为SS，经沉淀后可去除大部分</w:t>
      </w:r>
      <w:r>
        <w:rPr>
          <w:rFonts w:hint="default" w:ascii="Times New Roman" w:hAnsi="Times New Roman" w:eastAsia="宋体" w:cs="Times New Roman"/>
          <w:strike w:val="0"/>
          <w:dstrike w:val="0"/>
          <w:color w:val="auto"/>
          <w:sz w:val="24"/>
          <w:szCs w:val="21"/>
          <w:highlight w:val="none"/>
          <w:u w:val="none" w:color="auto"/>
        </w:rPr>
        <w:t>SS</w:t>
      </w:r>
      <w:r>
        <w:rPr>
          <w:rFonts w:hint="eastAsia" w:ascii="Times New Roman" w:hAnsi="Times New Roman" w:eastAsia="宋体" w:cs="Times New Roman"/>
          <w:strike w:val="0"/>
          <w:dstrike w:val="0"/>
          <w:color w:val="auto"/>
          <w:sz w:val="24"/>
          <w:szCs w:val="21"/>
          <w:highlight w:val="none"/>
          <w:u w:val="none" w:color="auto"/>
          <w:lang w:eastAsia="zh-CN"/>
        </w:rPr>
        <w:t>，</w:t>
      </w:r>
      <w:r>
        <w:rPr>
          <w:rFonts w:hint="default" w:ascii="Times New Roman" w:hAnsi="Times New Roman" w:eastAsia="宋体" w:cs="Times New Roman"/>
          <w:strike w:val="0"/>
          <w:dstrike w:val="0"/>
          <w:color w:val="auto"/>
          <w:sz w:val="24"/>
          <w:szCs w:val="21"/>
          <w:highlight w:val="none"/>
          <w:u w:val="none" w:color="auto"/>
          <w:lang w:val="en-US" w:eastAsia="zh-CN"/>
        </w:rPr>
        <w:t>处理后能达到</w:t>
      </w:r>
      <w:r>
        <w:rPr>
          <w:rFonts w:hint="default" w:ascii="Times New Roman" w:hAnsi="Times New Roman" w:eastAsia="宋体" w:cs="Times New Roman"/>
          <w:color w:val="auto"/>
          <w:sz w:val="24"/>
          <w:szCs w:val="24"/>
          <w:highlight w:val="none"/>
          <w:u w:val="none" w:color="auto"/>
        </w:rPr>
        <w:t>《污水综合排放标准》（GB8978-1996）表4 三级标准、《污水排入城镇下水道水质标准》（GB/T31962-2015）B等级标准，同时满足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进水水质要求</w:t>
      </w:r>
      <w:r>
        <w:rPr>
          <w:rFonts w:hint="eastAsia" w:ascii="Times New Roman" w:hAnsi="Times New Roman" w:eastAsia="宋体" w:cs="Times New Roman"/>
          <w:strike w:val="0"/>
          <w:dstrike w:val="0"/>
          <w:color w:val="auto"/>
          <w:sz w:val="24"/>
          <w:szCs w:val="21"/>
          <w:highlight w:val="none"/>
          <w:u w:val="none" w:color="auto"/>
          <w:lang w:val="en-US" w:eastAsia="zh-CN"/>
        </w:rPr>
        <w:t>。</w:t>
      </w:r>
    </w:p>
    <w:p w14:paraId="5237485E">
      <w:pPr>
        <w:ind w:firstLine="561"/>
        <w:jc w:val="both"/>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项目生活污水采用化粪池收集处理。化粪池是一种利用沉淀和厌氧发酵的原理，去除生活污水中悬浮性有机物的处理设施，是一项较为成熟的技术，类比同类生活污水处理工程，生活污水处理后能达到</w:t>
      </w:r>
      <w:r>
        <w:rPr>
          <w:rFonts w:hint="default" w:ascii="Times New Roman" w:hAnsi="Times New Roman" w:eastAsia="宋体" w:cs="Times New Roman"/>
          <w:color w:val="auto"/>
          <w:sz w:val="24"/>
          <w:szCs w:val="24"/>
          <w:highlight w:val="none"/>
          <w:u w:val="none" w:color="auto"/>
        </w:rPr>
        <w:t>《污水综合排放标准》（GB8978-1996）表4 三级标准、《污水排入城镇下水道水质标准》（GB/T31962-2015）B等级标准，同时满足</w:t>
      </w:r>
      <w:r>
        <w:rPr>
          <w:rFonts w:hint="default" w:ascii="Times New Roman" w:hAnsi="Times New Roman" w:eastAsia="宋体" w:cs="Times New Roman"/>
          <w:color w:val="auto"/>
          <w:sz w:val="24"/>
          <w:szCs w:val="24"/>
          <w:highlight w:val="none"/>
          <w:u w:val="none" w:color="auto"/>
          <w:lang w:eastAsia="zh-CN"/>
        </w:rPr>
        <w:t>松木污水处理厂</w:t>
      </w:r>
      <w:r>
        <w:rPr>
          <w:rFonts w:hint="default" w:ascii="Times New Roman" w:hAnsi="Times New Roman" w:eastAsia="宋体" w:cs="Times New Roman"/>
          <w:color w:val="auto"/>
          <w:sz w:val="24"/>
          <w:szCs w:val="24"/>
          <w:highlight w:val="none"/>
          <w:u w:val="none" w:color="auto"/>
        </w:rPr>
        <w:t>进水水质要求</w:t>
      </w:r>
      <w:r>
        <w:rPr>
          <w:rFonts w:hint="default" w:ascii="Times New Roman" w:hAnsi="Times New Roman" w:eastAsia="宋体" w:cs="Times New Roman"/>
          <w:strike w:val="0"/>
          <w:dstrike w:val="0"/>
          <w:color w:val="auto"/>
          <w:sz w:val="24"/>
          <w:szCs w:val="21"/>
          <w:highlight w:val="none"/>
          <w:u w:val="none" w:color="auto"/>
          <w:lang w:val="en-US" w:eastAsia="zh-CN"/>
        </w:rPr>
        <w:t>。</w:t>
      </w:r>
    </w:p>
    <w:p w14:paraId="658D9D93">
      <w:pPr>
        <w:ind w:firstLine="561"/>
        <w:jc w:val="both"/>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因此，项目外排废水在厂区处理后均能达到排入市政污水管网的要求。项目污水处理措施有效。</w:t>
      </w:r>
    </w:p>
    <w:p w14:paraId="05F17732">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none" w:color="auto"/>
          <w:lang w:val="en-GB"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9</w:t>
      </w:r>
      <w:r>
        <w:rPr>
          <w:rFonts w:hint="default" w:ascii="Times New Roman" w:hAnsi="Times New Roman" w:eastAsia="宋体" w:cs="Times New Roman"/>
          <w:b/>
          <w:bCs/>
          <w:color w:val="auto"/>
          <w:kern w:val="2"/>
          <w:sz w:val="24"/>
          <w:szCs w:val="21"/>
          <w:highlight w:val="none"/>
          <w:u w:val="none" w:color="auto"/>
          <w:lang w:val="en-GB" w:eastAsia="zh-CN" w:bidi="ar-SA"/>
        </w:rPr>
        <w:t>.2.2.4零排可行性分析</w:t>
      </w:r>
    </w:p>
    <w:p w14:paraId="5ADE9917">
      <w:pPr>
        <w:ind w:firstLine="561"/>
        <w:rPr>
          <w:rFonts w:hint="default" w:ascii="Times New Roman" w:hAnsi="Times New Roman" w:eastAsia="宋体" w:cs="Times New Roman"/>
          <w:strike w:val="0"/>
          <w:dstrike w:val="0"/>
          <w:color w:val="auto"/>
          <w:sz w:val="24"/>
          <w:szCs w:val="21"/>
          <w:highlight w:val="none"/>
          <w:u w:val="none" w:color="auto"/>
          <w:lang w:val="en-GB" w:eastAsia="zh-CN"/>
        </w:rPr>
      </w:pPr>
      <w:r>
        <w:rPr>
          <w:rFonts w:hint="default" w:ascii="Times New Roman" w:hAnsi="Times New Roman" w:eastAsia="宋体" w:cs="Times New Roman"/>
          <w:strike w:val="0"/>
          <w:dstrike w:val="0"/>
          <w:color w:val="auto"/>
          <w:sz w:val="24"/>
          <w:szCs w:val="21"/>
          <w:highlight w:val="none"/>
          <w:u w:val="none" w:color="auto"/>
          <w:lang w:val="en-GB" w:eastAsia="zh-CN"/>
        </w:rPr>
        <w:t>（</w:t>
      </w:r>
      <w:r>
        <w:rPr>
          <w:rFonts w:hint="default" w:ascii="Times New Roman" w:hAnsi="Times New Roman" w:eastAsia="宋体" w:cs="Times New Roman"/>
          <w:strike w:val="0"/>
          <w:dstrike w:val="0"/>
          <w:color w:val="auto"/>
          <w:sz w:val="24"/>
          <w:szCs w:val="21"/>
          <w:highlight w:val="none"/>
          <w:u w:val="none" w:color="auto"/>
          <w:lang w:val="en-US" w:eastAsia="zh-CN"/>
        </w:rPr>
        <w:t>1</w:t>
      </w:r>
      <w:r>
        <w:rPr>
          <w:rFonts w:hint="default" w:ascii="Times New Roman" w:hAnsi="Times New Roman" w:eastAsia="宋体" w:cs="Times New Roman"/>
          <w:strike w:val="0"/>
          <w:dstrike w:val="0"/>
          <w:color w:val="auto"/>
          <w:sz w:val="24"/>
          <w:szCs w:val="21"/>
          <w:highlight w:val="none"/>
          <w:u w:val="none" w:color="auto"/>
          <w:lang w:val="en-GB" w:eastAsia="zh-CN"/>
        </w:rPr>
        <w:t>）零排方案</w:t>
      </w:r>
    </w:p>
    <w:p w14:paraId="205311DE">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项目含重金属废水经pH中和+沉淀</w:t>
      </w:r>
      <w:r>
        <w:rPr>
          <w:rFonts w:hint="eastAsia" w:ascii="Times New Roman" w:hAnsi="Times New Roman" w:eastAsia="宋体" w:cs="Times New Roman"/>
          <w:strike w:val="0"/>
          <w:dstrike w:val="0"/>
          <w:color w:val="auto"/>
          <w:sz w:val="24"/>
          <w:szCs w:val="21"/>
          <w:highlight w:val="none"/>
          <w:u w:val="none" w:color="auto"/>
          <w:lang w:val="en-US" w:eastAsia="zh-CN"/>
        </w:rPr>
        <w:t>（自由沉降）</w:t>
      </w:r>
      <w:r>
        <w:rPr>
          <w:rFonts w:hint="default" w:ascii="Times New Roman" w:hAnsi="Times New Roman" w:eastAsia="宋体" w:cs="Times New Roman"/>
          <w:strike w:val="0"/>
          <w:dstrike w:val="0"/>
          <w:color w:val="auto"/>
          <w:sz w:val="24"/>
          <w:szCs w:val="21"/>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strike w:val="0"/>
          <w:dstrike w:val="0"/>
          <w:color w:val="auto"/>
          <w:sz w:val="24"/>
          <w:szCs w:val="21"/>
          <w:highlight w:val="none"/>
          <w:u w:val="none" w:color="auto"/>
          <w:lang w:val="en-US" w:eastAsia="zh-CN"/>
        </w:rPr>
        <w:t>回用，</w:t>
      </w:r>
      <w:r>
        <w:rPr>
          <w:rFonts w:hint="eastAsia" w:ascii="Times New Roman" w:hAnsi="Times New Roman" w:eastAsia="宋体" w:cs="Times New Roman"/>
          <w:strike w:val="0"/>
          <w:dstrike w:val="0"/>
          <w:color w:val="auto"/>
          <w:sz w:val="24"/>
          <w:szCs w:val="21"/>
          <w:highlight w:val="none"/>
          <w:u w:val="none" w:color="auto"/>
          <w:lang w:val="en-US" w:eastAsia="zh-CN"/>
        </w:rPr>
        <w:t>非重金属废水（</w:t>
      </w:r>
      <w:r>
        <w:rPr>
          <w:rFonts w:hint="default" w:ascii="Times New Roman" w:hAnsi="Times New Roman" w:eastAsia="宋体" w:cs="Times New Roman"/>
          <w:strike w:val="0"/>
          <w:dstrike w:val="0"/>
          <w:color w:val="auto"/>
          <w:sz w:val="24"/>
          <w:szCs w:val="21"/>
          <w:highlight w:val="none"/>
          <w:u w:val="none" w:color="auto"/>
          <w:lang w:val="en-US" w:eastAsia="zh-CN"/>
        </w:rPr>
        <w:t>酸碱含油废水及废气处理设施废水</w:t>
      </w:r>
      <w:r>
        <w:rPr>
          <w:rFonts w:hint="eastAsia"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strike w:val="0"/>
          <w:dstrike w:val="0"/>
          <w:color w:val="auto"/>
          <w:sz w:val="24"/>
          <w:szCs w:val="21"/>
          <w:highlight w:val="none"/>
          <w:u w:val="none" w:color="auto"/>
          <w:lang w:val="en-US" w:eastAsia="zh-CN"/>
        </w:rPr>
        <w:t>经隔油+气浮+混凝沉淀+袋滤+超滤处理后部分回用，剩余部分经三效蒸发器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strike w:val="0"/>
          <w:dstrike w:val="0"/>
          <w:color w:val="auto"/>
          <w:sz w:val="24"/>
          <w:szCs w:val="21"/>
          <w:highlight w:val="none"/>
          <w:u w:val="none" w:color="auto"/>
          <w:lang w:val="en-US" w:eastAsia="zh-CN"/>
        </w:rPr>
        <w:t>回用，不外排。</w:t>
      </w:r>
    </w:p>
    <w:p w14:paraId="3E3FC06B">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GB" w:eastAsia="zh-CN"/>
        </w:rPr>
        <w:t>（</w:t>
      </w:r>
      <w:r>
        <w:rPr>
          <w:rFonts w:hint="default" w:ascii="Times New Roman" w:hAnsi="Times New Roman" w:eastAsia="宋体" w:cs="Times New Roman"/>
          <w:strike w:val="0"/>
          <w:dstrike w:val="0"/>
          <w:color w:val="auto"/>
          <w:sz w:val="24"/>
          <w:szCs w:val="21"/>
          <w:highlight w:val="none"/>
          <w:u w:val="none" w:color="auto"/>
          <w:lang w:val="en-US" w:eastAsia="zh-CN"/>
        </w:rPr>
        <w:t>2</w:t>
      </w:r>
      <w:r>
        <w:rPr>
          <w:rFonts w:hint="default" w:ascii="Times New Roman" w:hAnsi="Times New Roman" w:eastAsia="宋体" w:cs="Times New Roman"/>
          <w:strike w:val="0"/>
          <w:dstrike w:val="0"/>
          <w:color w:val="auto"/>
          <w:sz w:val="24"/>
          <w:szCs w:val="21"/>
          <w:highlight w:val="none"/>
          <w:u w:val="none" w:color="auto"/>
          <w:lang w:val="en-GB" w:eastAsia="zh-CN"/>
        </w:rPr>
        <w:t>）</w:t>
      </w:r>
      <w:r>
        <w:rPr>
          <w:rFonts w:hint="default" w:ascii="Times New Roman" w:hAnsi="Times New Roman" w:eastAsia="宋体" w:cs="Times New Roman"/>
          <w:strike w:val="0"/>
          <w:dstrike w:val="0"/>
          <w:color w:val="auto"/>
          <w:sz w:val="24"/>
          <w:szCs w:val="21"/>
          <w:highlight w:val="none"/>
          <w:u w:val="none" w:color="auto"/>
          <w:lang w:val="en-US" w:eastAsia="zh-CN"/>
        </w:rPr>
        <w:t>电镀废水“零排放”同类工程介绍：</w:t>
      </w:r>
    </w:p>
    <w:p w14:paraId="09C2FCB2">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微软雅黑" w:cs="Times New Roman"/>
          <w:strike w:val="0"/>
          <w:dstrike w:val="0"/>
          <w:color w:val="auto"/>
          <w:sz w:val="24"/>
          <w:szCs w:val="21"/>
          <w:highlight w:val="none"/>
          <w:u w:val="none" w:color="auto"/>
          <w:lang w:val="en-US" w:eastAsia="zh-CN"/>
        </w:rPr>
        <w:t>①</w:t>
      </w:r>
      <w:r>
        <w:rPr>
          <w:rFonts w:hint="default" w:ascii="Times New Roman" w:hAnsi="Times New Roman" w:eastAsia="宋体" w:cs="Times New Roman"/>
          <w:strike w:val="0"/>
          <w:dstrike w:val="0"/>
          <w:color w:val="auto"/>
          <w:sz w:val="24"/>
          <w:szCs w:val="21"/>
          <w:highlight w:val="none"/>
          <w:u w:val="none" w:color="auto"/>
          <w:lang w:val="en-US" w:eastAsia="zh-CN"/>
        </w:rPr>
        <w:t>河北中瓷电子科技有限公司新型元器件封装外壳及封装产业化扩建项目同类工程介绍</w:t>
      </w:r>
    </w:p>
    <w:p w14:paraId="5B85177A">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河北中瓷电子科技股份有限公司为电子封装及精细陶瓷、电子元器件、半导体元器件、集成电路、汽车电子部件、零部件、陶瓷材料的生产企业。公司新型元器件封装外壳及封装产业化扩建项目产生的电镀废水主要为含铬废水、含镍废水、含氰废水、酸碱废水、废气洗涤塔排水等。其中含铬废水产生量为8.5t/d、含镍废水产生量为10.7t/d、含氰废水产生量为10.4t/d、酸碱废水产生量为29.9t/d、废气洗涤塔排水产生量为2.25t/d。</w:t>
      </w:r>
    </w:p>
    <w:p w14:paraId="11F3916F">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含氰废水经破氰预处理、含铬废水经还原预处理</w:t>
      </w:r>
      <w:r>
        <w:rPr>
          <w:rFonts w:hint="eastAsia" w:ascii="Times New Roman" w:hAnsi="Times New Roman" w:eastAsia="宋体" w:cs="Times New Roman"/>
          <w:strike w:val="0"/>
          <w:dstrike w:val="0"/>
          <w:color w:val="auto"/>
          <w:sz w:val="24"/>
          <w:szCs w:val="21"/>
          <w:highlight w:val="none"/>
          <w:u w:val="none" w:color="auto"/>
          <w:lang w:val="en-US" w:eastAsia="zh-CN"/>
        </w:rPr>
        <w:t>后</w:t>
      </w:r>
      <w:r>
        <w:rPr>
          <w:rFonts w:hint="default" w:ascii="Times New Roman" w:hAnsi="Times New Roman" w:eastAsia="宋体" w:cs="Times New Roman"/>
          <w:strike w:val="0"/>
          <w:dstrike w:val="0"/>
          <w:color w:val="auto"/>
          <w:sz w:val="24"/>
          <w:szCs w:val="21"/>
          <w:highlight w:val="none"/>
          <w:u w:val="none" w:color="auto"/>
          <w:lang w:val="en-US" w:eastAsia="zh-CN"/>
        </w:rPr>
        <w:t>排入废水再生系统，含镍废水、酸碱废水、废气洗涤塔排水（铬酸雾洗涤塔废水（0.25t/d）回用于铬酸洗工序，其余废气洗涤塔废水（2.0t/d）进入废水再生系统）直接排入废水再生系统，废水再生系统采用“砂滤+活性炭过滤器+RO膜+电渗析”处理工艺，废水经再生处理达到纯水级别（电阻率&gt;10MΩ）后回用于生产，产生的反渗透浓水经蒸发器浓缩后作为危废处置，可实现废水排放的闭路循环，可实现零排放。</w:t>
      </w:r>
    </w:p>
    <w:p w14:paraId="0B858B10">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微软雅黑" w:cs="Times New Roman"/>
          <w:strike w:val="0"/>
          <w:dstrike w:val="0"/>
          <w:color w:val="auto"/>
          <w:sz w:val="24"/>
          <w:szCs w:val="21"/>
          <w:highlight w:val="none"/>
          <w:u w:val="none" w:color="auto"/>
          <w:lang w:val="en-US" w:eastAsia="zh-CN"/>
        </w:rPr>
        <w:t>②</w:t>
      </w:r>
      <w:r>
        <w:rPr>
          <w:rFonts w:hint="default" w:ascii="Times New Roman" w:hAnsi="Times New Roman" w:eastAsia="宋体" w:cs="Times New Roman"/>
          <w:strike w:val="0"/>
          <w:dstrike w:val="0"/>
          <w:color w:val="auto"/>
          <w:sz w:val="24"/>
          <w:szCs w:val="21"/>
          <w:highlight w:val="none"/>
          <w:u w:val="none" w:color="auto"/>
          <w:lang w:val="en-US" w:eastAsia="zh-CN"/>
        </w:rPr>
        <w:t>上海雷迪埃电子有限公司雷迪埃电子产业基地项目同类工程介绍</w:t>
      </w:r>
    </w:p>
    <w:p w14:paraId="1CEED744">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上海雷迪埃电子有限公司为高频和低频混装连接器及其电缆组件、高频器件、天线、光纤连接器及光纤组件生产企业。公司电镀废水主要包括含镍废水（63t/d）、含氰废水（23.6t/d）、含银废水（0.1t/d）、酸碱废水（37.0t/d），含镍废水经过滤器+镍回收柱预处理、含氰废水经破氰处理后进入含银废水处理系统、含银废水经过滤器+银回收柱预处理，各类废水经预处理后与酸碱废水一并排入综合废水处理系统。综合废水处理系统采用“中和+絮凝沉淀+pH调节”工艺，出水进入废水回用处理系统。</w:t>
      </w:r>
    </w:p>
    <w:p w14:paraId="31553A8F">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回用水系统采用砂滤+活性炭过滤+管式微滤膜+树脂过滤器+两级RO系统（一级为管式，二级为碟式）+MVR蒸发器处理工艺，两级RO膜前出水进入回用水池回用于电镀车间漂洗工序，碟式RO膜后浓水经MVR蒸发器系统处理后蒸发器冷凝水回用于电镀漂洗工序，MVR蒸发残渣作为危险废物处置。项目可实现废水排放的闭路循环，可实现零排放。本项目电镀废水种类与其类似，且项目电镀废水产生量与该公司差别不大，故本项目生产废水经预处理+混凝沉淀+生化处理+石英砂过滤+活性炭过滤+超滤+二级反渗透+MVR蒸发器系统处理后可实现零排放。</w:t>
      </w:r>
    </w:p>
    <w:p w14:paraId="35B67249">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微软雅黑" w:cs="Times New Roman"/>
          <w:strike w:val="0"/>
          <w:dstrike w:val="0"/>
          <w:color w:val="auto"/>
          <w:sz w:val="24"/>
          <w:szCs w:val="21"/>
          <w:highlight w:val="none"/>
          <w:u w:val="none" w:color="auto"/>
          <w:lang w:val="en-US" w:eastAsia="zh-CN"/>
        </w:rPr>
        <w:t>③</w:t>
      </w:r>
      <w:r>
        <w:rPr>
          <w:rFonts w:hint="default" w:ascii="Times New Roman" w:hAnsi="Times New Roman" w:eastAsia="宋体" w:cs="Times New Roman"/>
          <w:strike w:val="0"/>
          <w:dstrike w:val="0"/>
          <w:color w:val="auto"/>
          <w:sz w:val="24"/>
          <w:szCs w:val="21"/>
          <w:highlight w:val="none"/>
          <w:u w:val="none" w:color="auto"/>
          <w:lang w:val="en-US" w:eastAsia="zh-CN"/>
        </w:rPr>
        <w:t>恒洁卫浴达辉生物技术有限公司同类工程介绍</w:t>
      </w:r>
    </w:p>
    <w:p w14:paraId="60858ECB">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佛山市恒洁达辉卫浴有限公司（原佛山市达辉生物技术有限公司，以下简称“达辉公司”）为卫浴洁具、五金制品、塑料制品生产企业。公司电镀废水主要包括含镍废水（100t/d）、含铬废水（120t/d）、焦铜废水（40t/d）、含氰废水（120t/d）、综合废水（酸铜废水、纯水制备废水等，45t/d）、强酸性废水 （酸洗槽活化槽废水、酸洗线清理废水等，60t/d）、高有机废水（除油除蜡槽废水，30t/d）、前处理废水（镀前清洗废水等，230t/d）、混排废水（地面冲洗水等，135t/d）。</w:t>
      </w:r>
    </w:p>
    <w:p w14:paraId="5A5293CA">
      <w:pPr>
        <w:ind w:firstLine="561"/>
        <w:rPr>
          <w:rFonts w:hint="default" w:ascii="Times New Roman" w:hAnsi="Times New Roman" w:eastAsia="宋体" w:cs="Times New Roman"/>
          <w:strike w:val="0"/>
          <w:dstrike w:val="0"/>
          <w:color w:val="auto"/>
          <w:sz w:val="24"/>
          <w:szCs w:val="21"/>
          <w:highlight w:val="none"/>
          <w:u w:val="none" w:color="auto"/>
          <w:lang w:val="en-US" w:eastAsia="zh-CN"/>
        </w:rPr>
      </w:pPr>
      <w:r>
        <w:rPr>
          <w:rFonts w:hint="default" w:ascii="Times New Roman" w:hAnsi="Times New Roman" w:eastAsia="宋体" w:cs="Times New Roman"/>
          <w:strike w:val="0"/>
          <w:dstrike w:val="0"/>
          <w:color w:val="auto"/>
          <w:sz w:val="24"/>
          <w:szCs w:val="21"/>
          <w:highlight w:val="none"/>
          <w:u w:val="none" w:color="auto"/>
          <w:lang w:val="en-US" w:eastAsia="zh-CN"/>
        </w:rPr>
        <w:t>含铬废水经还原+混凝沉淀+离子交换预处理、含镍废水经破络+混凝沉淀+离子交换预处理、焦铜废水经破络+混凝沉淀+离子交换预处理、含氰废水经两级破氰+离子交换预处理、综合废水经破络+混凝沉淀+离子交换预处理、前处理废水经破乳+隔油+混凝沉淀+离子交换预处理、高有机废水经破乳+隔油+芬顿氧化+二级混凝沉淀+离子交换预处理、混排废水经两级破氰+还原+二级混凝沉淀+离子交换预处理、强酸性废水混入前处理废水或高有机废水中处理，经预处理后的各类废水进入混合废水处理系统。混合废水经混凝沉淀+氧化还原+砂滤+AOMBR生化处理系统+特种膜浓缩系统处理后，膜前出水回用于生产，膜后浓水经MVR蒸发器处理后作为结晶处理，蒸发器冷凝水回用于生产，实现了生产废水的闭路循环不外排。</w:t>
      </w:r>
    </w:p>
    <w:p w14:paraId="5CA92C8B">
      <w:pPr>
        <w:ind w:firstLine="561"/>
        <w:rPr>
          <w:rFonts w:ascii="Times New Roman" w:hAnsi="Times New Roman" w:eastAsia="宋体"/>
          <w:color w:val="auto"/>
          <w:sz w:val="24"/>
          <w:szCs w:val="21"/>
        </w:rPr>
      </w:pPr>
      <w:r>
        <w:rPr>
          <w:rFonts w:ascii="Times New Roman" w:hAnsi="Times New Roman" w:eastAsia="微软雅黑"/>
          <w:color w:val="auto"/>
          <w:sz w:val="24"/>
          <w:szCs w:val="21"/>
        </w:rPr>
        <w:t>④</w:t>
      </w:r>
      <w:r>
        <w:rPr>
          <w:rFonts w:ascii="Times New Roman" w:hAnsi="Times New Roman" w:eastAsia="宋体"/>
          <w:color w:val="auto"/>
          <w:sz w:val="24"/>
          <w:szCs w:val="21"/>
        </w:rPr>
        <w:t>河南平高电气股份有限公司同类工程介绍</w:t>
      </w:r>
    </w:p>
    <w:p w14:paraId="24805198">
      <w:pPr>
        <w:ind w:firstLine="561"/>
        <w:rPr>
          <w:rFonts w:ascii="Times New Roman" w:hAnsi="Times New Roman" w:eastAsia="宋体"/>
          <w:color w:val="auto"/>
          <w:sz w:val="24"/>
          <w:szCs w:val="21"/>
        </w:rPr>
      </w:pPr>
      <w:r>
        <w:rPr>
          <w:rFonts w:ascii="Times New Roman" w:hAnsi="Times New Roman" w:eastAsia="宋体"/>
          <w:color w:val="auto"/>
          <w:sz w:val="24"/>
          <w:szCs w:val="21"/>
        </w:rPr>
        <w:t>河南平高电气股份有限公司为高压、超高压、特高压开关及电站成套设备研发、制造企业。公司电镀废水主要包括含铬废水（20m</w:t>
      </w:r>
      <w:r>
        <w:rPr>
          <w:rFonts w:ascii="Times New Roman" w:hAnsi="Times New Roman" w:eastAsia="宋体"/>
          <w:color w:val="auto"/>
          <w:sz w:val="24"/>
          <w:szCs w:val="21"/>
          <w:vertAlign w:val="superscript"/>
        </w:rPr>
        <w:t>3</w:t>
      </w:r>
      <w:r>
        <w:rPr>
          <w:rFonts w:ascii="Times New Roman" w:hAnsi="Times New Roman" w:eastAsia="宋体"/>
          <w:color w:val="auto"/>
          <w:sz w:val="24"/>
          <w:szCs w:val="21"/>
        </w:rPr>
        <w:t>/h）、氰化银废水（10m</w:t>
      </w:r>
      <w:r>
        <w:rPr>
          <w:rFonts w:ascii="Times New Roman" w:hAnsi="Times New Roman" w:eastAsia="宋体"/>
          <w:color w:val="auto"/>
          <w:sz w:val="24"/>
          <w:szCs w:val="21"/>
          <w:vertAlign w:val="superscript"/>
        </w:rPr>
        <w:t>3</w:t>
      </w:r>
      <w:r>
        <w:rPr>
          <w:rFonts w:ascii="Times New Roman" w:hAnsi="Times New Roman" w:eastAsia="宋体"/>
          <w:color w:val="auto"/>
          <w:sz w:val="24"/>
          <w:szCs w:val="21"/>
        </w:rPr>
        <w:t>/h）、含氰废水（40m</w:t>
      </w:r>
      <w:r>
        <w:rPr>
          <w:rFonts w:ascii="Times New Roman" w:hAnsi="Times New Roman" w:eastAsia="宋体"/>
          <w:color w:val="auto"/>
          <w:sz w:val="24"/>
          <w:szCs w:val="21"/>
          <w:vertAlign w:val="superscript"/>
        </w:rPr>
        <w:t>3</w:t>
      </w:r>
      <w:r>
        <w:rPr>
          <w:rFonts w:ascii="Times New Roman" w:hAnsi="Times New Roman" w:eastAsia="宋体"/>
          <w:color w:val="auto"/>
          <w:sz w:val="24"/>
          <w:szCs w:val="21"/>
        </w:rPr>
        <w:t>/h）、氰化亚铜废水（10m</w:t>
      </w:r>
      <w:r>
        <w:rPr>
          <w:rFonts w:ascii="Times New Roman" w:hAnsi="Times New Roman" w:eastAsia="宋体"/>
          <w:color w:val="auto"/>
          <w:sz w:val="24"/>
          <w:szCs w:val="21"/>
          <w:vertAlign w:val="superscript"/>
        </w:rPr>
        <w:t>3</w:t>
      </w:r>
      <w:r>
        <w:rPr>
          <w:rFonts w:ascii="Times New Roman" w:hAnsi="Times New Roman" w:eastAsia="宋体"/>
          <w:color w:val="auto"/>
          <w:sz w:val="24"/>
          <w:szCs w:val="21"/>
        </w:rPr>
        <w:t>/h）、酸碱废水（90m</w:t>
      </w:r>
      <w:r>
        <w:rPr>
          <w:rFonts w:ascii="Times New Roman" w:hAnsi="Times New Roman" w:eastAsia="宋体"/>
          <w:color w:val="auto"/>
          <w:sz w:val="24"/>
          <w:szCs w:val="21"/>
          <w:vertAlign w:val="superscript"/>
        </w:rPr>
        <w:t>3</w:t>
      </w:r>
      <w:r>
        <w:rPr>
          <w:rFonts w:ascii="Times New Roman" w:hAnsi="Times New Roman" w:eastAsia="宋体"/>
          <w:color w:val="auto"/>
          <w:sz w:val="24"/>
          <w:szCs w:val="21"/>
        </w:rPr>
        <w:t>/h）等，其中含铜、含银废水分别经反渗透处理后清液回用到清洗槽重复使用，分离后浓液按需回用到电镀槽中补充槽液，剩余浓液再经反渗透膜再浓缩；定期排放的酸碱废水经本身混合反应后，加入氢氧化钠进行中和，中和之后的酸碱废水和酸雾吸收塔废水进入酸碱废水综合废水处理系统，经反渗透处理后，部分废水回用（回用率70%），剩余部分排至全厂污水处理站处理；含铬废水经还原+混凝沉淀预处理后进入重金属废水回用系统，含氰废水经二级破氰后进入重金属废水回用系统。</w:t>
      </w:r>
    </w:p>
    <w:p w14:paraId="55F19DF2">
      <w:pPr>
        <w:ind w:firstLine="561"/>
        <w:rPr>
          <w:rFonts w:hint="default" w:ascii="Times New Roman" w:hAnsi="Times New Roman" w:eastAsia="宋体" w:cs="Times New Roman"/>
          <w:strike w:val="0"/>
          <w:dstrike w:val="0"/>
          <w:color w:val="auto"/>
          <w:sz w:val="24"/>
          <w:szCs w:val="21"/>
          <w:highlight w:val="none"/>
          <w:u w:val="none" w:color="auto"/>
          <w:lang w:val="en-GB" w:eastAsia="zh-CN"/>
        </w:rPr>
      </w:pPr>
      <w:r>
        <w:rPr>
          <w:rFonts w:hint="default" w:ascii="Times New Roman" w:hAnsi="Times New Roman" w:eastAsia="宋体" w:cs="Times New Roman"/>
          <w:strike w:val="0"/>
          <w:dstrike w:val="0"/>
          <w:color w:val="auto"/>
          <w:sz w:val="24"/>
          <w:szCs w:val="21"/>
          <w:highlight w:val="none"/>
          <w:u w:val="none" w:color="auto"/>
          <w:lang w:val="en-GB" w:eastAsia="zh-CN"/>
        </w:rPr>
        <w:t>结合以上</w:t>
      </w:r>
      <w:r>
        <w:rPr>
          <w:rFonts w:hint="eastAsia" w:ascii="Times New Roman" w:hAnsi="Times New Roman" w:eastAsia="宋体" w:cs="Times New Roman"/>
          <w:strike w:val="0"/>
          <w:dstrike w:val="0"/>
          <w:color w:val="auto"/>
          <w:sz w:val="24"/>
          <w:szCs w:val="21"/>
          <w:highlight w:val="none"/>
          <w:u w:val="none" w:color="auto"/>
          <w:lang w:val="en-GB" w:eastAsia="zh-CN"/>
        </w:rPr>
        <w:t>四</w:t>
      </w:r>
      <w:r>
        <w:rPr>
          <w:rFonts w:hint="default" w:ascii="Times New Roman" w:hAnsi="Times New Roman" w:eastAsia="宋体" w:cs="Times New Roman"/>
          <w:strike w:val="0"/>
          <w:dstrike w:val="0"/>
          <w:color w:val="auto"/>
          <w:sz w:val="24"/>
          <w:szCs w:val="21"/>
          <w:highlight w:val="none"/>
          <w:u w:val="none" w:color="auto"/>
          <w:lang w:val="en-GB" w:eastAsia="zh-CN"/>
        </w:rPr>
        <w:t>家企业验收结果可知，</w:t>
      </w:r>
      <w:r>
        <w:rPr>
          <w:rFonts w:hint="default" w:ascii="Times New Roman" w:hAnsi="Times New Roman" w:eastAsia="宋体" w:cs="Times New Roman"/>
          <w:strike w:val="0"/>
          <w:dstrike w:val="0"/>
          <w:color w:val="auto"/>
          <w:sz w:val="24"/>
          <w:szCs w:val="21"/>
          <w:highlight w:val="none"/>
          <w:u w:val="single" w:color="auto"/>
        </w:rPr>
        <w:t>项目各类废水经预处理后</w:t>
      </w:r>
      <w:r>
        <w:rPr>
          <w:rFonts w:hint="default" w:ascii="Times New Roman" w:hAnsi="Times New Roman" w:eastAsia="宋体" w:cs="Times New Roman"/>
          <w:strike w:val="0"/>
          <w:dstrike w:val="0"/>
          <w:color w:val="auto"/>
          <w:sz w:val="24"/>
          <w:szCs w:val="21"/>
          <w:highlight w:val="none"/>
          <w:u w:val="single" w:color="auto"/>
          <w:lang w:eastAsia="zh-CN"/>
        </w:rPr>
        <w:t>部分回用于生产，部分</w:t>
      </w:r>
      <w:r>
        <w:rPr>
          <w:rFonts w:hint="default" w:ascii="Times New Roman" w:hAnsi="Times New Roman" w:eastAsia="宋体" w:cs="Times New Roman"/>
          <w:strike w:val="0"/>
          <w:dstrike w:val="0"/>
          <w:color w:val="auto"/>
          <w:sz w:val="24"/>
          <w:szCs w:val="21"/>
          <w:highlight w:val="none"/>
          <w:u w:val="single" w:color="auto"/>
        </w:rPr>
        <w:t>进入</w:t>
      </w:r>
      <w:r>
        <w:rPr>
          <w:rFonts w:hint="default" w:ascii="Times New Roman" w:hAnsi="Times New Roman" w:eastAsia="宋体" w:cs="Times New Roman"/>
          <w:color w:val="auto"/>
          <w:sz w:val="24"/>
          <w:szCs w:val="24"/>
          <w:highlight w:val="none"/>
          <w:u w:val="single" w:color="auto"/>
          <w:lang w:val="en-US" w:eastAsia="zh-CN"/>
        </w:rPr>
        <w:t>三效蒸发器</w:t>
      </w:r>
      <w:r>
        <w:rPr>
          <w:rFonts w:hint="eastAsia" w:ascii="Times New Roman" w:hAnsi="Times New Roman" w:eastAsia="宋体" w:cs="Times New Roman"/>
          <w:color w:val="auto"/>
          <w:sz w:val="24"/>
          <w:szCs w:val="24"/>
          <w:highlight w:val="none"/>
          <w:u w:val="single" w:color="auto"/>
          <w:lang w:val="en-US" w:eastAsia="zh-CN"/>
        </w:rPr>
        <w:t>蒸发后冷凝水回用</w:t>
      </w:r>
      <w:r>
        <w:rPr>
          <w:rFonts w:hint="default"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strike w:val="0"/>
          <w:dstrike w:val="0"/>
          <w:color w:val="auto"/>
          <w:sz w:val="24"/>
          <w:szCs w:val="21"/>
          <w:highlight w:val="none"/>
          <w:u w:val="none" w:color="auto"/>
          <w:lang w:val="en-GB" w:eastAsia="zh-CN"/>
        </w:rPr>
        <w:t>方案可行。</w:t>
      </w:r>
    </w:p>
    <w:p w14:paraId="2F389E8C">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1"/>
          <w:highlight w:val="none"/>
          <w:u w:val="single" w:color="auto"/>
          <w:lang w:val="en-GB" w:eastAsia="zh-CN" w:bidi="ar-SA"/>
        </w:rPr>
      </w:pPr>
      <w:r>
        <w:rPr>
          <w:rFonts w:hint="default" w:ascii="Times New Roman" w:hAnsi="Times New Roman" w:eastAsia="宋体" w:cs="Times New Roman"/>
          <w:b/>
          <w:bCs/>
          <w:color w:val="auto"/>
          <w:kern w:val="2"/>
          <w:sz w:val="24"/>
          <w:szCs w:val="21"/>
          <w:highlight w:val="none"/>
          <w:u w:val="single" w:color="auto"/>
          <w:lang w:val="en-US" w:eastAsia="zh-CN" w:bidi="ar-SA"/>
        </w:rPr>
        <w:t>9</w:t>
      </w:r>
      <w:r>
        <w:rPr>
          <w:rFonts w:hint="default" w:ascii="Times New Roman" w:hAnsi="Times New Roman" w:eastAsia="宋体" w:cs="Times New Roman"/>
          <w:b/>
          <w:bCs/>
          <w:color w:val="auto"/>
          <w:kern w:val="2"/>
          <w:sz w:val="24"/>
          <w:szCs w:val="21"/>
          <w:highlight w:val="none"/>
          <w:u w:val="single" w:color="auto"/>
          <w:lang w:val="en-GB" w:eastAsia="zh-CN" w:bidi="ar-SA"/>
        </w:rPr>
        <w:t>.2.2.4废水零排管控要求</w:t>
      </w:r>
    </w:p>
    <w:p w14:paraId="38313EEF">
      <w:pPr>
        <w:ind w:firstLine="561"/>
        <w:rPr>
          <w:rFonts w:hint="default" w:ascii="Times New Roman" w:hAnsi="Times New Roman" w:eastAsia="宋体" w:cs="Times New Roman"/>
          <w:strike w:val="0"/>
          <w:dstrike w:val="0"/>
          <w:color w:val="auto"/>
          <w:sz w:val="24"/>
          <w:szCs w:val="21"/>
          <w:highlight w:val="none"/>
          <w:u w:val="single" w:color="auto"/>
          <w:lang w:val="en-US" w:eastAsia="zh-CN"/>
        </w:rPr>
      </w:pPr>
      <w:r>
        <w:rPr>
          <w:rFonts w:hint="default" w:ascii="Times New Roman" w:hAnsi="Times New Roman" w:eastAsia="宋体" w:cs="Times New Roman"/>
          <w:strike w:val="0"/>
          <w:dstrike w:val="0"/>
          <w:color w:val="auto"/>
          <w:sz w:val="24"/>
          <w:szCs w:val="21"/>
          <w:highlight w:val="none"/>
          <w:u w:val="single" w:color="auto"/>
          <w:lang w:val="en-GB" w:eastAsia="zh-CN"/>
        </w:rPr>
        <w:t>环评要求，建设单位电镀车间</w:t>
      </w:r>
      <w:r>
        <w:rPr>
          <w:rFonts w:hint="eastAsia" w:ascii="Times New Roman" w:hAnsi="Times New Roman" w:eastAsia="宋体" w:cs="Times New Roman"/>
          <w:strike w:val="0"/>
          <w:dstrike w:val="0"/>
          <w:color w:val="auto"/>
          <w:sz w:val="24"/>
          <w:szCs w:val="21"/>
          <w:highlight w:val="none"/>
          <w:u w:val="single" w:color="auto"/>
          <w:lang w:val="en-GB" w:eastAsia="zh-CN"/>
        </w:rPr>
        <w:t>、</w:t>
      </w:r>
      <w:r>
        <w:rPr>
          <w:rFonts w:hint="eastAsia" w:ascii="Times New Roman" w:hAnsi="Times New Roman" w:eastAsia="宋体" w:cs="Times New Roman"/>
          <w:strike w:val="0"/>
          <w:dstrike w:val="0"/>
          <w:color w:val="auto"/>
          <w:sz w:val="24"/>
          <w:szCs w:val="21"/>
          <w:highlight w:val="none"/>
          <w:u w:val="single" w:color="auto"/>
          <w:lang w:val="en-US" w:eastAsia="zh-CN"/>
        </w:rPr>
        <w:t>电镀工序</w:t>
      </w:r>
      <w:r>
        <w:rPr>
          <w:rFonts w:hint="default" w:ascii="Times New Roman" w:hAnsi="Times New Roman" w:eastAsia="宋体" w:cs="Times New Roman"/>
          <w:strike w:val="0"/>
          <w:dstrike w:val="0"/>
          <w:color w:val="auto"/>
          <w:sz w:val="24"/>
          <w:szCs w:val="21"/>
          <w:highlight w:val="none"/>
          <w:u w:val="single" w:color="auto"/>
          <w:lang w:val="en-GB" w:eastAsia="zh-CN"/>
        </w:rPr>
        <w:t>废水处理站蒸发车间不得设置排污口，且厂区雨水排口</w:t>
      </w:r>
      <w:r>
        <w:rPr>
          <w:rFonts w:hint="eastAsia" w:ascii="Times New Roman" w:hAnsi="Times New Roman" w:eastAsia="宋体" w:cs="Times New Roman"/>
          <w:strike w:val="0"/>
          <w:dstrike w:val="0"/>
          <w:color w:val="auto"/>
          <w:sz w:val="24"/>
          <w:szCs w:val="21"/>
          <w:highlight w:val="none"/>
          <w:u w:val="single" w:color="auto"/>
          <w:lang w:val="en-GB" w:eastAsia="zh-CN"/>
        </w:rPr>
        <w:t>、</w:t>
      </w:r>
      <w:r>
        <w:rPr>
          <w:rFonts w:hint="eastAsia" w:ascii="Times New Roman" w:hAnsi="Times New Roman" w:eastAsia="宋体" w:cs="Times New Roman"/>
          <w:strike w:val="0"/>
          <w:dstrike w:val="0"/>
          <w:color w:val="auto"/>
          <w:sz w:val="24"/>
          <w:szCs w:val="21"/>
          <w:highlight w:val="none"/>
          <w:u w:val="single" w:color="auto"/>
          <w:lang w:val="en-US" w:eastAsia="zh-CN"/>
        </w:rPr>
        <w:t>生活污水排口、机加工车间废水</w:t>
      </w:r>
      <w:r>
        <w:rPr>
          <w:rFonts w:hint="default" w:ascii="Times New Roman" w:hAnsi="Times New Roman" w:eastAsia="宋体" w:cs="Times New Roman"/>
          <w:strike w:val="0"/>
          <w:dstrike w:val="0"/>
          <w:color w:val="auto"/>
          <w:sz w:val="24"/>
          <w:szCs w:val="21"/>
          <w:highlight w:val="none"/>
          <w:u w:val="single" w:color="auto"/>
          <w:lang w:val="en-GB" w:eastAsia="zh-CN"/>
        </w:rPr>
        <w:t>排口重金属不得检出</w:t>
      </w:r>
      <w:r>
        <w:rPr>
          <w:rFonts w:hint="eastAsia" w:ascii="Times New Roman" w:hAnsi="Times New Roman" w:eastAsia="宋体" w:cs="Times New Roman"/>
          <w:strike w:val="0"/>
          <w:dstrike w:val="0"/>
          <w:color w:val="auto"/>
          <w:sz w:val="24"/>
          <w:szCs w:val="21"/>
          <w:highlight w:val="none"/>
          <w:u w:val="single" w:color="auto"/>
          <w:lang w:val="en-GB" w:eastAsia="zh-CN"/>
        </w:rPr>
        <w:t>，同时建设单位</w:t>
      </w:r>
      <w:r>
        <w:rPr>
          <w:rFonts w:hint="eastAsia" w:ascii="Times New Roman" w:hAnsi="Times New Roman" w:eastAsia="宋体" w:cs="Times New Roman"/>
          <w:strike w:val="0"/>
          <w:dstrike w:val="0"/>
          <w:color w:val="auto"/>
          <w:sz w:val="24"/>
          <w:szCs w:val="21"/>
          <w:highlight w:val="none"/>
          <w:u w:val="single" w:color="auto"/>
          <w:lang w:val="en-US" w:eastAsia="zh-CN"/>
        </w:rPr>
        <w:t>需</w:t>
      </w:r>
      <w:r>
        <w:rPr>
          <w:rFonts w:hint="eastAsia" w:ascii="Times New Roman" w:hAnsi="Times New Roman" w:eastAsia="宋体" w:cs="Times New Roman"/>
          <w:strike w:val="0"/>
          <w:dstrike w:val="0"/>
          <w:color w:val="auto"/>
          <w:sz w:val="24"/>
          <w:szCs w:val="21"/>
          <w:highlight w:val="none"/>
          <w:u w:val="single" w:color="auto"/>
          <w:lang w:val="en-GB" w:eastAsia="zh-CN"/>
        </w:rPr>
        <w:t>在雨水排放口及</w:t>
      </w:r>
      <w:r>
        <w:rPr>
          <w:rFonts w:hint="eastAsia" w:ascii="Times New Roman" w:hAnsi="Times New Roman" w:eastAsia="宋体" w:cs="Times New Roman"/>
          <w:strike w:val="0"/>
          <w:dstrike w:val="0"/>
          <w:color w:val="auto"/>
          <w:sz w:val="24"/>
          <w:szCs w:val="21"/>
          <w:highlight w:val="none"/>
          <w:u w:val="single" w:color="auto"/>
          <w:lang w:val="en-US" w:eastAsia="zh-CN"/>
        </w:rPr>
        <w:t>生活污水排口、机加工车间废水</w:t>
      </w:r>
      <w:r>
        <w:rPr>
          <w:rFonts w:hint="default" w:ascii="Times New Roman" w:hAnsi="Times New Roman" w:eastAsia="宋体" w:cs="Times New Roman"/>
          <w:strike w:val="0"/>
          <w:dstrike w:val="0"/>
          <w:color w:val="auto"/>
          <w:sz w:val="24"/>
          <w:szCs w:val="21"/>
          <w:highlight w:val="none"/>
          <w:u w:val="single" w:color="auto"/>
          <w:lang w:val="en-GB" w:eastAsia="zh-CN"/>
        </w:rPr>
        <w:t>排口</w:t>
      </w:r>
      <w:r>
        <w:rPr>
          <w:rFonts w:hint="eastAsia" w:ascii="Times New Roman" w:hAnsi="Times New Roman" w:eastAsia="宋体" w:cs="Times New Roman"/>
          <w:strike w:val="0"/>
          <w:dstrike w:val="0"/>
          <w:color w:val="auto"/>
          <w:sz w:val="24"/>
          <w:szCs w:val="21"/>
          <w:highlight w:val="none"/>
          <w:u w:val="single" w:color="auto"/>
          <w:lang w:val="en-GB" w:eastAsia="zh-CN"/>
        </w:rPr>
        <w:t>设置</w:t>
      </w:r>
      <w:r>
        <w:rPr>
          <w:rFonts w:hint="eastAsia" w:ascii="Times New Roman" w:hAnsi="Times New Roman" w:eastAsia="宋体" w:cs="Times New Roman"/>
          <w:strike w:val="0"/>
          <w:dstrike w:val="0"/>
          <w:color w:val="auto"/>
          <w:sz w:val="24"/>
          <w:szCs w:val="21"/>
          <w:highlight w:val="none"/>
          <w:u w:val="single" w:color="auto"/>
          <w:lang w:val="en-US" w:eastAsia="zh-CN"/>
        </w:rPr>
        <w:t>Ni在线监测装置，并与生态环境部门联网。</w:t>
      </w:r>
    </w:p>
    <w:p w14:paraId="761F8594">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9.2.3地下水污染防治措施</w:t>
      </w:r>
    </w:p>
    <w:p w14:paraId="6054176E">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针对场区可能发生的地下水污染情况，地下水防控措施按照“源头控制、分区防控、污染监控、应急响应”相结合的原则，从污染物的产生、入渗、扩散、应急响应全阶段进行控制。本项目以主动防渗措施为主，被动防渗措施为辅，防止地下水受到污染。</w:t>
      </w:r>
    </w:p>
    <w:p w14:paraId="3CD3527E">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（1）源头控制措施</w:t>
      </w:r>
    </w:p>
    <w:p w14:paraId="0E8B1950">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为防止和降低污染物跑、冒、滴、漏，将污染物泄漏的环境风险事故降到最低程度，建议从以下几方面着手：</w:t>
      </w:r>
    </w:p>
    <w:p w14:paraId="3D3EAF8E">
      <w:pPr>
        <w:spacing w:line="460" w:lineRule="exact"/>
        <w:ind w:firstLine="561"/>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①生产设施及管线架空，槽液泄漏能够及时发现；</w:t>
      </w:r>
    </w:p>
    <w:p w14:paraId="11B8DCD4">
      <w:pPr>
        <w:spacing w:line="460" w:lineRule="exact"/>
        <w:ind w:firstLine="561"/>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②废水收集（特别是涉重金属管道及水池）及处理采用可视可监控方式，能有效发现废水收集或处理环节的渗漏问题。</w:t>
      </w:r>
    </w:p>
    <w:p w14:paraId="3FDAC608">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③地面防腐防渗</w:t>
      </w:r>
    </w:p>
    <w:p w14:paraId="54DD46B0">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地面与裙脚采用坚固、防渗、耐腐蚀的材料建造，且表面应有涂高密度聚乙烯防渗层（渗透系数≤10</w:t>
      </w:r>
      <w:r>
        <w:rPr>
          <w:rFonts w:hint="default" w:ascii="Times New Roman" w:hAnsi="Times New Roman" w:eastAsia="宋体" w:cs="Times New Roman"/>
          <w:color w:val="auto"/>
          <w:sz w:val="24"/>
          <w:szCs w:val="21"/>
          <w:highlight w:val="none"/>
          <w:u w:val="none" w:color="auto"/>
          <w:vertAlign w:val="superscript"/>
        </w:rPr>
        <w:t>-10</w:t>
      </w:r>
      <w:r>
        <w:rPr>
          <w:rFonts w:hint="default" w:ascii="Times New Roman" w:hAnsi="Times New Roman" w:eastAsia="宋体" w:cs="Times New Roman"/>
          <w:color w:val="auto"/>
          <w:sz w:val="24"/>
          <w:szCs w:val="21"/>
          <w:highlight w:val="none"/>
          <w:u w:val="none" w:color="auto"/>
        </w:rPr>
        <w:t>厘米/秒），无裂隙。所有废水收集池等池体基础均应采用防渗混凝土结构防渗，表面刷水泥基防渗涂层，相当于1m厚粘土层（渗透系数≤10</w:t>
      </w:r>
      <w:r>
        <w:rPr>
          <w:rFonts w:hint="default" w:ascii="Times New Roman" w:hAnsi="Times New Roman" w:eastAsia="宋体" w:cs="Times New Roman"/>
          <w:color w:val="auto"/>
          <w:sz w:val="24"/>
          <w:szCs w:val="21"/>
          <w:highlight w:val="none"/>
          <w:u w:val="none" w:color="auto"/>
          <w:vertAlign w:val="superscript"/>
        </w:rPr>
        <w:t>-7</w:t>
      </w:r>
      <w:r>
        <w:rPr>
          <w:rFonts w:hint="default" w:ascii="Times New Roman" w:hAnsi="Times New Roman" w:eastAsia="宋体" w:cs="Times New Roman"/>
          <w:color w:val="auto"/>
          <w:sz w:val="24"/>
          <w:szCs w:val="21"/>
          <w:highlight w:val="none"/>
          <w:u w:val="none" w:color="auto"/>
        </w:rPr>
        <w:t>厘米/秒）。对排污管线，全部采用管道内部防腐设计，尽量减少管道接口，并且加强日常的巡查和维护，避免跑、冒、滴、漏。</w:t>
      </w:r>
    </w:p>
    <w:p w14:paraId="27307299">
      <w:pPr>
        <w:spacing w:line="460" w:lineRule="exact"/>
        <w:ind w:firstLine="561"/>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（2）分区防渗措施</w:t>
      </w:r>
    </w:p>
    <w:p w14:paraId="09E31169">
      <w:pPr>
        <w:spacing w:line="460" w:lineRule="exact"/>
        <w:ind w:firstLine="561"/>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本项目防渗分区包括重点防渗区、一般防渗区、简单防渗区，本项目防渗分区详见下表：</w:t>
      </w:r>
    </w:p>
    <w:p w14:paraId="7A0BE066">
      <w:pPr>
        <w:jc w:val="center"/>
        <w:rPr>
          <w:rFonts w:hint="default" w:ascii="Times New Roman" w:hAnsi="Times New Roman" w:eastAsia="宋体" w:cs="Times New Roman"/>
          <w:b/>
          <w:strike w:val="0"/>
          <w:dstrike w:val="0"/>
          <w:color w:val="auto"/>
          <w:kern w:val="2"/>
          <w:sz w:val="21"/>
          <w:szCs w:val="18"/>
          <w:highlight w:val="none"/>
          <w:u w:val="single" w:color="auto"/>
          <w:lang w:val="en-US" w:eastAsia="zh-CN" w:bidi="ar-SA"/>
        </w:rPr>
      </w:pPr>
      <w:bookmarkStart w:id="106" w:name="_Toc460281969"/>
      <w:bookmarkStart w:id="107" w:name="_Toc488250388"/>
      <w:r>
        <w:rPr>
          <w:rFonts w:hint="default" w:ascii="Times New Roman" w:hAnsi="Times New Roman" w:eastAsia="宋体" w:cs="Times New Roman"/>
          <w:b/>
          <w:strike w:val="0"/>
          <w:dstrike w:val="0"/>
          <w:color w:val="auto"/>
          <w:kern w:val="2"/>
          <w:sz w:val="21"/>
          <w:szCs w:val="18"/>
          <w:highlight w:val="none"/>
          <w:u w:val="single" w:color="auto"/>
          <w:lang w:val="en-US" w:eastAsia="zh-CN" w:bidi="ar-SA"/>
        </w:rPr>
        <w:t>表9.2-4 本项目防渗分区一览表</w:t>
      </w:r>
      <w:bookmarkEnd w:id="106"/>
      <w:bookmarkEnd w:id="107"/>
    </w:p>
    <w:tbl>
      <w:tblPr>
        <w:tblStyle w:val="22"/>
        <w:tblW w:w="513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01"/>
        <w:gridCol w:w="1984"/>
        <w:gridCol w:w="5271"/>
      </w:tblGrid>
      <w:tr w14:paraId="73284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57" w:type="pct"/>
            <w:vAlign w:val="center"/>
          </w:tcPr>
          <w:p w14:paraId="62D1970E">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防渗分区</w:t>
            </w:r>
          </w:p>
        </w:tc>
        <w:tc>
          <w:tcPr>
            <w:tcW w:w="1133" w:type="pct"/>
            <w:vAlign w:val="center"/>
          </w:tcPr>
          <w:p w14:paraId="568452E0">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厂区划分</w:t>
            </w:r>
          </w:p>
        </w:tc>
        <w:tc>
          <w:tcPr>
            <w:tcW w:w="3011" w:type="pct"/>
            <w:vAlign w:val="center"/>
          </w:tcPr>
          <w:p w14:paraId="7F20A819">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防渗要求</w:t>
            </w:r>
          </w:p>
        </w:tc>
      </w:tr>
      <w:tr w14:paraId="4FCD0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pct"/>
            <w:vAlign w:val="center"/>
          </w:tcPr>
          <w:p w14:paraId="29C4FA29">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重点防渗区</w:t>
            </w:r>
          </w:p>
        </w:tc>
        <w:tc>
          <w:tcPr>
            <w:tcW w:w="1133" w:type="pct"/>
            <w:vAlign w:val="center"/>
          </w:tcPr>
          <w:p w14:paraId="50485CED">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lang w:val="en-US" w:eastAsia="zh-CN"/>
              </w:rPr>
              <w:t>1</w:t>
            </w:r>
            <w:r>
              <w:rPr>
                <w:rFonts w:hint="default" w:ascii="Times New Roman" w:hAnsi="Times New Roman" w:cs="Times New Roman"/>
                <w:bCs/>
                <w:color w:val="auto"/>
                <w:highlight w:val="none"/>
                <w:u w:val="single" w:color="auto"/>
              </w:rPr>
              <w:t>#厂房、</w:t>
            </w:r>
            <w:r>
              <w:rPr>
                <w:rFonts w:hint="default" w:ascii="Times New Roman" w:hAnsi="Times New Roman" w:cs="Times New Roman"/>
                <w:bCs/>
                <w:color w:val="auto"/>
                <w:highlight w:val="none"/>
                <w:u w:val="single" w:color="auto"/>
                <w:lang w:val="en-US" w:eastAsia="zh-CN"/>
              </w:rPr>
              <w:t>2</w:t>
            </w:r>
            <w:r>
              <w:rPr>
                <w:rFonts w:hint="default" w:ascii="Times New Roman" w:hAnsi="Times New Roman" w:cs="Times New Roman"/>
                <w:bCs/>
                <w:color w:val="auto"/>
                <w:highlight w:val="none"/>
                <w:u w:val="single" w:color="auto"/>
              </w:rPr>
              <w:t>#厂房等生产厂房，</w:t>
            </w:r>
            <w:r>
              <w:rPr>
                <w:rFonts w:hint="eastAsia" w:ascii="Times New Roman" w:hAnsi="Times New Roman" w:cs="Times New Roman"/>
                <w:bCs/>
                <w:color w:val="auto"/>
                <w:highlight w:val="none"/>
                <w:u w:val="single" w:color="auto"/>
                <w:lang w:eastAsia="zh-CN"/>
              </w:rPr>
              <w:t>废水</w:t>
            </w:r>
            <w:r>
              <w:rPr>
                <w:rFonts w:hint="default" w:ascii="Times New Roman" w:hAnsi="Times New Roman" w:cs="Times New Roman"/>
                <w:bCs/>
                <w:color w:val="auto"/>
                <w:highlight w:val="none"/>
                <w:u w:val="single" w:color="auto"/>
              </w:rPr>
              <w:t>处理车间（含各类废水收集池、应急事故池）、危废暂存间</w:t>
            </w:r>
          </w:p>
        </w:tc>
        <w:tc>
          <w:tcPr>
            <w:tcW w:w="3011" w:type="pct"/>
            <w:vAlign w:val="center"/>
          </w:tcPr>
          <w:p w14:paraId="438B41E9">
            <w:pPr>
              <w:pStyle w:val="66"/>
              <w:jc w:val="left"/>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①生产厂房、污水处理车间、危化品仓库采取粘土铺底，再在上层铺设10-15cm的水泥进行硬化，并铺环氧树脂，厚度不小于2mm，注重维护保养，发现破损及时修复，防渗层渗透系数≤10</w:t>
            </w:r>
            <w:r>
              <w:rPr>
                <w:rFonts w:hint="default" w:ascii="Times New Roman" w:hAnsi="Times New Roman" w:cs="Times New Roman"/>
                <w:bCs/>
                <w:color w:val="auto"/>
                <w:highlight w:val="none"/>
                <w:u w:val="single" w:color="auto"/>
                <w:vertAlign w:val="superscript"/>
              </w:rPr>
              <w:t>-10</w:t>
            </w:r>
            <w:r>
              <w:rPr>
                <w:rFonts w:hint="default" w:ascii="Times New Roman" w:hAnsi="Times New Roman" w:cs="Times New Roman"/>
                <w:bCs/>
                <w:color w:val="auto"/>
                <w:highlight w:val="none"/>
                <w:u w:val="single" w:color="auto"/>
              </w:rPr>
              <w:t>cm/s。</w:t>
            </w:r>
          </w:p>
          <w:p w14:paraId="69CDF3B8">
            <w:pPr>
              <w:pStyle w:val="66"/>
              <w:jc w:val="left"/>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②危废暂存间严格按照《危险废物贮存污染控制标准》（</w:t>
            </w:r>
            <w:r>
              <w:rPr>
                <w:rFonts w:hint="eastAsia" w:cs="Times New Roman"/>
                <w:bCs/>
                <w:color w:val="auto"/>
                <w:highlight w:val="none"/>
                <w:u w:val="single" w:color="auto"/>
                <w:lang w:eastAsia="zh-CN"/>
              </w:rPr>
              <w:t>GB18597-2023</w:t>
            </w:r>
            <w:r>
              <w:rPr>
                <w:rFonts w:hint="default" w:ascii="Times New Roman" w:hAnsi="Times New Roman" w:cs="Times New Roman"/>
                <w:bCs/>
                <w:color w:val="auto"/>
                <w:highlight w:val="none"/>
                <w:u w:val="single" w:color="auto"/>
              </w:rPr>
              <w:t>）的要求进行设计、施工和建设，设置堵截泄漏的裙脚，地面与裙脚采用坚固、防渗的材料建造，存放液体、半固体危废的地面采用防腐蚀的硬化地面，建筑材料与危险废物性质相容；设有泄漏液体收集装置；基础采取防渗措施，采用2mm厚的高密度聚乙烯，渗透系数不大于10</w:t>
            </w:r>
            <w:r>
              <w:rPr>
                <w:rFonts w:hint="default" w:ascii="Times New Roman" w:hAnsi="Times New Roman" w:cs="Times New Roman"/>
                <w:bCs/>
                <w:color w:val="auto"/>
                <w:highlight w:val="none"/>
                <w:u w:val="single" w:color="auto"/>
                <w:vertAlign w:val="superscript"/>
              </w:rPr>
              <w:t>-10</w:t>
            </w:r>
            <w:r>
              <w:rPr>
                <w:rFonts w:hint="default" w:ascii="Times New Roman" w:hAnsi="Times New Roman" w:cs="Times New Roman"/>
                <w:bCs/>
                <w:color w:val="auto"/>
                <w:highlight w:val="none"/>
                <w:u w:val="single" w:color="auto"/>
              </w:rPr>
              <w:t>cm/s。</w:t>
            </w:r>
          </w:p>
          <w:p w14:paraId="6F0A5206">
            <w:pPr>
              <w:pStyle w:val="66"/>
              <w:jc w:val="left"/>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③污水处理车间（含废水收集池、事故池等）采用钢混结构，用压实土+土工布复合基础为地基，并进行防腐防渗处理，地面并铺环氧树脂；防水涂料、防水砂浆等的性能指标及施工均按照《地下工程防水技术规范》的要求完成，防渗层渗透系数≤10</w:t>
            </w:r>
            <w:r>
              <w:rPr>
                <w:rFonts w:hint="default" w:ascii="Times New Roman" w:hAnsi="Times New Roman" w:cs="Times New Roman"/>
                <w:bCs/>
                <w:color w:val="auto"/>
                <w:highlight w:val="none"/>
                <w:u w:val="single" w:color="auto"/>
                <w:vertAlign w:val="superscript"/>
              </w:rPr>
              <w:t>-10</w:t>
            </w:r>
            <w:r>
              <w:rPr>
                <w:rFonts w:hint="default" w:ascii="Times New Roman" w:hAnsi="Times New Roman" w:cs="Times New Roman"/>
                <w:bCs/>
                <w:color w:val="auto"/>
                <w:highlight w:val="none"/>
                <w:u w:val="single" w:color="auto"/>
              </w:rPr>
              <w:t>cm/s。</w:t>
            </w:r>
          </w:p>
        </w:tc>
      </w:tr>
      <w:tr w14:paraId="72F16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pct"/>
            <w:vAlign w:val="center"/>
          </w:tcPr>
          <w:p w14:paraId="15059C08">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一般防渗区</w:t>
            </w:r>
          </w:p>
        </w:tc>
        <w:tc>
          <w:tcPr>
            <w:tcW w:w="1133" w:type="pct"/>
            <w:vAlign w:val="center"/>
          </w:tcPr>
          <w:p w14:paraId="78F0CC64">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一般工业固废暂存间、雨水沟等</w:t>
            </w:r>
          </w:p>
        </w:tc>
        <w:tc>
          <w:tcPr>
            <w:tcW w:w="3011" w:type="pct"/>
            <w:vAlign w:val="center"/>
          </w:tcPr>
          <w:p w14:paraId="300D6B13">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混凝土硬化，铺设耐磨骨料防渗地坪，防渗层渗透系数≤10</w:t>
            </w:r>
            <w:r>
              <w:rPr>
                <w:rFonts w:hint="default" w:ascii="Times New Roman" w:hAnsi="Times New Roman" w:cs="Times New Roman"/>
                <w:bCs/>
                <w:color w:val="auto"/>
                <w:highlight w:val="none"/>
                <w:u w:val="single" w:color="auto"/>
                <w:vertAlign w:val="superscript"/>
              </w:rPr>
              <w:t>-7</w:t>
            </w:r>
            <w:r>
              <w:rPr>
                <w:rFonts w:hint="default" w:ascii="Times New Roman" w:hAnsi="Times New Roman" w:cs="Times New Roman"/>
                <w:bCs/>
                <w:color w:val="auto"/>
                <w:highlight w:val="none"/>
                <w:u w:val="single" w:color="auto"/>
              </w:rPr>
              <w:t>cm/s，1m厚粘土层</w:t>
            </w:r>
          </w:p>
        </w:tc>
      </w:tr>
      <w:tr w14:paraId="7A877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7" w:type="pct"/>
            <w:vAlign w:val="center"/>
          </w:tcPr>
          <w:p w14:paraId="4BD8B920">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简单防渗区</w:t>
            </w:r>
          </w:p>
        </w:tc>
        <w:tc>
          <w:tcPr>
            <w:tcW w:w="1133" w:type="pct"/>
            <w:vAlign w:val="center"/>
          </w:tcPr>
          <w:p w14:paraId="1BB755B6">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办公生活区</w:t>
            </w:r>
          </w:p>
        </w:tc>
        <w:tc>
          <w:tcPr>
            <w:tcW w:w="3011" w:type="pct"/>
            <w:vAlign w:val="center"/>
          </w:tcPr>
          <w:p w14:paraId="71F9B921">
            <w:pPr>
              <w:pStyle w:val="66"/>
              <w:rPr>
                <w:rFonts w:hint="default" w:ascii="Times New Roman" w:hAnsi="Times New Roman" w:cs="Times New Roman"/>
                <w:bCs/>
                <w:color w:val="auto"/>
                <w:highlight w:val="none"/>
                <w:u w:val="single" w:color="auto"/>
              </w:rPr>
            </w:pPr>
            <w:r>
              <w:rPr>
                <w:rFonts w:hint="default" w:ascii="Times New Roman" w:hAnsi="Times New Roman" w:cs="Times New Roman"/>
                <w:bCs/>
                <w:color w:val="auto"/>
                <w:highlight w:val="none"/>
                <w:u w:val="single" w:color="auto"/>
              </w:rPr>
              <w:t>一般地面硬化</w:t>
            </w:r>
          </w:p>
        </w:tc>
      </w:tr>
    </w:tbl>
    <w:p w14:paraId="1041CD20">
      <w:pPr>
        <w:spacing w:line="460" w:lineRule="exact"/>
        <w:ind w:firstLine="561"/>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（3）设置地下水跟踪监控井</w:t>
      </w:r>
    </w:p>
    <w:p w14:paraId="1B7A613F">
      <w:pPr>
        <w:spacing w:line="460" w:lineRule="exact"/>
        <w:ind w:firstLine="561"/>
        <w:rPr>
          <w:rFonts w:hint="default" w:ascii="Times New Roman" w:hAnsi="Times New Roman" w:eastAsia="宋体" w:cs="Times New Roman"/>
          <w:color w:val="auto"/>
          <w:sz w:val="24"/>
          <w:szCs w:val="21"/>
          <w:highlight w:val="none"/>
          <w:u w:val="single" w:color="auto"/>
          <w:lang w:val="en-US" w:eastAsia="zh-CN"/>
        </w:rPr>
      </w:pPr>
      <w:r>
        <w:rPr>
          <w:rFonts w:hint="default" w:ascii="Times New Roman" w:hAnsi="Times New Roman" w:eastAsia="宋体" w:cs="Times New Roman"/>
          <w:color w:val="auto"/>
          <w:sz w:val="24"/>
          <w:szCs w:val="21"/>
          <w:highlight w:val="none"/>
          <w:u w:val="single" w:color="auto"/>
        </w:rPr>
        <w:t>根据地下水导则要求，本项目设置2个跟踪监测井，用于监测场区地下水环境。</w:t>
      </w:r>
    </w:p>
    <w:p w14:paraId="0D1D140B">
      <w:pPr>
        <w:jc w:val="center"/>
        <w:rPr>
          <w:rFonts w:hint="default" w:ascii="Times New Roman" w:hAnsi="Times New Roman" w:eastAsia="宋体" w:cs="Times New Roman"/>
          <w:b/>
          <w:strike w:val="0"/>
          <w:dstrike w:val="0"/>
          <w:color w:val="auto"/>
          <w:kern w:val="2"/>
          <w:sz w:val="21"/>
          <w:szCs w:val="18"/>
          <w:highlight w:val="none"/>
          <w:u w:val="single" w:color="auto"/>
          <w:lang w:val="en-US" w:eastAsia="zh-CN" w:bidi="ar-SA"/>
        </w:rPr>
      </w:pPr>
      <w:r>
        <w:rPr>
          <w:rFonts w:hint="default" w:ascii="Times New Roman" w:hAnsi="Times New Roman" w:eastAsia="宋体" w:cs="Times New Roman"/>
          <w:b/>
          <w:strike w:val="0"/>
          <w:dstrike w:val="0"/>
          <w:color w:val="auto"/>
          <w:kern w:val="2"/>
          <w:sz w:val="21"/>
          <w:szCs w:val="18"/>
          <w:highlight w:val="none"/>
          <w:u w:val="single" w:color="auto"/>
          <w:lang w:val="en-US" w:eastAsia="zh-CN" w:bidi="ar-SA"/>
        </w:rPr>
        <w:t>表9.2-5跟踪监测点参数一览表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3"/>
        <w:gridCol w:w="3686"/>
        <w:gridCol w:w="2550"/>
        <w:gridCol w:w="1473"/>
      </w:tblGrid>
      <w:tr w14:paraId="0432AF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7" w:type="pct"/>
            <w:vAlign w:val="center"/>
          </w:tcPr>
          <w:p w14:paraId="1B7B285A">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编号</w:t>
            </w:r>
          </w:p>
        </w:tc>
        <w:tc>
          <w:tcPr>
            <w:tcW w:w="2162" w:type="pct"/>
            <w:vAlign w:val="center"/>
          </w:tcPr>
          <w:p w14:paraId="233DEC5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点位</w:t>
            </w:r>
          </w:p>
        </w:tc>
        <w:tc>
          <w:tcPr>
            <w:tcW w:w="1496" w:type="pct"/>
            <w:vAlign w:val="center"/>
          </w:tcPr>
          <w:p w14:paraId="032F985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监测因子</w:t>
            </w:r>
          </w:p>
        </w:tc>
        <w:tc>
          <w:tcPr>
            <w:tcW w:w="864" w:type="pct"/>
            <w:vAlign w:val="center"/>
          </w:tcPr>
          <w:p w14:paraId="2CFDB238">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监测频次</w:t>
            </w:r>
          </w:p>
        </w:tc>
      </w:tr>
      <w:tr w14:paraId="3A7FA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7" w:type="pct"/>
            <w:vAlign w:val="center"/>
          </w:tcPr>
          <w:p w14:paraId="1386FE5B">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1</w:t>
            </w:r>
          </w:p>
        </w:tc>
        <w:tc>
          <w:tcPr>
            <w:tcW w:w="2162" w:type="pct"/>
            <w:vAlign w:val="center"/>
          </w:tcPr>
          <w:p w14:paraId="622E2627">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场区污水处理车间</w:t>
            </w:r>
            <w:r>
              <w:rPr>
                <w:rFonts w:hint="eastAsia" w:ascii="Times New Roman" w:hAnsi="Times New Roman" w:eastAsia="宋体" w:cs="Times New Roman"/>
                <w:color w:val="auto"/>
                <w:sz w:val="21"/>
                <w:szCs w:val="21"/>
                <w:highlight w:val="none"/>
                <w:u w:val="single" w:color="auto"/>
                <w:lang w:eastAsia="zh-CN"/>
              </w:rPr>
              <w:t>西</w:t>
            </w:r>
            <w:r>
              <w:rPr>
                <w:rFonts w:hint="default" w:ascii="Times New Roman" w:hAnsi="Times New Roman" w:eastAsia="宋体" w:cs="Times New Roman"/>
                <w:color w:val="auto"/>
                <w:sz w:val="21"/>
                <w:szCs w:val="21"/>
                <w:highlight w:val="none"/>
                <w:u w:val="single" w:color="auto"/>
              </w:rPr>
              <w:t>侧（厂区内）</w:t>
            </w:r>
          </w:p>
        </w:tc>
        <w:tc>
          <w:tcPr>
            <w:tcW w:w="1496" w:type="pct"/>
            <w:vMerge w:val="restart"/>
            <w:vAlign w:val="center"/>
          </w:tcPr>
          <w:p w14:paraId="092F852F">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lang w:eastAsia="zh-CN"/>
              </w:rPr>
              <w:t>pH</w:t>
            </w:r>
            <w:r>
              <w:rPr>
                <w:rFonts w:hint="default" w:ascii="Times New Roman" w:hAnsi="Times New Roman" w:eastAsia="宋体" w:cs="Times New Roman"/>
                <w:color w:val="auto"/>
                <w:sz w:val="21"/>
                <w:szCs w:val="21"/>
                <w:highlight w:val="none"/>
                <w:u w:val="single" w:color="auto"/>
              </w:rPr>
              <w:t>、耗氧量、氨氮、铬、铜、铅、锌、镉、镍、硫酸盐、氯化物</w:t>
            </w:r>
          </w:p>
        </w:tc>
        <w:tc>
          <w:tcPr>
            <w:tcW w:w="864" w:type="pct"/>
            <w:vMerge w:val="restart"/>
            <w:vAlign w:val="center"/>
          </w:tcPr>
          <w:p w14:paraId="1F7E43C0">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一年一次</w:t>
            </w:r>
          </w:p>
        </w:tc>
      </w:tr>
      <w:tr w14:paraId="72F324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7" w:type="pct"/>
            <w:vAlign w:val="center"/>
          </w:tcPr>
          <w:p w14:paraId="77C1300E">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2</w:t>
            </w:r>
          </w:p>
        </w:tc>
        <w:tc>
          <w:tcPr>
            <w:tcW w:w="2162" w:type="pct"/>
            <w:vAlign w:val="center"/>
          </w:tcPr>
          <w:p w14:paraId="548F8199">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场区地下水流向下游（厂区</w:t>
            </w:r>
            <w:r>
              <w:rPr>
                <w:rFonts w:hint="eastAsia" w:ascii="Times New Roman" w:hAnsi="Times New Roman" w:eastAsia="宋体" w:cs="Times New Roman"/>
                <w:color w:val="auto"/>
                <w:sz w:val="21"/>
                <w:szCs w:val="21"/>
                <w:highlight w:val="none"/>
                <w:u w:val="single" w:color="auto"/>
                <w:lang w:eastAsia="zh-CN"/>
              </w:rPr>
              <w:t>东</w:t>
            </w:r>
            <w:r>
              <w:rPr>
                <w:rFonts w:hint="default" w:ascii="Times New Roman" w:hAnsi="Times New Roman" w:eastAsia="宋体" w:cs="Times New Roman"/>
                <w:color w:val="auto"/>
                <w:sz w:val="21"/>
                <w:szCs w:val="21"/>
                <w:highlight w:val="none"/>
                <w:u w:val="single" w:color="auto"/>
              </w:rPr>
              <w:t>侧）</w:t>
            </w:r>
          </w:p>
        </w:tc>
        <w:tc>
          <w:tcPr>
            <w:tcW w:w="1496" w:type="pct"/>
            <w:vMerge w:val="continue"/>
            <w:vAlign w:val="center"/>
          </w:tcPr>
          <w:p w14:paraId="79D72067">
            <w:pPr>
              <w:spacing w:line="240" w:lineRule="auto"/>
              <w:jc w:val="center"/>
              <w:rPr>
                <w:rFonts w:hint="default" w:ascii="Times New Roman" w:hAnsi="Times New Roman" w:eastAsia="宋体" w:cs="Times New Roman"/>
                <w:color w:val="auto"/>
                <w:sz w:val="21"/>
                <w:szCs w:val="21"/>
                <w:highlight w:val="none"/>
                <w:u w:val="single" w:color="auto"/>
              </w:rPr>
            </w:pPr>
          </w:p>
        </w:tc>
        <w:tc>
          <w:tcPr>
            <w:tcW w:w="864" w:type="pct"/>
            <w:vMerge w:val="continue"/>
            <w:vAlign w:val="center"/>
          </w:tcPr>
          <w:p w14:paraId="5A72018A">
            <w:pPr>
              <w:spacing w:line="240" w:lineRule="auto"/>
              <w:jc w:val="center"/>
              <w:rPr>
                <w:rFonts w:hint="default" w:ascii="Times New Roman" w:hAnsi="Times New Roman" w:eastAsia="宋体" w:cs="Times New Roman"/>
                <w:color w:val="auto"/>
                <w:sz w:val="21"/>
                <w:szCs w:val="21"/>
                <w:highlight w:val="none"/>
                <w:u w:val="single" w:color="auto"/>
              </w:rPr>
            </w:pPr>
          </w:p>
        </w:tc>
      </w:tr>
    </w:tbl>
    <w:p w14:paraId="3C8F3B4C">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建设单位应对各污染防治区域尤其是重点污染防治区域进行定期检查，如发现泄漏或发生事故，应及时确定泄漏污染源，并采取应急措施。</w:t>
      </w:r>
    </w:p>
    <w:p w14:paraId="7E0AF00E">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（4）其他地下水防治措施</w:t>
      </w:r>
    </w:p>
    <w:p w14:paraId="736D8817">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①实施清洁生产计划，减少污染物的排放量；防止污染物的跑冒漏滴，将污染物的泄漏环境风险事故降到最低限度。</w:t>
      </w:r>
    </w:p>
    <w:p w14:paraId="33454390">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②对厂内排水系统和污水处理站池体及排放管道均做防渗处理。</w:t>
      </w:r>
    </w:p>
    <w:p w14:paraId="3332CE2D">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③建立地下水风险事故应急响应预案，明确风险事故状态下应采取的封闭、截留等措施。</w:t>
      </w:r>
    </w:p>
    <w:p w14:paraId="654B961B">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④对厂区和周边地下水水质定期监测，发现水质超标应及时通知有关部门和人员。</w:t>
      </w:r>
    </w:p>
    <w:p w14:paraId="63EA653A">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9.2.4噪声污染防治措施及可行性</w:t>
      </w:r>
    </w:p>
    <w:p w14:paraId="3C4E5539">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项目拟采取的噪声治理措施如下：</w:t>
      </w:r>
    </w:p>
    <w:p w14:paraId="45C4190B">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（1）选用低噪声设备，诸如选用声功率级较低的风机、空压机等，从源头上降低噪声水平；</w:t>
      </w:r>
    </w:p>
    <w:p w14:paraId="1F640E86">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（2）所有的生产设备均布置在生产厂房内，对于噪声较大的风机、泵等单独进行减震、隔声；</w:t>
      </w:r>
    </w:p>
    <w:p w14:paraId="3E779CC6">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（3）采用密闭厂房，加强厂房隔声；</w:t>
      </w:r>
    </w:p>
    <w:p w14:paraId="5CFD0789">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（4）厂区车间周围设绿化带，加强绿化带的设置，尽量种植高大乔木，以达到吸声降噪的效果。</w:t>
      </w:r>
    </w:p>
    <w:p w14:paraId="161D0A47">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通过采取上述减震、隔声等噪声治理措施，可有效降低项目生产过程的设备噪声对周边声环境的影响，厂界噪声可以达到《工业企业厂界环境噪声排放标准》(GB12348-2008)3类标准要求，采取上述噪声治理措施是可行的。</w:t>
      </w:r>
    </w:p>
    <w:p w14:paraId="0FF122F6">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9.2.5固体废物污染防治措施及可行性</w:t>
      </w:r>
    </w:p>
    <w:p w14:paraId="635C9599">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（1）固体废物类别和处理方式</w:t>
      </w:r>
    </w:p>
    <w:p w14:paraId="1211861C">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项目运营期固体废物主要包括一般化学品废包装材料、</w:t>
      </w:r>
      <w:r>
        <w:rPr>
          <w:rFonts w:hint="default" w:ascii="Times New Roman" w:hAnsi="Times New Roman" w:eastAsia="宋体" w:cs="Times New Roman"/>
          <w:color w:val="auto"/>
          <w:sz w:val="24"/>
          <w:szCs w:val="21"/>
          <w:highlight w:val="none"/>
          <w:u w:val="none" w:color="auto"/>
          <w:lang w:eastAsia="zh-CN"/>
        </w:rPr>
        <w:t>纯水站废过滤材料、不合格产品及边角料、</w:t>
      </w:r>
      <w:r>
        <w:rPr>
          <w:rFonts w:hint="eastAsia" w:ascii="Times New Roman" w:hAnsi="Times New Roman" w:eastAsia="宋体" w:cs="Times New Roman"/>
          <w:color w:val="auto"/>
          <w:kern w:val="2"/>
          <w:sz w:val="24"/>
          <w:szCs w:val="24"/>
          <w:highlight w:val="none"/>
          <w:u w:val="none" w:color="auto"/>
          <w:lang w:val="en-US" w:eastAsia="zh-CN" w:bidi="ar-SA"/>
        </w:rPr>
        <w:t>沉淀池污泥、</w:t>
      </w:r>
      <w:r>
        <w:rPr>
          <w:rFonts w:hint="default" w:ascii="Times New Roman" w:hAnsi="Times New Roman" w:eastAsia="宋体" w:cs="Times New Roman"/>
          <w:color w:val="auto"/>
          <w:sz w:val="24"/>
          <w:szCs w:val="21"/>
          <w:highlight w:val="none"/>
          <w:u w:val="none" w:color="auto"/>
          <w:lang w:eastAsia="zh-CN"/>
        </w:rPr>
        <w:t>铝材前处理槽渣</w:t>
      </w:r>
      <w:r>
        <w:rPr>
          <w:rFonts w:hint="default" w:ascii="Times New Roman" w:hAnsi="Times New Roman" w:eastAsia="宋体" w:cs="Times New Roman"/>
          <w:color w:val="auto"/>
          <w:sz w:val="24"/>
          <w:szCs w:val="21"/>
          <w:highlight w:val="none"/>
          <w:u w:val="none" w:color="auto"/>
        </w:rPr>
        <w:t>、电镀槽槽渣、废槽液、电镀废水处理污泥、</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sz w:val="24"/>
          <w:szCs w:val="21"/>
          <w:highlight w:val="none"/>
          <w:u w:val="none" w:color="auto"/>
        </w:rPr>
        <w:t>残渣、危险化学品包装材料、废过滤材料、</w:t>
      </w:r>
      <w:r>
        <w:rPr>
          <w:rFonts w:hint="default" w:ascii="Times New Roman" w:hAnsi="Times New Roman" w:eastAsia="宋体" w:cs="Times New Roman"/>
          <w:color w:val="auto"/>
          <w:sz w:val="24"/>
          <w:szCs w:val="21"/>
          <w:highlight w:val="none"/>
          <w:u w:val="none" w:color="auto"/>
          <w:lang w:eastAsia="zh-CN"/>
        </w:rPr>
        <w:t>废切削液、废矿物油、含油抹布</w:t>
      </w:r>
      <w:r>
        <w:rPr>
          <w:rFonts w:hint="default" w:ascii="Times New Roman" w:hAnsi="Times New Roman" w:eastAsia="宋体" w:cs="Times New Roman"/>
          <w:color w:val="auto"/>
          <w:sz w:val="24"/>
          <w:szCs w:val="21"/>
          <w:highlight w:val="none"/>
          <w:u w:val="none" w:color="auto"/>
        </w:rPr>
        <w:t>及生活垃圾</w:t>
      </w:r>
    </w:p>
    <w:p w14:paraId="7BCA9B7D">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一般化学品废包装材料、</w:t>
      </w:r>
      <w:r>
        <w:rPr>
          <w:rFonts w:hint="default" w:ascii="Times New Roman" w:hAnsi="Times New Roman" w:eastAsia="宋体" w:cs="Times New Roman"/>
          <w:color w:val="auto"/>
          <w:sz w:val="24"/>
          <w:szCs w:val="21"/>
          <w:highlight w:val="none"/>
          <w:u w:val="none" w:color="auto"/>
          <w:lang w:eastAsia="zh-CN"/>
        </w:rPr>
        <w:t>不合格产品及边角料、铝材前处理槽渣</w:t>
      </w:r>
      <w:r>
        <w:rPr>
          <w:rFonts w:hint="default" w:ascii="Times New Roman" w:hAnsi="Times New Roman" w:eastAsia="宋体" w:cs="Times New Roman"/>
          <w:color w:val="auto"/>
          <w:sz w:val="24"/>
          <w:szCs w:val="21"/>
          <w:highlight w:val="none"/>
          <w:u w:val="none" w:color="auto"/>
        </w:rPr>
        <w:t>在厂区收集后外售综合利用</w:t>
      </w:r>
      <w:r>
        <w:rPr>
          <w:rFonts w:hint="eastAsia" w:ascii="Times New Roman" w:hAnsi="Times New Roman" w:eastAsia="宋体" w:cs="Times New Roman"/>
          <w:color w:val="auto"/>
          <w:sz w:val="24"/>
          <w:szCs w:val="21"/>
          <w:highlight w:val="none"/>
          <w:u w:val="none" w:color="auto"/>
          <w:lang w:eastAsia="zh-CN"/>
        </w:rPr>
        <w:t>，</w:t>
      </w:r>
      <w:r>
        <w:rPr>
          <w:rFonts w:hint="eastAsia" w:ascii="Times New Roman" w:hAnsi="Times New Roman" w:eastAsia="宋体" w:cs="Times New Roman"/>
          <w:color w:val="auto"/>
          <w:kern w:val="2"/>
          <w:sz w:val="24"/>
          <w:szCs w:val="24"/>
          <w:highlight w:val="none"/>
          <w:u w:val="none" w:color="auto"/>
          <w:lang w:val="en-US" w:eastAsia="zh-CN" w:bidi="ar-SA"/>
        </w:rPr>
        <w:t>沉淀池污泥外运至填埋场填埋</w:t>
      </w:r>
      <w:r>
        <w:rPr>
          <w:rFonts w:hint="default" w:ascii="Times New Roman" w:hAnsi="Times New Roman" w:eastAsia="宋体" w:cs="Times New Roman"/>
          <w:color w:val="auto"/>
          <w:sz w:val="24"/>
          <w:szCs w:val="21"/>
          <w:highlight w:val="none"/>
          <w:u w:val="none" w:color="auto"/>
          <w:lang w:eastAsia="zh-CN"/>
        </w:rPr>
        <w:t>；</w:t>
      </w:r>
      <w:r>
        <w:rPr>
          <w:rFonts w:hint="default" w:ascii="Times New Roman" w:hAnsi="Times New Roman" w:eastAsia="宋体" w:cs="Times New Roman"/>
          <w:color w:val="auto"/>
          <w:sz w:val="24"/>
          <w:szCs w:val="21"/>
          <w:highlight w:val="none"/>
          <w:u w:val="none" w:color="auto"/>
        </w:rPr>
        <w:t>电镀槽槽渣、电镀废水处理污泥、</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sz w:val="24"/>
          <w:szCs w:val="21"/>
          <w:highlight w:val="none"/>
          <w:u w:val="none" w:color="auto"/>
        </w:rPr>
        <w:t>残渣、危险化学品包装材料、</w:t>
      </w:r>
      <w:r>
        <w:rPr>
          <w:rFonts w:hint="default" w:ascii="Times New Roman" w:hAnsi="Times New Roman" w:eastAsia="宋体" w:cs="Times New Roman"/>
          <w:color w:val="auto"/>
          <w:kern w:val="2"/>
          <w:sz w:val="24"/>
          <w:szCs w:val="24"/>
          <w:highlight w:val="none"/>
          <w:u w:val="none" w:color="auto"/>
          <w:lang w:val="en-US" w:eastAsia="zh-CN" w:bidi="ar-SA"/>
        </w:rPr>
        <w:t>废水处理站及生产过程废过滤材料</w:t>
      </w:r>
      <w:r>
        <w:rPr>
          <w:rFonts w:hint="default" w:ascii="Times New Roman" w:hAnsi="Times New Roman" w:eastAsia="宋体" w:cs="Times New Roman"/>
          <w:color w:val="auto"/>
          <w:sz w:val="24"/>
          <w:szCs w:val="21"/>
          <w:highlight w:val="none"/>
          <w:u w:val="none" w:color="auto"/>
          <w:lang w:eastAsia="zh-CN"/>
        </w:rPr>
        <w:t>、废切削液、废活性炭、废矿物油、含油抹布</w:t>
      </w:r>
      <w:r>
        <w:rPr>
          <w:rFonts w:hint="default" w:ascii="Times New Roman" w:hAnsi="Times New Roman" w:eastAsia="宋体" w:cs="Times New Roman"/>
          <w:color w:val="auto"/>
          <w:sz w:val="24"/>
          <w:szCs w:val="21"/>
          <w:highlight w:val="none"/>
          <w:u w:val="none" w:color="auto"/>
        </w:rPr>
        <w:t>在危险废物暂存间收集暂存后统一交由有资质单位处置。</w:t>
      </w:r>
    </w:p>
    <w:p w14:paraId="76A73FB5">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（2）固废处理措施分析</w:t>
      </w:r>
    </w:p>
    <w:p w14:paraId="1BCBD1ED">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本项目拟在</w:t>
      </w:r>
      <w:r>
        <w:rPr>
          <w:rFonts w:hint="default" w:ascii="Times New Roman" w:hAnsi="Times New Roman" w:eastAsia="宋体" w:cs="Times New Roman"/>
          <w:color w:val="auto"/>
          <w:sz w:val="24"/>
          <w:szCs w:val="21"/>
          <w:highlight w:val="none"/>
          <w:u w:val="none" w:color="auto"/>
          <w:lang w:eastAsia="zh-CN"/>
        </w:rPr>
        <w:t>废水处理站</w:t>
      </w:r>
      <w:r>
        <w:rPr>
          <w:rFonts w:hint="default" w:ascii="Times New Roman" w:hAnsi="Times New Roman" w:eastAsia="宋体" w:cs="Times New Roman"/>
          <w:color w:val="auto"/>
          <w:sz w:val="24"/>
          <w:szCs w:val="21"/>
          <w:highlight w:val="none"/>
          <w:u w:val="none" w:color="auto"/>
        </w:rPr>
        <w:t>设置1个</w:t>
      </w:r>
      <w:r>
        <w:rPr>
          <w:rFonts w:hint="default" w:ascii="Times New Roman" w:hAnsi="Times New Roman" w:eastAsia="宋体" w:cs="Times New Roman"/>
          <w:color w:val="auto"/>
          <w:sz w:val="24"/>
          <w:szCs w:val="21"/>
          <w:highlight w:val="none"/>
          <w:u w:val="none" w:color="auto"/>
          <w:lang w:val="en-US" w:eastAsia="zh-CN"/>
        </w:rPr>
        <w:t>200</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2</w:t>
      </w:r>
      <w:r>
        <w:rPr>
          <w:rFonts w:hint="default" w:ascii="Times New Roman" w:hAnsi="Times New Roman" w:eastAsia="宋体" w:cs="Times New Roman"/>
          <w:color w:val="auto"/>
          <w:sz w:val="24"/>
          <w:szCs w:val="21"/>
          <w:highlight w:val="none"/>
          <w:u w:val="none" w:color="auto"/>
        </w:rPr>
        <w:t>的危废暂存间，危废暂存间需严格按照《危险废物贮存污染控制标准》（</w:t>
      </w:r>
      <w:r>
        <w:rPr>
          <w:rFonts w:hint="eastAsia" w:ascii="Times New Roman" w:hAnsi="Times New Roman" w:eastAsia="宋体" w:cs="Times New Roman"/>
          <w:color w:val="auto"/>
          <w:sz w:val="24"/>
          <w:szCs w:val="21"/>
          <w:highlight w:val="none"/>
          <w:u w:val="none" w:color="auto"/>
          <w:lang w:eastAsia="zh-CN"/>
        </w:rPr>
        <w:t>GB18597-2023</w:t>
      </w:r>
      <w:r>
        <w:rPr>
          <w:rFonts w:hint="default" w:ascii="Times New Roman" w:hAnsi="Times New Roman" w:eastAsia="宋体" w:cs="Times New Roman"/>
          <w:color w:val="auto"/>
          <w:sz w:val="24"/>
          <w:szCs w:val="21"/>
          <w:highlight w:val="none"/>
          <w:u w:val="none" w:color="auto"/>
        </w:rPr>
        <w:t>）的要求进行建设，进行了防腐防渗处理，同时暂存库还需设置导流设施，具体要求如下：</w:t>
      </w:r>
    </w:p>
    <w:p w14:paraId="4FBD3117">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①须禁止危险废物和一般固废混装，各类危险废物应分类收集。</w:t>
      </w:r>
    </w:p>
    <w:p w14:paraId="6EA82DFB">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②危险废物在危险废物暂存库暂存时应分区储存、分类堆存，库内各类固废堆存场地之间设隔离墙，并设立标志牌明确堆存场地堆存的物料名称，规范各类固废在库内的暂存。</w:t>
      </w:r>
    </w:p>
    <w:p w14:paraId="39C50EB6">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③强化配套设施的配备。危险废物应当使用符合标准的容器分类盛装，无法装入常用容器的危险废物可用防漏胶袋等盛装；禁止将不相容（相互反应）的危险废物在同一容器内混装；盛装危险废物的容器上必须粘贴符合标准的标签。</w:t>
      </w:r>
    </w:p>
    <w:p w14:paraId="4D2FCCFA">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④危废暂存库内需设置集液槽和集液池，用以收集湿渣在暂存过程中可能产生的渗析水，集液池收集的渗析水定期送至污水处理车间处理。</w:t>
      </w:r>
    </w:p>
    <w:p w14:paraId="3EF7C77C">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⑤暂存库内应配置完善的通讯设备、照明设施、安全防护服装及工具以及应急防护设施。</w:t>
      </w:r>
    </w:p>
    <w:p w14:paraId="13622730">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⑥须做好危险废物情况的纪录，记录上须注明危险废物的名称、来源、数量、特性和包装容器的类别、入库日期、堆放库位、废物出库日期及接收单位名称，并对各类固废分类堆存。</w:t>
      </w:r>
    </w:p>
    <w:p w14:paraId="2A0AC949">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⑦加强固废在厂内和厂外的转运管理，严格废渣转运通道，尽量减少固废撒落，对撒落的固废进行及时清扫，避免二次污染。</w:t>
      </w:r>
    </w:p>
    <w:p w14:paraId="4A78150D">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⑧定期对暂存库进行检查，发现破损，应及时进行修理。</w:t>
      </w:r>
    </w:p>
    <w:p w14:paraId="46E11022">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⑨暂存库必须按《环境保护图形标志-固体废物储存（处置）场》GB15562.2的规定设置规范的标识牌。</w:t>
      </w:r>
    </w:p>
    <w:p w14:paraId="306323C1">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⑩加强对危险固废的日常管理，并按国家有关危险废物管理办法，办理好危险废物的贮存、转移手续。</w:t>
      </w:r>
    </w:p>
    <w:p w14:paraId="31EF8D95">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综上所述，本项目危险废物废物贮存处置措施是可行的。</w:t>
      </w:r>
    </w:p>
    <w:p w14:paraId="729346AA">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9.2.6土壤污染防治措施</w:t>
      </w:r>
    </w:p>
    <w:p w14:paraId="5B75AE37">
      <w:pPr>
        <w:spacing w:line="460" w:lineRule="exact"/>
        <w:ind w:firstLine="561"/>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none" w:color="auto"/>
        </w:rPr>
        <w:t>针对本项目土壤污染途径，本项目应加强环保管理，确保废气污染物达标排放。项目应按照环保要求建设厂内污水收集系统和污水处理站，将废水分类收集，妥善输送至污水站处理，杜绝污水流在地面；</w:t>
      </w:r>
      <w:r>
        <w:rPr>
          <w:rFonts w:hint="default" w:ascii="Times New Roman" w:hAnsi="Times New Roman" w:eastAsia="宋体" w:cs="Times New Roman"/>
          <w:color w:val="auto"/>
          <w:sz w:val="24"/>
          <w:szCs w:val="21"/>
          <w:highlight w:val="none"/>
          <w:u w:val="single" w:color="auto"/>
        </w:rPr>
        <w:t>废水收集（特别是涉重金属管道及水池）及处理采用可视可监控方式，能有效发现废水收集或处理环节的渗漏问题。项目生产厂房、污水处理车间、固废储存场所等均应做好防渗措施，严格按照分区防渗要求进行防渗，控制污水下渗，减少土壤污染。</w:t>
      </w:r>
    </w:p>
    <w:p w14:paraId="324F78A9">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另外，本次评价建议建设方建立土壤污染监测系统，加强土壤环境质量的调查、监测与监控，观测土壤污染的动态变化规律，以区域土壤背景值为参照，分析判断土壤污染程度，必要时应进行土壤污染治理，可采用生物修复、施用化学土壤改良剂、调控土壤氧化还原条件、深翻土或换无污染客土等方法进行治理。</w:t>
      </w:r>
    </w:p>
    <w:p w14:paraId="4AF74197">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9.2.7风险防范措施</w:t>
      </w:r>
    </w:p>
    <w:p w14:paraId="2AEE8F81">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各生产环节严格执行生产管理的有关规定，加强设备的检修及保养，加强槽边/槽顶抽风、生产线整体密闭负压抽风、酸雾喷淋塔的稳定运行，确保废气治理设备长期处于良好状态，使设备达到预期的处理效果，设置事故应急措施及管理制度。</w:t>
      </w:r>
    </w:p>
    <w:p w14:paraId="0CA777B2">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（2）采用符合相关强度、防腐蚀、防渗漏要求的电镀槽体，电镀槽体采用架空、明管铺设方式，电镀槽液泄漏时可及时发现。</w:t>
      </w:r>
    </w:p>
    <w:p w14:paraId="0D41B85B">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生产废水排放管道采用架空管道，不能架空的地方采用明沟明管，管道沿线应专门安排人员定时巡视，并实施定期检测、修缮制度；废水收集管道、废水收集池、废水处理池等废水环保设施做到可视可监控。</w:t>
      </w:r>
    </w:p>
    <w:p w14:paraId="51A02248">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（4）本项目拟建设1座</w:t>
      </w:r>
      <w:r>
        <w:rPr>
          <w:rFonts w:hint="eastAsia" w:ascii="Times New Roman" w:hAnsi="Times New Roman" w:eastAsia="宋体" w:cs="Times New Roman"/>
          <w:color w:val="auto"/>
          <w:sz w:val="24"/>
          <w:szCs w:val="21"/>
          <w:highlight w:val="none"/>
          <w:u w:val="none" w:color="auto"/>
          <w:lang w:val="en-US" w:eastAsia="zh-CN"/>
        </w:rPr>
        <w:t>600</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的应急事故池、1座</w:t>
      </w:r>
      <w:r>
        <w:rPr>
          <w:rFonts w:hint="eastAsia" w:ascii="Times New Roman" w:hAnsi="Times New Roman" w:eastAsia="宋体" w:cs="Times New Roman"/>
          <w:color w:val="auto"/>
          <w:sz w:val="24"/>
          <w:szCs w:val="21"/>
          <w:highlight w:val="none"/>
          <w:u w:val="none" w:color="auto"/>
          <w:lang w:val="en-US" w:eastAsia="zh-CN"/>
        </w:rPr>
        <w:t>290</w:t>
      </w:r>
      <w:r>
        <w:rPr>
          <w:rFonts w:hint="default" w:ascii="Times New Roman" w:hAnsi="Times New Roman" w:eastAsia="宋体" w:cs="Times New Roman"/>
          <w:color w:val="auto"/>
          <w:sz w:val="24"/>
          <w:szCs w:val="21"/>
          <w:highlight w:val="none"/>
          <w:u w:val="none" w:color="auto"/>
        </w:rPr>
        <w:t>m</w:t>
      </w:r>
      <w:r>
        <w:rPr>
          <w:rFonts w:hint="default" w:ascii="Times New Roman" w:hAnsi="Times New Roman" w:eastAsia="宋体" w:cs="Times New Roman"/>
          <w:color w:val="auto"/>
          <w:sz w:val="24"/>
          <w:szCs w:val="21"/>
          <w:highlight w:val="none"/>
          <w:u w:val="none" w:color="auto"/>
          <w:vertAlign w:val="superscript"/>
        </w:rPr>
        <w:t>3</w:t>
      </w:r>
      <w:r>
        <w:rPr>
          <w:rFonts w:hint="default" w:ascii="Times New Roman" w:hAnsi="Times New Roman" w:eastAsia="宋体" w:cs="Times New Roman"/>
          <w:color w:val="auto"/>
          <w:sz w:val="24"/>
          <w:szCs w:val="21"/>
          <w:highlight w:val="none"/>
          <w:u w:val="none" w:color="auto"/>
        </w:rPr>
        <w:t>的初期雨水池，初期雨水收集池与事故应急池连通。</w:t>
      </w:r>
    </w:p>
    <w:p w14:paraId="5376CC97">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（5）各生产厂房设置车间应急池，车间应急池容积不小于车间内最大镀槽/储槽的容积，危化品库设置盐酸储罐围堰，其他硫酸、硝酸等液态贮存区域分区设置围堰。</w:t>
      </w:r>
    </w:p>
    <w:p w14:paraId="0BF30326">
      <w:pPr>
        <w:spacing w:line="460" w:lineRule="exact"/>
        <w:ind w:firstLine="561"/>
        <w:rPr>
          <w:rFonts w:hint="default" w:ascii="Times New Roman" w:hAnsi="Times New Roman" w:eastAsia="宋体" w:cs="Times New Roman"/>
          <w:color w:val="auto"/>
          <w:sz w:val="24"/>
          <w:szCs w:val="21"/>
          <w:highlight w:val="none"/>
          <w:u w:val="single" w:color="auto"/>
          <w:lang w:eastAsia="zh-CN"/>
        </w:rPr>
      </w:pPr>
      <w:r>
        <w:rPr>
          <w:rFonts w:hint="default" w:ascii="Times New Roman" w:hAnsi="Times New Roman" w:eastAsia="宋体" w:cs="Times New Roman"/>
          <w:color w:val="auto"/>
          <w:sz w:val="24"/>
          <w:szCs w:val="21"/>
          <w:highlight w:val="none"/>
          <w:u w:val="single" w:color="auto"/>
        </w:rPr>
        <w:t>（6）</w:t>
      </w:r>
      <w:r>
        <w:rPr>
          <w:rFonts w:hint="default" w:ascii="Times New Roman" w:hAnsi="Times New Roman" w:eastAsia="宋体" w:cs="Times New Roman"/>
          <w:color w:val="auto"/>
          <w:sz w:val="24"/>
          <w:szCs w:val="21"/>
          <w:highlight w:val="none"/>
          <w:u w:val="single" w:color="auto"/>
          <w:lang w:eastAsia="zh-CN"/>
        </w:rPr>
        <w:t>进出涉重车间应及时妥善换鞋，防止鞋底沾染重金属并带入到外环境中。</w:t>
      </w:r>
    </w:p>
    <w:p w14:paraId="232631F4">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（7）项目建成投产后，应及时组织编制突发环境事件应急预案并备案，定期开展应急演练。</w:t>
      </w:r>
    </w:p>
    <w:p w14:paraId="4E82F08F">
      <w:pPr>
        <w:spacing w:line="460" w:lineRule="exact"/>
        <w:ind w:firstLine="561"/>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w:t>
      </w:r>
      <w:r>
        <w:rPr>
          <w:rFonts w:hint="default" w:ascii="Times New Roman" w:hAnsi="Times New Roman" w:eastAsia="宋体" w:cs="Times New Roman"/>
          <w:color w:val="auto"/>
          <w:sz w:val="24"/>
          <w:szCs w:val="21"/>
          <w:highlight w:val="none"/>
          <w:u w:val="none" w:color="auto"/>
          <w:lang w:val="en-US" w:eastAsia="zh-CN"/>
        </w:rPr>
        <w:t>8</w:t>
      </w:r>
      <w:r>
        <w:rPr>
          <w:rFonts w:hint="default" w:ascii="Times New Roman" w:hAnsi="Times New Roman" w:eastAsia="宋体" w:cs="Times New Roman"/>
          <w:color w:val="auto"/>
          <w:sz w:val="24"/>
          <w:szCs w:val="21"/>
          <w:highlight w:val="none"/>
          <w:u w:val="none" w:color="auto"/>
        </w:rPr>
        <w:t>）建设单位应建立一套事故应急管理组织机构，制定安全规程、事故防范措施及应急预案。明确管理职责和权限范围，清楚生产工艺技术和事故风险发生后果，具备应对事故和减缓影响的能力。</w:t>
      </w:r>
    </w:p>
    <w:p w14:paraId="7098C0E2">
      <w:pPr>
        <w:spacing w:line="460" w:lineRule="exact"/>
        <w:ind w:firstLine="561"/>
        <w:rPr>
          <w:rFonts w:hint="default" w:ascii="Times New Roman" w:hAnsi="Times New Roman" w:eastAsia="宋体" w:cs="Times New Roman"/>
          <w:color w:val="auto"/>
          <w:sz w:val="24"/>
          <w:szCs w:val="21"/>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2D39397">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val="en-US" w:eastAsia="zh-CN"/>
        </w:rPr>
      </w:pPr>
      <w:bookmarkStart w:id="108" w:name="_Toc9999"/>
      <w:bookmarkStart w:id="109" w:name="_Toc90488239"/>
      <w:r>
        <w:rPr>
          <w:rFonts w:hint="default" w:ascii="Times New Roman" w:hAnsi="Times New Roman" w:eastAsia="宋体" w:cs="Times New Roman"/>
          <w:color w:val="auto"/>
          <w:sz w:val="32"/>
          <w:szCs w:val="32"/>
          <w:highlight w:val="none"/>
          <w:u w:val="none" w:color="auto"/>
          <w:lang w:val="en-US" w:eastAsia="zh-CN"/>
        </w:rPr>
        <w:t>10 产业政策及环境可行性分析</w:t>
      </w:r>
      <w:bookmarkEnd w:id="108"/>
    </w:p>
    <w:p w14:paraId="299F2A82">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10" w:name="_Toc29911"/>
      <w:r>
        <w:rPr>
          <w:rFonts w:hint="default" w:ascii="Times New Roman" w:hAnsi="Times New Roman" w:eastAsia="宋体" w:cs="Times New Roman"/>
          <w:color w:val="auto"/>
          <w:sz w:val="28"/>
          <w:szCs w:val="28"/>
          <w:highlight w:val="none"/>
          <w:u w:val="none" w:color="auto"/>
          <w:lang w:val="en-US" w:eastAsia="zh-CN"/>
        </w:rPr>
        <w:t>10.1 产业政策符合性分析</w:t>
      </w:r>
      <w:bookmarkEnd w:id="110"/>
    </w:p>
    <w:p w14:paraId="4498AEF1">
      <w:pPr>
        <w:pStyle w:val="52"/>
        <w:adjustRightInd w:val="0"/>
        <w:snapToGrid w:val="0"/>
        <w:spacing w:before="0"/>
        <w:rPr>
          <w:rFonts w:ascii="Times New Roman" w:hAnsi="Times New Roman" w:eastAsia="宋体"/>
          <w:color w:val="auto"/>
          <w:sz w:val="24"/>
          <w:szCs w:val="21"/>
          <w:highlight w:val="none"/>
          <w:u w:val="single" w:color="auto"/>
        </w:rPr>
      </w:pPr>
      <w:r>
        <w:rPr>
          <w:rFonts w:ascii="Times New Roman" w:hAnsi="Times New Roman" w:eastAsia="宋体"/>
          <w:color w:val="auto"/>
          <w:sz w:val="24"/>
          <w:szCs w:val="21"/>
          <w:highlight w:val="none"/>
          <w:u w:val="single" w:color="auto"/>
        </w:rPr>
        <w:t>根据国家发改委发布的《产业结构调整指导目录(2019年本)》</w:t>
      </w:r>
      <w:r>
        <w:rPr>
          <w:rFonts w:hint="eastAsia" w:ascii="Times New Roman" w:hAnsi="Times New Roman" w:eastAsia="宋体"/>
          <w:color w:val="auto"/>
          <w:sz w:val="24"/>
          <w:szCs w:val="21"/>
          <w:highlight w:val="none"/>
          <w:u w:val="single" w:color="auto"/>
        </w:rPr>
        <w:t>，本</w:t>
      </w:r>
      <w:r>
        <w:rPr>
          <w:rFonts w:ascii="Times New Roman" w:hAnsi="Times New Roman" w:eastAsia="宋体"/>
          <w:color w:val="auto"/>
          <w:sz w:val="24"/>
          <w:szCs w:val="21"/>
          <w:highlight w:val="none"/>
          <w:u w:val="single" w:color="auto"/>
        </w:rPr>
        <w:t>项目</w:t>
      </w:r>
      <w:r>
        <w:rPr>
          <w:rFonts w:hint="eastAsia" w:ascii="Times New Roman" w:hAnsi="Times New Roman" w:eastAsia="宋体"/>
          <w:color w:val="auto"/>
          <w:sz w:val="24"/>
          <w:szCs w:val="21"/>
          <w:highlight w:val="none"/>
          <w:u w:val="single" w:color="auto"/>
        </w:rPr>
        <w:t>产品、主体工艺、</w:t>
      </w:r>
      <w:r>
        <w:rPr>
          <w:rFonts w:ascii="Times New Roman" w:hAnsi="Times New Roman" w:eastAsia="宋体"/>
          <w:color w:val="auto"/>
          <w:sz w:val="24"/>
          <w:szCs w:val="21"/>
          <w:highlight w:val="none"/>
          <w:u w:val="single" w:color="auto"/>
        </w:rPr>
        <w:t>生产设备不属于</w:t>
      </w:r>
      <w:r>
        <w:rPr>
          <w:rFonts w:hint="eastAsia" w:ascii="Times New Roman" w:hAnsi="Times New Roman" w:eastAsia="宋体"/>
          <w:color w:val="auto"/>
          <w:sz w:val="24"/>
          <w:szCs w:val="21"/>
          <w:highlight w:val="none"/>
          <w:u w:val="single" w:color="auto"/>
        </w:rPr>
        <w:t>目录中的</w:t>
      </w:r>
      <w:r>
        <w:rPr>
          <w:rFonts w:ascii="Times New Roman" w:hAnsi="Times New Roman" w:eastAsia="宋体"/>
          <w:color w:val="auto"/>
          <w:sz w:val="24"/>
          <w:szCs w:val="21"/>
          <w:highlight w:val="none"/>
          <w:u w:val="single" w:color="auto"/>
        </w:rPr>
        <w:t>鼓励类、限制类</w:t>
      </w:r>
      <w:r>
        <w:rPr>
          <w:rFonts w:hint="eastAsia" w:ascii="Times New Roman" w:hAnsi="Times New Roman" w:eastAsia="宋体"/>
          <w:color w:val="auto"/>
          <w:sz w:val="24"/>
          <w:szCs w:val="21"/>
          <w:highlight w:val="none"/>
          <w:u w:val="single" w:color="auto"/>
        </w:rPr>
        <w:t>或</w:t>
      </w:r>
      <w:r>
        <w:rPr>
          <w:rFonts w:ascii="Times New Roman" w:hAnsi="Times New Roman" w:eastAsia="宋体"/>
          <w:color w:val="auto"/>
          <w:sz w:val="24"/>
          <w:szCs w:val="21"/>
          <w:highlight w:val="none"/>
          <w:u w:val="single" w:color="auto"/>
        </w:rPr>
        <w:t>淘汰类，</w:t>
      </w:r>
      <w:r>
        <w:rPr>
          <w:rFonts w:hint="eastAsia" w:ascii="Times New Roman" w:hAnsi="Times New Roman" w:eastAsia="宋体"/>
          <w:color w:val="auto"/>
          <w:sz w:val="24"/>
          <w:szCs w:val="21"/>
          <w:highlight w:val="none"/>
          <w:u w:val="single" w:color="auto"/>
        </w:rPr>
        <w:t>与产业政策不相冲突</w:t>
      </w:r>
      <w:r>
        <w:rPr>
          <w:rFonts w:ascii="Times New Roman" w:hAnsi="Times New Roman" w:eastAsia="宋体"/>
          <w:color w:val="auto"/>
          <w:sz w:val="24"/>
          <w:szCs w:val="21"/>
          <w:highlight w:val="none"/>
          <w:u w:val="single" w:color="auto"/>
        </w:rPr>
        <w:t>。</w:t>
      </w:r>
    </w:p>
    <w:p w14:paraId="7D27B097">
      <w:pPr>
        <w:pStyle w:val="52"/>
        <w:rPr>
          <w:rFonts w:hint="eastAsia" w:ascii="Times New Roman" w:hAnsi="Times New Roman" w:eastAsia="宋体"/>
          <w:color w:val="auto"/>
          <w:sz w:val="24"/>
          <w:szCs w:val="24"/>
          <w:highlight w:val="none"/>
          <w:u w:val="single" w:color="auto"/>
        </w:rPr>
      </w:pPr>
      <w:r>
        <w:rPr>
          <w:rFonts w:hint="eastAsia" w:ascii="Times New Roman" w:hAnsi="Times New Roman" w:eastAsia="宋体"/>
          <w:color w:val="auto"/>
          <w:sz w:val="24"/>
          <w:szCs w:val="24"/>
          <w:highlight w:val="none"/>
          <w:u w:val="single" w:color="auto"/>
        </w:rPr>
        <w:t>本项目产品</w:t>
      </w:r>
      <w:r>
        <w:rPr>
          <w:rFonts w:ascii="Times New Roman" w:hAnsi="Times New Roman" w:eastAsia="宋体"/>
          <w:color w:val="auto"/>
          <w:sz w:val="24"/>
          <w:szCs w:val="24"/>
          <w:highlight w:val="none"/>
          <w:u w:val="single" w:color="auto"/>
        </w:rPr>
        <w:t>超硬材料砂轮、套瓦刀、磨头等广泛应用于稀土永磁材料加工</w:t>
      </w:r>
      <w:r>
        <w:rPr>
          <w:rFonts w:hint="eastAsia" w:ascii="Times New Roman" w:hAnsi="Times New Roman" w:eastAsia="宋体"/>
          <w:color w:val="auto"/>
          <w:sz w:val="24"/>
          <w:szCs w:val="24"/>
          <w:highlight w:val="none"/>
          <w:u w:val="single" w:color="auto"/>
        </w:rPr>
        <w:t>项目，而</w:t>
      </w:r>
      <w:r>
        <w:rPr>
          <w:rFonts w:ascii="Times New Roman" w:hAnsi="Times New Roman" w:eastAsia="宋体"/>
          <w:color w:val="auto"/>
          <w:sz w:val="24"/>
          <w:szCs w:val="21"/>
          <w:highlight w:val="none"/>
          <w:u w:val="single" w:color="auto"/>
        </w:rPr>
        <w:t>根据指导目录</w:t>
      </w:r>
      <w:r>
        <w:rPr>
          <w:rFonts w:hint="eastAsia" w:ascii="Times New Roman" w:hAnsi="Times New Roman" w:eastAsia="宋体"/>
          <w:color w:val="auto"/>
          <w:sz w:val="24"/>
          <w:szCs w:val="21"/>
          <w:highlight w:val="none"/>
          <w:u w:val="single" w:color="auto"/>
        </w:rPr>
        <w:t>，</w:t>
      </w:r>
      <w:r>
        <w:rPr>
          <w:rFonts w:ascii="Times New Roman" w:hAnsi="Times New Roman" w:eastAsia="宋体"/>
          <w:color w:val="auto"/>
          <w:sz w:val="24"/>
          <w:szCs w:val="24"/>
          <w:highlight w:val="none"/>
          <w:u w:val="single" w:color="auto"/>
        </w:rPr>
        <w:t>稀土</w:t>
      </w:r>
      <w:r>
        <w:rPr>
          <w:rFonts w:hint="eastAsia" w:ascii="Times New Roman" w:hAnsi="Times New Roman" w:eastAsia="宋体"/>
          <w:color w:val="auto"/>
          <w:sz w:val="24"/>
          <w:szCs w:val="24"/>
          <w:highlight w:val="none"/>
          <w:u w:val="single" w:color="auto"/>
        </w:rPr>
        <w:t>磁性材料的生产属鼓励类项目。此外，本项目属于高新技术行业，</w:t>
      </w:r>
      <w:r>
        <w:rPr>
          <w:rFonts w:hint="eastAsia" w:ascii="Times New Roman" w:hAnsi="Times New Roman" w:eastAsia="宋体"/>
          <w:color w:val="auto"/>
          <w:sz w:val="24"/>
          <w:szCs w:val="24"/>
          <w:highlight w:val="none"/>
          <w:u w:val="single" w:color="auto"/>
          <w:lang w:eastAsia="zh-CN"/>
        </w:rPr>
        <w:t>产品金刚石划片刀</w:t>
      </w:r>
      <w:r>
        <w:rPr>
          <w:rFonts w:hint="eastAsia" w:ascii="Times New Roman" w:hAnsi="Times New Roman" w:eastAsia="宋体"/>
          <w:color w:val="auto"/>
          <w:sz w:val="24"/>
          <w:szCs w:val="21"/>
          <w:highlight w:val="none"/>
          <w:u w:val="single" w:color="auto"/>
        </w:rPr>
        <w:t>服务于电子信息业</w:t>
      </w:r>
      <w:r>
        <w:rPr>
          <w:rFonts w:hint="eastAsia" w:ascii="Times New Roman" w:hAnsi="Times New Roman" w:eastAsia="宋体"/>
          <w:color w:val="auto"/>
          <w:sz w:val="24"/>
          <w:szCs w:val="24"/>
          <w:highlight w:val="none"/>
          <w:u w:val="single" w:color="auto"/>
        </w:rPr>
        <w:t>，是突破国外卡脖子技术的项目。</w:t>
      </w:r>
    </w:p>
    <w:p w14:paraId="69283121">
      <w:pPr>
        <w:pStyle w:val="52"/>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项目已取得湖南衡阳松木经济开发区招商合作局出具的《关于湖南昂拓科技有限责任公司年产1000万件超硬材料制品项目备案的证明》（衡松备案[2022]36号）。</w:t>
      </w:r>
    </w:p>
    <w:p w14:paraId="553672FC">
      <w:pPr>
        <w:pStyle w:val="52"/>
        <w:rPr>
          <w:rFonts w:hint="default" w:ascii="Times New Roman" w:hAnsi="Times New Roman" w:eastAsia="宋体" w:cs="Times New Roman"/>
          <w:color w:val="auto"/>
          <w:kern w:val="2"/>
          <w:sz w:val="24"/>
          <w:szCs w:val="21"/>
          <w:highlight w:val="none"/>
          <w:u w:val="single" w:color="auto"/>
          <w:lang w:val="en-US" w:eastAsia="zh-CN" w:bidi="ar-SA"/>
        </w:rPr>
      </w:pPr>
      <w:r>
        <w:rPr>
          <w:rFonts w:hint="eastAsia" w:ascii="Times New Roman" w:hAnsi="Times New Roman" w:eastAsia="宋体"/>
          <w:color w:val="auto"/>
          <w:sz w:val="24"/>
          <w:szCs w:val="21"/>
          <w:highlight w:val="none"/>
          <w:u w:val="single" w:color="auto"/>
        </w:rPr>
        <w:t>总体分析</w:t>
      </w:r>
      <w:r>
        <w:rPr>
          <w:rFonts w:ascii="Times New Roman" w:hAnsi="Times New Roman" w:eastAsia="宋体"/>
          <w:color w:val="auto"/>
          <w:sz w:val="24"/>
          <w:szCs w:val="21"/>
          <w:highlight w:val="none"/>
          <w:u w:val="single" w:color="auto"/>
        </w:rPr>
        <w:t>，本项目</w:t>
      </w:r>
      <w:r>
        <w:rPr>
          <w:rFonts w:hint="eastAsia" w:ascii="Times New Roman" w:hAnsi="Times New Roman" w:eastAsia="宋体"/>
          <w:color w:val="auto"/>
          <w:sz w:val="24"/>
          <w:szCs w:val="21"/>
          <w:highlight w:val="none"/>
          <w:u w:val="single" w:color="auto"/>
        </w:rPr>
        <w:t>的</w:t>
      </w:r>
      <w:r>
        <w:rPr>
          <w:rFonts w:ascii="Times New Roman" w:hAnsi="Times New Roman" w:eastAsia="宋体"/>
          <w:color w:val="auto"/>
          <w:sz w:val="24"/>
          <w:szCs w:val="21"/>
          <w:highlight w:val="none"/>
          <w:u w:val="single" w:color="auto"/>
        </w:rPr>
        <w:t>建设</w:t>
      </w:r>
      <w:r>
        <w:rPr>
          <w:rFonts w:hint="eastAsia" w:ascii="Times New Roman" w:hAnsi="Times New Roman" w:eastAsia="宋体"/>
          <w:color w:val="auto"/>
          <w:sz w:val="24"/>
          <w:szCs w:val="21"/>
          <w:highlight w:val="none"/>
          <w:u w:val="single" w:color="auto"/>
        </w:rPr>
        <w:t>符合</w:t>
      </w:r>
      <w:r>
        <w:rPr>
          <w:rFonts w:ascii="Times New Roman" w:hAnsi="Times New Roman" w:eastAsia="宋体"/>
          <w:color w:val="auto"/>
          <w:sz w:val="24"/>
          <w:szCs w:val="21"/>
          <w:highlight w:val="none"/>
          <w:u w:val="single" w:color="auto"/>
        </w:rPr>
        <w:t>国家产业政策</w:t>
      </w:r>
      <w:r>
        <w:rPr>
          <w:rFonts w:hint="eastAsia" w:ascii="Times New Roman" w:hAnsi="Times New Roman" w:eastAsia="宋体"/>
          <w:color w:val="auto"/>
          <w:sz w:val="24"/>
          <w:szCs w:val="21"/>
          <w:highlight w:val="none"/>
          <w:u w:val="single" w:color="auto"/>
        </w:rPr>
        <w:t>要求</w:t>
      </w:r>
      <w:r>
        <w:rPr>
          <w:rFonts w:ascii="Times New Roman" w:hAnsi="Times New Roman" w:eastAsia="宋体"/>
          <w:color w:val="auto"/>
          <w:sz w:val="24"/>
          <w:szCs w:val="21"/>
          <w:highlight w:val="none"/>
          <w:u w:val="single" w:color="auto"/>
        </w:rPr>
        <w:t>。</w:t>
      </w:r>
    </w:p>
    <w:p w14:paraId="3875A686">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11" w:name="_Toc20020"/>
      <w:r>
        <w:rPr>
          <w:rFonts w:hint="default" w:ascii="Times New Roman" w:hAnsi="Times New Roman" w:eastAsia="宋体" w:cs="Times New Roman"/>
          <w:color w:val="auto"/>
          <w:sz w:val="28"/>
          <w:szCs w:val="28"/>
          <w:highlight w:val="none"/>
          <w:u w:val="none" w:color="auto"/>
          <w:lang w:val="en-US" w:eastAsia="zh-CN"/>
        </w:rPr>
        <w:t>10.2 与相关规划相符性分析</w:t>
      </w:r>
      <w:bookmarkEnd w:id="111"/>
    </w:p>
    <w:p w14:paraId="34807FFE">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10.2.1与主体功能区划的相符性</w:t>
      </w:r>
    </w:p>
    <w:p w14:paraId="10DC93B3">
      <w:pPr>
        <w:pStyle w:val="52"/>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根据《湖南省主体功能区划》，衡阳市松木经济开发区属于重点开发区域，衡阳重点发展输变电装备、汽车零部件、矿产开发及深加工、盐化工及精细化工、物流、旅游等优势产业及生物医药、新能源、新材料、电子信息、节能环保等新兴产业。本项目拟建于衡阳市松木经济开发区内，产品为超硬材料，属于衡阳重点发展的产业之一，符合《湖南省主体功能区划》要求。</w:t>
      </w:r>
    </w:p>
    <w:p w14:paraId="5667B86E">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10.2.2 与环境功能区划的相符性分析</w:t>
      </w:r>
    </w:p>
    <w:p w14:paraId="24B365D2">
      <w:pPr>
        <w:pStyle w:val="52"/>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（1）与地表水环境功能区划的相符性分析</w:t>
      </w:r>
    </w:p>
    <w:p w14:paraId="787E73B1">
      <w:pPr>
        <w:pStyle w:val="52"/>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本项目周边的地表水体主要是项目东面约1.8km的湘江。根据《湖南省主要地表水系水环境功能区划》（DB43/023-2005），蒸水口至大浦镇师塘村上游6000m 湘江段执行《地表水环境质量标准》（GB3838-2002）中的Ⅲ类标。本项目仅少量生活污水量排放，生活污水经厂区化粪池处理后排入园区管网进入松木污水处理厂处理达标后排入湘江。因此，从区域水体环境容量角度分析，本项目的建设满足区域水功能区划的相关要求。</w:t>
      </w:r>
    </w:p>
    <w:p w14:paraId="0F97658C">
      <w:pPr>
        <w:pStyle w:val="52"/>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（2）与大气环境功能划的符合性分析</w:t>
      </w:r>
    </w:p>
    <w:p w14:paraId="12C39803">
      <w:pPr>
        <w:pStyle w:val="52"/>
        <w:rPr>
          <w:rFonts w:hint="default" w:ascii="Times New Roman" w:hAnsi="Times New Roman" w:eastAsia="宋体" w:cs="Times New Roman"/>
          <w:color w:val="auto"/>
          <w:kern w:val="2"/>
          <w:sz w:val="24"/>
          <w:szCs w:val="21"/>
          <w:highlight w:val="none"/>
          <w:u w:val="none" w:color="auto"/>
          <w:lang w:val="en-US" w:eastAsia="zh-CN" w:bidi="ar-SA"/>
        </w:rPr>
      </w:pPr>
      <w:r>
        <w:rPr>
          <w:rFonts w:hint="default" w:ascii="Times New Roman" w:hAnsi="Times New Roman" w:eastAsia="宋体" w:cs="Times New Roman"/>
          <w:color w:val="auto"/>
          <w:kern w:val="2"/>
          <w:sz w:val="24"/>
          <w:szCs w:val="21"/>
          <w:highlight w:val="none"/>
          <w:u w:val="none" w:color="auto"/>
          <w:lang w:val="en-US" w:eastAsia="zh-CN" w:bidi="ar-SA"/>
        </w:rPr>
        <w:t>本项目所在区域属于环境空气质量二类功能区。项目营运期各废气污染物在采取严格的污染防治后可满足达标排放的要求，且由大气环境影响评价结果可知，正常工况下，本项目外排废气污染物符合相关标准要求。</w:t>
      </w:r>
    </w:p>
    <w:p w14:paraId="5CCD87EC">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10.2.3 与湖南衡阳松木经济开发区扩区规划（2020-2030）环评相符性分析</w:t>
      </w:r>
    </w:p>
    <w:p w14:paraId="2A56AA5C">
      <w:pPr>
        <w:pStyle w:val="52"/>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（1）与规划环评审查意见相符性分析</w:t>
      </w:r>
    </w:p>
    <w:p w14:paraId="0789C8A0">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根据《湖南衡阳松木经济开发区扩区规划（2020-2030）环境影响报告书的审查意见》（湘环评函[2021]30号）：“片区二规划为化工片区，面积 328公顷，东起距离湘江岸线1公里线，西至金华路及蒸阳北路，北起向衡路，南至衡大北路，主要发展盐卤化工及精细化工(含医药化工和制药)。……在距离湘江1-3公里的园区范围内，不得以“零排放”为名新引进实际存在重金属废水排放或突发情形下排放重金属废水的产业项目。后续法律法规及相关政策有新的禁止和限制性要求，或对沿江区域相关产业有污染整治、搬迁改造要求的，应严格予以执行。”</w:t>
      </w:r>
    </w:p>
    <w:p w14:paraId="73D9433C">
      <w:pPr>
        <w:pStyle w:val="52"/>
        <w:rPr>
          <w:rFonts w:ascii="Times New Roman" w:hAnsi="Times New Roman" w:eastAsia="宋体"/>
          <w:color w:val="auto"/>
          <w:sz w:val="24"/>
          <w:szCs w:val="24"/>
          <w:u w:val="single"/>
        </w:rPr>
      </w:pPr>
      <w:r>
        <w:rPr>
          <w:rFonts w:ascii="Times New Roman" w:hAnsi="Times New Roman" w:eastAsia="宋体"/>
          <w:color w:val="auto"/>
          <w:sz w:val="24"/>
          <w:szCs w:val="24"/>
          <w:u w:val="single"/>
        </w:rPr>
        <w:t>本项目距离湘江为1.8km</w:t>
      </w:r>
      <w:r>
        <w:rPr>
          <w:rFonts w:hint="eastAsia" w:ascii="Times New Roman" w:hAnsi="Times New Roman" w:eastAsia="宋体"/>
          <w:color w:val="auto"/>
          <w:sz w:val="24"/>
          <w:szCs w:val="24"/>
          <w:u w:val="single"/>
        </w:rPr>
        <w:t>，</w:t>
      </w:r>
      <w:r>
        <w:rPr>
          <w:rFonts w:ascii="Times New Roman" w:hAnsi="Times New Roman" w:eastAsia="宋体"/>
          <w:color w:val="auto"/>
          <w:sz w:val="24"/>
          <w:szCs w:val="24"/>
          <w:u w:val="single"/>
        </w:rPr>
        <w:t>位于片区</w:t>
      </w:r>
      <w:r>
        <w:rPr>
          <w:rFonts w:hint="eastAsia" w:ascii="Times New Roman" w:hAnsi="Times New Roman" w:eastAsia="宋体"/>
          <w:color w:val="auto"/>
          <w:sz w:val="24"/>
          <w:szCs w:val="24"/>
          <w:u w:val="single"/>
        </w:rPr>
        <w:t>二，</w:t>
      </w:r>
      <w:r>
        <w:rPr>
          <w:rFonts w:ascii="Times New Roman" w:hAnsi="Times New Roman" w:eastAsia="宋体"/>
          <w:color w:val="auto"/>
          <w:sz w:val="24"/>
          <w:szCs w:val="24"/>
          <w:u w:val="single"/>
        </w:rPr>
        <w:t>根据该区的产业准入要求，本项目产品为超硬材料，</w:t>
      </w:r>
      <w:r>
        <w:rPr>
          <w:rFonts w:hint="eastAsia" w:ascii="Times New Roman" w:hAnsi="Times New Roman" w:eastAsia="宋体"/>
          <w:color w:val="auto"/>
          <w:sz w:val="24"/>
          <w:szCs w:val="24"/>
          <w:u w:val="single"/>
        </w:rPr>
        <w:t>涉及电镀工序，但不属于电镀工业项目。</w:t>
      </w:r>
    </w:p>
    <w:p w14:paraId="1ABD8E33">
      <w:pPr>
        <w:pStyle w:val="52"/>
        <w:rPr>
          <w:rFonts w:ascii="Times New Roman" w:hAnsi="Times New Roman" w:eastAsia="宋体"/>
          <w:color w:val="auto"/>
          <w:sz w:val="24"/>
          <w:szCs w:val="24"/>
          <w:u w:val="single"/>
        </w:rPr>
      </w:pPr>
      <w:r>
        <w:rPr>
          <w:rFonts w:hint="eastAsia" w:ascii="Times New Roman" w:hAnsi="Times New Roman" w:eastAsia="宋体"/>
          <w:color w:val="auto"/>
          <w:sz w:val="24"/>
          <w:szCs w:val="24"/>
          <w:u w:val="single"/>
        </w:rPr>
        <w:t>本项目</w:t>
      </w:r>
      <w:r>
        <w:rPr>
          <w:rFonts w:hint="eastAsia" w:ascii="Times New Roman" w:hAnsi="Times New Roman" w:eastAsia="宋体"/>
          <w:color w:val="auto"/>
          <w:sz w:val="24"/>
          <w:szCs w:val="24"/>
          <w:u w:val="single"/>
          <w:lang w:val="en-US" w:eastAsia="zh-CN"/>
        </w:rPr>
        <w:t>电镀工序</w:t>
      </w:r>
      <w:r>
        <w:rPr>
          <w:rFonts w:hint="eastAsia" w:ascii="Times New Roman" w:hAnsi="Times New Roman" w:eastAsia="宋体"/>
          <w:color w:val="auto"/>
          <w:sz w:val="24"/>
          <w:szCs w:val="24"/>
          <w:u w:val="single"/>
        </w:rPr>
        <w:t>生产废水</w:t>
      </w:r>
      <w:r>
        <w:rPr>
          <w:rFonts w:hint="eastAsia" w:ascii="Times New Roman" w:hAnsi="Times New Roman" w:eastAsia="宋体"/>
          <w:color w:val="auto"/>
          <w:sz w:val="24"/>
          <w:szCs w:val="24"/>
          <w:u w:val="single"/>
          <w:lang w:val="en-US" w:eastAsia="zh-CN"/>
        </w:rPr>
        <w:t>及其辅助生产废水</w:t>
      </w:r>
      <w:r>
        <w:rPr>
          <w:rFonts w:hint="eastAsia" w:ascii="Times New Roman" w:hAnsi="Times New Roman" w:eastAsia="宋体"/>
          <w:color w:val="auto"/>
          <w:sz w:val="24"/>
          <w:szCs w:val="24"/>
          <w:u w:val="single"/>
        </w:rPr>
        <w:t>产生量约46.284</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/d</w:t>
      </w:r>
      <w:r>
        <w:rPr>
          <w:rFonts w:hint="eastAsia" w:ascii="Times New Roman" w:hAnsi="Times New Roman" w:eastAsia="宋体"/>
          <w:color w:val="auto"/>
          <w:sz w:val="24"/>
          <w:szCs w:val="24"/>
          <w:u w:val="single"/>
        </w:rPr>
        <w:t>，在线直接回用量约13.794</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/d</w:t>
      </w:r>
      <w:r>
        <w:rPr>
          <w:rFonts w:hint="eastAsia" w:ascii="Times New Roman" w:hAnsi="Times New Roman" w:eastAsia="宋体"/>
          <w:color w:val="auto"/>
          <w:sz w:val="24"/>
          <w:szCs w:val="24"/>
          <w:u w:val="single"/>
        </w:rPr>
        <w:t>，需处理的废水量约32.49</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/d</w:t>
      </w:r>
      <w:r>
        <w:rPr>
          <w:rFonts w:hint="eastAsia" w:ascii="Times New Roman" w:hAnsi="Times New Roman" w:eastAsia="宋体"/>
          <w:color w:val="auto"/>
          <w:sz w:val="24"/>
          <w:szCs w:val="24"/>
          <w:u w:val="single"/>
        </w:rPr>
        <w:t>，本项目</w:t>
      </w:r>
      <w:r>
        <w:rPr>
          <w:rFonts w:hint="eastAsia" w:ascii="Times New Roman" w:hAnsi="Times New Roman" w:eastAsia="宋体"/>
          <w:color w:val="auto"/>
          <w:sz w:val="24"/>
          <w:szCs w:val="24"/>
          <w:u w:val="single"/>
          <w:lang w:val="en-US" w:eastAsia="zh-CN"/>
        </w:rPr>
        <w:t>电镀工序</w:t>
      </w:r>
      <w:r>
        <w:rPr>
          <w:rFonts w:hint="eastAsia" w:ascii="Times New Roman" w:hAnsi="Times New Roman" w:eastAsia="宋体"/>
          <w:color w:val="auto"/>
          <w:sz w:val="24"/>
          <w:szCs w:val="24"/>
          <w:u w:val="single"/>
        </w:rPr>
        <w:t>生产废水</w:t>
      </w:r>
      <w:r>
        <w:rPr>
          <w:rFonts w:hint="eastAsia" w:ascii="Times New Roman" w:hAnsi="Times New Roman" w:eastAsia="宋体"/>
          <w:color w:val="auto"/>
          <w:sz w:val="24"/>
          <w:szCs w:val="24"/>
          <w:u w:val="single"/>
          <w:lang w:val="en-US" w:eastAsia="zh-CN"/>
        </w:rPr>
        <w:t>及其辅助生产废水</w:t>
      </w:r>
      <w:r>
        <w:rPr>
          <w:rFonts w:hint="eastAsia" w:ascii="Times New Roman" w:hAnsi="Times New Roman" w:eastAsia="宋体"/>
          <w:color w:val="auto"/>
          <w:sz w:val="24"/>
          <w:szCs w:val="24"/>
          <w:u w:val="single"/>
        </w:rPr>
        <w:t>处理量较小，废水可经三效蒸发器蒸发冷凝后全部回用于生产线，不外排</w:t>
      </w:r>
      <w:r>
        <w:rPr>
          <w:rFonts w:hint="eastAsia" w:ascii="Times New Roman" w:hAnsi="Times New Roman" w:eastAsia="宋体"/>
          <w:color w:val="auto"/>
          <w:sz w:val="24"/>
          <w:szCs w:val="24"/>
          <w:u w:val="single"/>
          <w:lang w:eastAsia="zh-CN"/>
        </w:rPr>
        <w:t>；</w:t>
      </w:r>
      <w:r>
        <w:rPr>
          <w:rFonts w:ascii="Times New Roman" w:hAnsi="Times New Roman" w:eastAsia="宋体"/>
          <w:color w:val="auto"/>
          <w:sz w:val="24"/>
          <w:szCs w:val="24"/>
          <w:u w:val="single"/>
        </w:rPr>
        <w:t>外排废水主要为生活污</w:t>
      </w:r>
      <w:r>
        <w:rPr>
          <w:rFonts w:ascii="Times New Roman" w:hAnsi="Times New Roman" w:eastAsia="宋体"/>
          <w:color w:val="auto"/>
          <w:sz w:val="24"/>
          <w:szCs w:val="24"/>
          <w:u w:val="single" w:color="auto"/>
        </w:rPr>
        <w:t>水</w:t>
      </w:r>
      <w:r>
        <w:rPr>
          <w:rFonts w:hint="eastAsia" w:ascii="Times New Roman" w:hAnsi="Times New Roman" w:eastAsia="宋体"/>
          <w:color w:val="auto"/>
          <w:sz w:val="24"/>
          <w:szCs w:val="24"/>
          <w:u w:val="single" w:color="auto"/>
          <w:lang w:val="en-US" w:eastAsia="zh-CN"/>
        </w:rPr>
        <w:t>和</w:t>
      </w:r>
      <w:r>
        <w:rPr>
          <w:rFonts w:hint="eastAsia" w:ascii="Times New Roman" w:hAnsi="Times New Roman" w:eastAsia="宋体" w:cs="Times New Roman"/>
          <w:color w:val="auto"/>
          <w:sz w:val="24"/>
          <w:szCs w:val="24"/>
          <w:highlight w:val="none"/>
          <w:u w:val="single" w:color="auto"/>
          <w:lang w:val="en-US" w:eastAsia="zh-CN"/>
        </w:rPr>
        <w:t>机加工车间废水（卫生废水、容器清洗废水、直接冷却废水）</w:t>
      </w:r>
      <w:r>
        <w:rPr>
          <w:rFonts w:ascii="Times New Roman" w:hAnsi="Times New Roman" w:eastAsia="宋体"/>
          <w:color w:val="auto"/>
          <w:sz w:val="24"/>
          <w:szCs w:val="24"/>
          <w:u w:val="single" w:color="auto"/>
        </w:rPr>
        <w:t>，</w:t>
      </w:r>
      <w:r>
        <w:rPr>
          <w:rFonts w:ascii="Times New Roman" w:hAnsi="Times New Roman" w:eastAsia="宋体"/>
          <w:color w:val="auto"/>
          <w:sz w:val="24"/>
          <w:szCs w:val="24"/>
          <w:u w:val="single"/>
        </w:rPr>
        <w:t>不</w:t>
      </w:r>
      <w:r>
        <w:rPr>
          <w:rFonts w:hint="eastAsia" w:ascii="Times New Roman" w:hAnsi="Times New Roman" w:eastAsia="宋体"/>
          <w:color w:val="auto"/>
          <w:sz w:val="24"/>
          <w:szCs w:val="24"/>
          <w:u w:val="single"/>
          <w:lang w:val="en-US" w:eastAsia="zh-CN"/>
        </w:rPr>
        <w:t>涉及电镀工序且不</w:t>
      </w:r>
      <w:r>
        <w:rPr>
          <w:rFonts w:ascii="Times New Roman" w:hAnsi="Times New Roman" w:eastAsia="宋体"/>
          <w:color w:val="auto"/>
          <w:sz w:val="24"/>
          <w:szCs w:val="24"/>
          <w:u w:val="single"/>
        </w:rPr>
        <w:t>含重金属</w:t>
      </w:r>
      <w:r>
        <w:rPr>
          <w:rFonts w:hint="eastAsia" w:ascii="Times New Roman" w:hAnsi="Times New Roman" w:eastAsia="宋体"/>
          <w:color w:val="auto"/>
          <w:sz w:val="24"/>
          <w:szCs w:val="24"/>
          <w:u w:val="single"/>
        </w:rPr>
        <w:t>；项目</w:t>
      </w:r>
      <w:r>
        <w:rPr>
          <w:rFonts w:ascii="Times New Roman" w:hAnsi="Times New Roman" w:eastAsia="宋体"/>
          <w:color w:val="auto"/>
          <w:sz w:val="24"/>
          <w:szCs w:val="24"/>
          <w:u w:val="single"/>
        </w:rPr>
        <w:t>建设1座</w:t>
      </w:r>
      <w:r>
        <w:rPr>
          <w:rFonts w:hint="eastAsia" w:ascii="Times New Roman" w:hAnsi="Times New Roman" w:eastAsia="宋体"/>
          <w:color w:val="auto"/>
          <w:sz w:val="24"/>
          <w:szCs w:val="24"/>
          <w:u w:val="single"/>
        </w:rPr>
        <w:t>600</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的应急事故池、1座</w:t>
      </w:r>
      <w:r>
        <w:rPr>
          <w:rFonts w:hint="eastAsia" w:ascii="Times New Roman" w:hAnsi="Times New Roman" w:eastAsia="宋体"/>
          <w:color w:val="auto"/>
          <w:sz w:val="24"/>
          <w:szCs w:val="24"/>
          <w:u w:val="single"/>
        </w:rPr>
        <w:t>290</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的初期雨水池，初期雨水收集池与事故应急池连通</w:t>
      </w:r>
      <w:r>
        <w:rPr>
          <w:rFonts w:hint="eastAsia" w:ascii="Times New Roman" w:hAnsi="Times New Roman" w:eastAsia="宋体"/>
          <w:color w:val="auto"/>
          <w:sz w:val="24"/>
          <w:szCs w:val="24"/>
          <w:u w:val="single"/>
        </w:rPr>
        <w:t>，</w:t>
      </w:r>
      <w:r>
        <w:rPr>
          <w:rFonts w:ascii="Times New Roman" w:hAnsi="Times New Roman" w:eastAsia="宋体"/>
          <w:color w:val="auto"/>
          <w:sz w:val="24"/>
          <w:szCs w:val="24"/>
          <w:u w:val="single"/>
        </w:rPr>
        <w:t>根据《事故状态下水体污染的预防与控制技术要求》（QSY1190-2009）的要求计算事故状态下的最大废水量</w:t>
      </w:r>
      <w:r>
        <w:rPr>
          <w:rFonts w:hint="eastAsia" w:ascii="Times New Roman" w:hAnsi="Times New Roman" w:eastAsia="宋体"/>
          <w:color w:val="auto"/>
          <w:sz w:val="24"/>
          <w:szCs w:val="24"/>
          <w:u w:val="single"/>
        </w:rPr>
        <w:t>约为552m</w:t>
      </w:r>
      <w:r>
        <w:rPr>
          <w:rFonts w:hint="eastAsia" w:ascii="Times New Roman" w:hAnsi="Times New Roman" w:eastAsia="宋体"/>
          <w:color w:val="auto"/>
          <w:sz w:val="24"/>
          <w:szCs w:val="24"/>
          <w:u w:val="single"/>
          <w:vertAlign w:val="superscript"/>
        </w:rPr>
        <w:t>3</w:t>
      </w:r>
      <w:r>
        <w:rPr>
          <w:rFonts w:hint="eastAsia" w:ascii="Times New Roman" w:hAnsi="Times New Roman" w:eastAsia="宋体"/>
          <w:color w:val="auto"/>
          <w:sz w:val="24"/>
          <w:szCs w:val="24"/>
          <w:u w:val="single"/>
        </w:rPr>
        <w:t>，项目事故应急系统及园区应急系统</w:t>
      </w:r>
      <w:r>
        <w:rPr>
          <w:rFonts w:hint="eastAsia" w:ascii="Times New Roman" w:hAnsi="Times New Roman" w:eastAsia="宋体"/>
          <w:color w:val="auto"/>
          <w:sz w:val="24"/>
          <w:szCs w:val="21"/>
          <w:u w:val="single"/>
        </w:rPr>
        <w:t>（</w:t>
      </w:r>
      <w:r>
        <w:rPr>
          <w:rFonts w:hint="eastAsia" w:ascii="Times New Roman" w:hAnsi="Times New Roman" w:eastAsia="宋体"/>
          <w:color w:val="auto"/>
          <w:sz w:val="24"/>
          <w:szCs w:val="21"/>
          <w:u w:val="single" w:color="auto"/>
          <w:lang w:eastAsia="zh-CN"/>
        </w:rPr>
        <w:t>有</w:t>
      </w:r>
      <w:r>
        <w:rPr>
          <w:rFonts w:hint="default" w:ascii="Times New Roman" w:hAnsi="Times New Roman" w:eastAsia="宋体" w:cs="Times New Roman"/>
          <w:color w:val="auto"/>
          <w:sz w:val="24"/>
          <w:szCs w:val="21"/>
          <w:highlight w:val="none"/>
          <w:u w:val="single" w:color="auto"/>
          <w:lang w:eastAsia="zh-CN"/>
        </w:rPr>
        <w:t>松木污水处理厂</w:t>
      </w:r>
      <w:r>
        <w:rPr>
          <w:rFonts w:ascii="Times New Roman" w:hAnsi="Times New Roman" w:eastAsia="宋体"/>
          <w:color w:val="auto"/>
          <w:sz w:val="24"/>
          <w:szCs w:val="21"/>
          <w:u w:val="single"/>
        </w:rPr>
        <w:t>兜底，一般情况下，不会造成流域级事件</w:t>
      </w:r>
      <w:r>
        <w:rPr>
          <w:rFonts w:hint="eastAsia" w:ascii="Times New Roman" w:hAnsi="Times New Roman" w:eastAsia="宋体"/>
          <w:color w:val="auto"/>
          <w:sz w:val="24"/>
          <w:szCs w:val="21"/>
          <w:u w:val="single"/>
        </w:rPr>
        <w:t>）可</w:t>
      </w:r>
      <w:r>
        <w:rPr>
          <w:rFonts w:hint="eastAsia" w:ascii="Times New Roman" w:hAnsi="Times New Roman" w:eastAsia="宋体"/>
          <w:color w:val="auto"/>
          <w:sz w:val="24"/>
          <w:szCs w:val="24"/>
          <w:u w:val="single"/>
        </w:rPr>
        <w:t>有效收集突发情形下排放重金属废水，避免废水处理站发生故障或者生产线发生火灾产生大量消防废水等突发情形下含重金属废水进入水体。</w:t>
      </w:r>
    </w:p>
    <w:p w14:paraId="60CF7ED9">
      <w:pPr>
        <w:pStyle w:val="52"/>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eastAsia" w:ascii="Times New Roman" w:hAnsi="Times New Roman" w:eastAsia="宋体"/>
          <w:color w:val="auto"/>
          <w:sz w:val="24"/>
          <w:szCs w:val="21"/>
          <w:u w:val="single"/>
        </w:rPr>
        <w:t>综上所述，</w:t>
      </w:r>
      <w:r>
        <w:rPr>
          <w:rFonts w:ascii="Times New Roman" w:hAnsi="Times New Roman" w:eastAsia="宋体"/>
          <w:color w:val="auto"/>
          <w:sz w:val="24"/>
          <w:szCs w:val="21"/>
          <w:u w:val="single"/>
        </w:rPr>
        <w:t>与松木经开区产业准入要求</w:t>
      </w:r>
      <w:r>
        <w:rPr>
          <w:rFonts w:hint="eastAsia" w:ascii="Times New Roman" w:hAnsi="Times New Roman" w:eastAsia="宋体"/>
          <w:color w:val="auto"/>
          <w:sz w:val="24"/>
          <w:szCs w:val="21"/>
          <w:u w:val="single"/>
        </w:rPr>
        <w:t>不相冲突</w:t>
      </w:r>
      <w:r>
        <w:rPr>
          <w:rFonts w:ascii="Times New Roman" w:hAnsi="Times New Roman" w:eastAsia="宋体"/>
          <w:color w:val="auto"/>
          <w:sz w:val="24"/>
          <w:szCs w:val="21"/>
          <w:u w:val="single"/>
        </w:rPr>
        <w:t>。</w:t>
      </w:r>
    </w:p>
    <w:p w14:paraId="29B1A5FE">
      <w:pPr>
        <w:pStyle w:val="52"/>
        <w:rPr>
          <w:rFonts w:hint="default" w:ascii="Times New Roman" w:hAnsi="Times New Roman" w:eastAsia="宋体" w:cs="Times New Roman"/>
          <w:b/>
          <w:bCs/>
          <w:color w:val="auto"/>
          <w:kern w:val="2"/>
          <w:sz w:val="24"/>
          <w:szCs w:val="21"/>
          <w:highlight w:val="none"/>
          <w:u w:val="none" w:color="auto"/>
          <w:lang w:val="en-US" w:eastAsia="zh-CN" w:bidi="ar-SA"/>
        </w:rPr>
      </w:pPr>
      <w:r>
        <w:rPr>
          <w:rFonts w:hint="default" w:ascii="Times New Roman" w:hAnsi="Times New Roman" w:eastAsia="宋体" w:cs="Times New Roman"/>
          <w:b/>
          <w:bCs/>
          <w:color w:val="auto"/>
          <w:kern w:val="2"/>
          <w:sz w:val="24"/>
          <w:szCs w:val="21"/>
          <w:highlight w:val="none"/>
          <w:u w:val="none" w:color="auto"/>
          <w:lang w:val="en-US" w:eastAsia="zh-CN" w:bidi="ar-SA"/>
        </w:rPr>
        <w:t>（2）与湖南衡阳松木经济开发区环境准入行业负面清单符合性分析</w:t>
      </w:r>
    </w:p>
    <w:p w14:paraId="42C8DE4D">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根据《湖南衡阳松木经济开发区扩区规划（2020-2030）环境影响报告书》可知，园区负面清单见下表。</w:t>
      </w:r>
    </w:p>
    <w:p w14:paraId="1306E4E4">
      <w:pPr>
        <w:jc w:val="center"/>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 xml:space="preserve">表10.2-1 </w:t>
      </w:r>
      <w:r>
        <w:rPr>
          <w:rFonts w:hint="default" w:ascii="Times New Roman" w:hAnsi="Times New Roman" w:eastAsia="宋体" w:cs="Times New Roman"/>
          <w:b/>
          <w:color w:val="auto"/>
          <w:sz w:val="21"/>
          <w:szCs w:val="21"/>
          <w:highlight w:val="none"/>
          <w:u w:val="none" w:color="auto"/>
        </w:rPr>
        <w:t>环境准入行业负面清单</w:t>
      </w:r>
    </w:p>
    <w:tbl>
      <w:tblPr>
        <w:tblStyle w:val="55"/>
        <w:tblW w:w="811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30"/>
        <w:gridCol w:w="791"/>
        <w:gridCol w:w="6098"/>
      </w:tblGrid>
      <w:tr w14:paraId="6DED8A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1230" w:type="dxa"/>
            <w:vAlign w:val="top"/>
          </w:tcPr>
          <w:p w14:paraId="7C208788">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产业园区</w:t>
            </w:r>
          </w:p>
        </w:tc>
        <w:tc>
          <w:tcPr>
            <w:tcW w:w="791" w:type="dxa"/>
            <w:vAlign w:val="top"/>
          </w:tcPr>
          <w:p w14:paraId="472A0407">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类别</w:t>
            </w:r>
          </w:p>
        </w:tc>
        <w:tc>
          <w:tcPr>
            <w:tcW w:w="6098" w:type="dxa"/>
            <w:vAlign w:val="top"/>
          </w:tcPr>
          <w:p w14:paraId="26638186">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行业</w:t>
            </w:r>
          </w:p>
        </w:tc>
      </w:tr>
      <w:tr w14:paraId="276D52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74" w:hRule="atLeast"/>
          <w:jc w:val="center"/>
        </w:trPr>
        <w:tc>
          <w:tcPr>
            <w:tcW w:w="1230" w:type="dxa"/>
            <w:vMerge w:val="restart"/>
            <w:vAlign w:val="top"/>
          </w:tcPr>
          <w:p w14:paraId="7931E17A">
            <w:pPr>
              <w:autoSpaceDE w:val="0"/>
              <w:autoSpaceDN w:val="0"/>
              <w:adjustRightInd w:val="0"/>
              <w:spacing w:line="240" w:lineRule="auto"/>
              <w:jc w:val="lef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片区一：湘江岸线1公里范围（装备制造及仓储物流）</w:t>
            </w:r>
          </w:p>
          <w:p w14:paraId="03FEAB83">
            <w:pPr>
              <w:autoSpaceDE w:val="0"/>
              <w:autoSpaceDN w:val="0"/>
              <w:adjustRightInd w:val="0"/>
              <w:spacing w:line="240" w:lineRule="auto"/>
              <w:jc w:val="left"/>
              <w:rPr>
                <w:rFonts w:hint="default" w:ascii="Times New Roman" w:hAnsi="Times New Roman" w:eastAsia="宋体" w:cs="Times New Roman"/>
                <w:color w:val="auto"/>
                <w:kern w:val="0"/>
                <w:sz w:val="21"/>
                <w:szCs w:val="21"/>
                <w:highlight w:val="none"/>
                <w:u w:val="none" w:color="auto"/>
              </w:rPr>
            </w:pPr>
          </w:p>
        </w:tc>
        <w:tc>
          <w:tcPr>
            <w:tcW w:w="791" w:type="dxa"/>
            <w:vAlign w:val="top"/>
          </w:tcPr>
          <w:p w14:paraId="5630EAAB">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禁止类</w:t>
            </w:r>
          </w:p>
        </w:tc>
        <w:tc>
          <w:tcPr>
            <w:tcW w:w="6098" w:type="dxa"/>
            <w:vAlign w:val="top"/>
          </w:tcPr>
          <w:p w14:paraId="69E8B501">
            <w:pPr>
              <w:spacing w:line="240" w:lineRule="auto"/>
              <w:jc w:val="lef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严格执行《长江保护法》、《长江经济带发展负面清单》、《湘江保护条例》相关禁止性规定。禁止电镀、铅酸电池生产项目以及其他涉及排放重金属废水的项目准入。</w:t>
            </w:r>
          </w:p>
          <w:p w14:paraId="2B027A56">
            <w:pPr>
              <w:spacing w:line="240" w:lineRule="auto"/>
              <w:jc w:val="lef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禁止危险化学品仓储项目准入。</w:t>
            </w:r>
          </w:p>
        </w:tc>
      </w:tr>
      <w:tr w14:paraId="3522D3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74" w:hRule="atLeast"/>
          <w:jc w:val="center"/>
        </w:trPr>
        <w:tc>
          <w:tcPr>
            <w:tcW w:w="1230" w:type="dxa"/>
            <w:vMerge w:val="continue"/>
            <w:vAlign w:val="top"/>
          </w:tcPr>
          <w:p w14:paraId="51D07DA8">
            <w:pPr>
              <w:autoSpaceDE w:val="0"/>
              <w:autoSpaceDN w:val="0"/>
              <w:adjustRightInd w:val="0"/>
              <w:spacing w:after="200" w:line="276" w:lineRule="auto"/>
              <w:jc w:val="left"/>
              <w:rPr>
                <w:rFonts w:hint="default" w:ascii="Times New Roman" w:hAnsi="Times New Roman" w:eastAsia="宋体" w:cs="Times New Roman"/>
                <w:color w:val="auto"/>
                <w:kern w:val="0"/>
                <w:sz w:val="21"/>
                <w:szCs w:val="21"/>
                <w:highlight w:val="none"/>
                <w:u w:val="none" w:color="auto"/>
                <w:lang w:val="zh-CN"/>
              </w:rPr>
            </w:pPr>
          </w:p>
        </w:tc>
        <w:tc>
          <w:tcPr>
            <w:tcW w:w="791" w:type="dxa"/>
            <w:vAlign w:val="top"/>
          </w:tcPr>
          <w:p w14:paraId="16965C25">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限制类</w:t>
            </w:r>
          </w:p>
        </w:tc>
        <w:tc>
          <w:tcPr>
            <w:tcW w:w="6098" w:type="dxa"/>
            <w:vAlign w:val="top"/>
          </w:tcPr>
          <w:p w14:paraId="7AE0AF5E">
            <w:pPr>
              <w:spacing w:line="240" w:lineRule="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涉及以大气水污染排放为主要特征污染物的产业；限制引进排放氨气的企业和项目；严格限制以“零排放”为名新引进实际存在重金属排放或突发情形下排放重金属的产业项目和废电池、废汽车、废油、废船、废轮胎的再生利用项目。</w:t>
            </w:r>
          </w:p>
        </w:tc>
      </w:tr>
      <w:tr w14:paraId="471702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2" w:hRule="atLeast"/>
          <w:jc w:val="center"/>
        </w:trPr>
        <w:tc>
          <w:tcPr>
            <w:tcW w:w="1230" w:type="dxa"/>
            <w:vMerge w:val="restart"/>
            <w:vAlign w:val="top"/>
          </w:tcPr>
          <w:p w14:paraId="61888E19">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片区二：化工片区（盐卤化工及精细化工产业园区（含医药化工和制药））</w:t>
            </w:r>
          </w:p>
          <w:p w14:paraId="2091F686">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791" w:type="dxa"/>
            <w:vAlign w:val="top"/>
          </w:tcPr>
          <w:p w14:paraId="46A37B85">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禁止类</w:t>
            </w:r>
          </w:p>
        </w:tc>
        <w:tc>
          <w:tcPr>
            <w:tcW w:w="6098" w:type="dxa"/>
            <w:vAlign w:val="top"/>
          </w:tcPr>
          <w:p w14:paraId="248A1969">
            <w:pPr>
              <w:spacing w:line="240" w:lineRule="auto"/>
              <w:jc w:val="lef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严格执行《长江保护法》、《长江经济带发展负面清单》、《湘江保护条例》相关禁止性规定。化工产业中单纯混合或分装除外的农药制造C263；炸药、火工及焰火产品制造C267；化学纤维制造业C28；医药制造业中的兽用药品制造C275；电镀（除原批复的电镀产能外）；制革和毛皮鞣制（C191、C193）；化学制浆和造纸C222；炼油、炼焦工业（C251、C252）；食品工业的禽畜初加工（包括屠宰）C135；味精、发酵酿造C146；致癌、致畸、致突变产品生产项目；国家明文禁止的“十五小”和“新五小”项目中的化工项目。</w:t>
            </w:r>
          </w:p>
        </w:tc>
      </w:tr>
      <w:tr w14:paraId="67180D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18" w:hRule="atLeast"/>
          <w:jc w:val="center"/>
        </w:trPr>
        <w:tc>
          <w:tcPr>
            <w:tcW w:w="1230" w:type="dxa"/>
            <w:vMerge w:val="continue"/>
            <w:vAlign w:val="top"/>
          </w:tcPr>
          <w:p w14:paraId="6561C8F0">
            <w:pPr>
              <w:autoSpaceDE w:val="0"/>
              <w:autoSpaceDN w:val="0"/>
              <w:adjustRightInd w:val="0"/>
              <w:spacing w:after="200" w:line="276" w:lineRule="auto"/>
              <w:jc w:val="left"/>
              <w:rPr>
                <w:rFonts w:hint="default" w:ascii="Times New Roman" w:hAnsi="Times New Roman" w:eastAsia="宋体" w:cs="Times New Roman"/>
                <w:color w:val="auto"/>
                <w:kern w:val="0"/>
                <w:sz w:val="21"/>
                <w:szCs w:val="21"/>
                <w:highlight w:val="none"/>
                <w:u w:val="none" w:color="auto"/>
                <w:lang w:val="zh-CN"/>
              </w:rPr>
            </w:pPr>
          </w:p>
        </w:tc>
        <w:tc>
          <w:tcPr>
            <w:tcW w:w="791" w:type="dxa"/>
            <w:vAlign w:val="top"/>
          </w:tcPr>
          <w:p w14:paraId="5682B323">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限制类</w:t>
            </w:r>
          </w:p>
        </w:tc>
        <w:tc>
          <w:tcPr>
            <w:tcW w:w="6098" w:type="dxa"/>
            <w:vAlign w:val="top"/>
          </w:tcPr>
          <w:p w14:paraId="27DC4F84">
            <w:pPr>
              <w:spacing w:line="240" w:lineRule="auto"/>
              <w:jc w:val="lef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新建纯碱（井下循环制碱、天然碱除外）、烧碱（废盐综合利用的离子膜烧碱装置除外）、30 万吨/年以下硫磺制酸（单项金属离子≤100ppb 的电子级硫酸除外）、20 万吨/年以下硫铁矿制酸、常压法及综合法硝酸、电石（以大型先进工艺设备进行等量替换的除外）、单线产能 5 万吨/年以下氢氧化钾生产装置；排放量大，以氨气为主要特征污染物的企业；水耗、能耗较高的化工项目；现有生产力大、市场容量小的化工项目等；大量增加SO2和TSP、氯气、氯化氢排放的化工项目。</w:t>
            </w:r>
          </w:p>
        </w:tc>
      </w:tr>
      <w:tr w14:paraId="0BAC18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07" w:hRule="atLeast"/>
          <w:jc w:val="center"/>
        </w:trPr>
        <w:tc>
          <w:tcPr>
            <w:tcW w:w="1230" w:type="dxa"/>
            <w:vMerge w:val="restart"/>
            <w:vAlign w:val="top"/>
          </w:tcPr>
          <w:p w14:paraId="0D735901">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片区三：其他（新能源、新材料和装备制造）</w:t>
            </w:r>
          </w:p>
          <w:p w14:paraId="7C7995AB">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rPr>
            </w:pPr>
          </w:p>
        </w:tc>
        <w:tc>
          <w:tcPr>
            <w:tcW w:w="791" w:type="dxa"/>
            <w:vAlign w:val="top"/>
          </w:tcPr>
          <w:p w14:paraId="0FBE8318">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禁止类</w:t>
            </w:r>
          </w:p>
        </w:tc>
        <w:tc>
          <w:tcPr>
            <w:tcW w:w="6098" w:type="dxa"/>
            <w:vAlign w:val="top"/>
          </w:tcPr>
          <w:p w14:paraId="58A7CE0B">
            <w:pPr>
              <w:spacing w:line="240" w:lineRule="auto"/>
              <w:jc w:val="lef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严格执行《长江保护法》、《长江经济带发展负面清单》、《湘江保护条例》相关禁止性规定。禁止C2511原油加工及石油制品制造、C2522煤制合成气生产、C2523煤制液体燃料生产、C26化学原料和化学制品制造业（不包括C267炸药、火工及焰火产品制造和C268日用化学产品制造）、C291橡胶制品业等属于化工行业管理范畴的项目准入，禁止使用高挥发分涂料的企业准入，禁止电镀生产项目以及其他涉及排放重金属废水的项目准入。</w:t>
            </w:r>
          </w:p>
        </w:tc>
      </w:tr>
      <w:tr w14:paraId="6015C0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12" w:hRule="atLeast"/>
          <w:jc w:val="center"/>
        </w:trPr>
        <w:tc>
          <w:tcPr>
            <w:tcW w:w="1230" w:type="dxa"/>
            <w:vMerge w:val="continue"/>
            <w:vAlign w:val="top"/>
          </w:tcPr>
          <w:p w14:paraId="7CF35812">
            <w:pPr>
              <w:autoSpaceDE w:val="0"/>
              <w:autoSpaceDN w:val="0"/>
              <w:adjustRightInd w:val="0"/>
              <w:spacing w:after="200" w:line="276" w:lineRule="auto"/>
              <w:jc w:val="left"/>
              <w:rPr>
                <w:rFonts w:hint="default" w:ascii="Times New Roman" w:hAnsi="Times New Roman" w:eastAsia="宋体" w:cs="Times New Roman"/>
                <w:color w:val="auto"/>
                <w:kern w:val="0"/>
                <w:sz w:val="21"/>
                <w:szCs w:val="21"/>
                <w:highlight w:val="none"/>
                <w:u w:val="none" w:color="auto"/>
                <w:lang w:val="zh-CN"/>
              </w:rPr>
            </w:pPr>
          </w:p>
        </w:tc>
        <w:tc>
          <w:tcPr>
            <w:tcW w:w="791" w:type="dxa"/>
            <w:vAlign w:val="top"/>
          </w:tcPr>
          <w:p w14:paraId="4326CD87">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u w:val="none" w:color="auto"/>
                <w:lang w:val="zh-CN"/>
              </w:rPr>
            </w:pPr>
            <w:r>
              <w:rPr>
                <w:rFonts w:hint="default" w:ascii="Times New Roman" w:hAnsi="Times New Roman" w:eastAsia="宋体" w:cs="Times New Roman"/>
                <w:color w:val="auto"/>
                <w:kern w:val="0"/>
                <w:sz w:val="21"/>
                <w:szCs w:val="21"/>
                <w:highlight w:val="none"/>
                <w:u w:val="none" w:color="auto"/>
                <w:lang w:val="zh-CN"/>
              </w:rPr>
              <w:t>限制类</w:t>
            </w:r>
          </w:p>
        </w:tc>
        <w:tc>
          <w:tcPr>
            <w:tcW w:w="6098" w:type="dxa"/>
            <w:vAlign w:val="top"/>
          </w:tcPr>
          <w:p w14:paraId="619230D8">
            <w:pPr>
              <w:spacing w:line="240" w:lineRule="auto"/>
              <w:jc w:val="left"/>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以恶臭为主要特征污染物且排放量大的行业，重点气型污染排放企业。</w:t>
            </w:r>
          </w:p>
        </w:tc>
      </w:tr>
    </w:tbl>
    <w:p w14:paraId="59AE6B50">
      <w:pPr>
        <w:pStyle w:val="52"/>
        <w:rPr>
          <w:rFonts w:hint="eastAsia" w:ascii="Times New Roman" w:hAnsi="Times New Roman" w:eastAsia="宋体"/>
          <w:color w:val="auto"/>
          <w:sz w:val="24"/>
          <w:szCs w:val="24"/>
          <w:u w:val="single"/>
        </w:rPr>
      </w:pPr>
      <w:r>
        <w:rPr>
          <w:rFonts w:ascii="Times New Roman" w:hAnsi="Times New Roman" w:eastAsia="宋体"/>
          <w:color w:val="auto"/>
          <w:sz w:val="24"/>
          <w:szCs w:val="24"/>
          <w:u w:val="single"/>
        </w:rPr>
        <w:t>本项目位于片区</w:t>
      </w:r>
      <w:r>
        <w:rPr>
          <w:rFonts w:hint="eastAsia" w:ascii="Times New Roman" w:hAnsi="Times New Roman" w:eastAsia="宋体"/>
          <w:color w:val="auto"/>
          <w:sz w:val="24"/>
          <w:szCs w:val="24"/>
          <w:u w:val="single"/>
        </w:rPr>
        <w:t>二</w:t>
      </w:r>
      <w:r>
        <w:rPr>
          <w:rFonts w:ascii="Times New Roman" w:hAnsi="Times New Roman" w:eastAsia="宋体"/>
          <w:color w:val="auto"/>
          <w:sz w:val="24"/>
          <w:szCs w:val="24"/>
          <w:u w:val="single"/>
        </w:rPr>
        <w:t>，本项目产品为超硬材料，</w:t>
      </w:r>
      <w:r>
        <w:rPr>
          <w:rFonts w:hint="eastAsia" w:ascii="Times New Roman" w:hAnsi="Times New Roman" w:eastAsia="宋体"/>
          <w:color w:val="auto"/>
          <w:sz w:val="24"/>
          <w:szCs w:val="24"/>
          <w:u w:val="single"/>
        </w:rPr>
        <w:t>根据《湖南省环境保护厅关于湖南正园动力配件有限公司整体搬迁环评审批权限的复函》（湘环函[2016]263号）可知：一、湘环发[2015]31号文所列“电镀项目”是指以电镀工艺为主或承接外委电镀的建设项目。二、其他涉及电镀工艺的建设项目，原则上电镀工序应委托合法专业电镀单位，确因工艺流程需要不能外委的，应依法依规严格控制重金属污染，确保环境安全。故本项目不属于电镀项目，仅涉及电镀工序</w:t>
      </w:r>
      <w:r>
        <w:rPr>
          <w:rFonts w:ascii="Times New Roman" w:hAnsi="Times New Roman" w:eastAsia="宋体"/>
          <w:color w:val="auto"/>
          <w:sz w:val="24"/>
          <w:szCs w:val="24"/>
          <w:u w:val="single"/>
        </w:rPr>
        <w:t>，</w:t>
      </w:r>
      <w:r>
        <w:rPr>
          <w:rFonts w:hint="eastAsia" w:ascii="Times New Roman" w:hAnsi="Times New Roman" w:eastAsia="宋体"/>
          <w:color w:val="auto"/>
          <w:sz w:val="24"/>
          <w:szCs w:val="24"/>
          <w:u w:val="single"/>
        </w:rPr>
        <w:t>由于本项目电镀工艺与普通的表面装饰电镀工艺完全不同，电镀金刚石属于复合功能性电镀，是由金刚石与镍共沉积得到的，工艺要求非常高，要求在工作面的每个部分镀层厚度要均匀一致，镀层太厚金刚石会被全部埋住失去切削力，镀层太薄金刚石受到冲击易脱落报废，传统的电镀厂不能代为加工(外委)，且衡阳市电镀中心自身不具备该电镀能力。本项目电镀含重金属废水经三效蒸发器蒸发后回用于生产线，不外排，</w:t>
      </w:r>
      <w:r>
        <w:rPr>
          <w:rFonts w:ascii="Times New Roman" w:hAnsi="Times New Roman" w:eastAsia="宋体"/>
          <w:color w:val="auto"/>
          <w:sz w:val="24"/>
          <w:szCs w:val="24"/>
          <w:u w:val="single"/>
        </w:rPr>
        <w:t>外排废水主</w:t>
      </w:r>
      <w:r>
        <w:rPr>
          <w:rFonts w:ascii="Times New Roman" w:hAnsi="Times New Roman" w:eastAsia="宋体"/>
          <w:color w:val="auto"/>
          <w:sz w:val="24"/>
          <w:szCs w:val="24"/>
          <w:u w:val="single" w:color="auto"/>
        </w:rPr>
        <w:t>要为生活污水</w:t>
      </w:r>
      <w:r>
        <w:rPr>
          <w:rFonts w:hint="eastAsia" w:ascii="Times New Roman" w:hAnsi="Times New Roman" w:eastAsia="宋体"/>
          <w:color w:val="auto"/>
          <w:sz w:val="24"/>
          <w:szCs w:val="24"/>
          <w:u w:val="single" w:color="auto"/>
          <w:lang w:val="en-US" w:eastAsia="zh-CN"/>
        </w:rPr>
        <w:t>和</w:t>
      </w:r>
      <w:r>
        <w:rPr>
          <w:rFonts w:hint="eastAsia" w:ascii="Times New Roman" w:hAnsi="Times New Roman" w:eastAsia="宋体" w:cs="Times New Roman"/>
          <w:color w:val="auto"/>
          <w:sz w:val="24"/>
          <w:szCs w:val="24"/>
          <w:highlight w:val="none"/>
          <w:u w:val="single" w:color="auto"/>
          <w:lang w:val="en-US" w:eastAsia="zh-CN"/>
        </w:rPr>
        <w:t>机加工车间废水（卫生废水、容器清洗废水、直接冷却废水）</w:t>
      </w:r>
      <w:r>
        <w:rPr>
          <w:rFonts w:ascii="Times New Roman" w:hAnsi="Times New Roman" w:eastAsia="宋体"/>
          <w:color w:val="auto"/>
          <w:sz w:val="24"/>
          <w:szCs w:val="24"/>
          <w:u w:val="single" w:color="auto"/>
        </w:rPr>
        <w:t>，</w:t>
      </w:r>
      <w:r>
        <w:rPr>
          <w:rFonts w:ascii="Times New Roman" w:hAnsi="Times New Roman" w:eastAsia="宋体"/>
          <w:color w:val="auto"/>
          <w:sz w:val="24"/>
          <w:szCs w:val="24"/>
          <w:u w:val="single"/>
        </w:rPr>
        <w:t>不</w:t>
      </w:r>
      <w:r>
        <w:rPr>
          <w:rFonts w:hint="eastAsia" w:ascii="Times New Roman" w:hAnsi="Times New Roman" w:eastAsia="宋体"/>
          <w:color w:val="auto"/>
          <w:sz w:val="24"/>
          <w:szCs w:val="24"/>
          <w:u w:val="single"/>
          <w:lang w:val="en-US" w:eastAsia="zh-CN"/>
        </w:rPr>
        <w:t>涉及电镀工序且不</w:t>
      </w:r>
      <w:r>
        <w:rPr>
          <w:rFonts w:ascii="Times New Roman" w:hAnsi="Times New Roman" w:eastAsia="宋体"/>
          <w:color w:val="auto"/>
          <w:sz w:val="24"/>
          <w:szCs w:val="24"/>
          <w:u w:val="single"/>
        </w:rPr>
        <w:t>含重金属</w:t>
      </w:r>
      <w:r>
        <w:rPr>
          <w:rFonts w:hint="eastAsia" w:ascii="Times New Roman" w:hAnsi="Times New Roman" w:eastAsia="宋体"/>
          <w:color w:val="auto"/>
          <w:sz w:val="24"/>
          <w:szCs w:val="24"/>
          <w:u w:val="single"/>
        </w:rPr>
        <w:t>。</w:t>
      </w:r>
    </w:p>
    <w:p w14:paraId="0C9704BC">
      <w:pPr>
        <w:pStyle w:val="52"/>
        <w:rPr>
          <w:rFonts w:hint="eastAsia" w:ascii="Times New Roman" w:hAnsi="Times New Roman" w:eastAsia="宋体"/>
          <w:color w:val="auto"/>
          <w:sz w:val="24"/>
          <w:szCs w:val="24"/>
          <w:u w:val="single" w:color="auto"/>
          <w:lang w:eastAsia="zh-CN"/>
        </w:rPr>
      </w:pPr>
      <w:r>
        <w:rPr>
          <w:rFonts w:hint="eastAsia" w:ascii="Times New Roman" w:hAnsi="Times New Roman" w:eastAsia="宋体"/>
          <w:color w:val="auto"/>
          <w:sz w:val="24"/>
          <w:szCs w:val="24"/>
          <w:u w:val="single" w:color="auto"/>
          <w:lang w:eastAsia="zh-CN"/>
        </w:rPr>
        <w:t>本项目生产过程中电镀工序废气污染物涉及氯化氢排放，根据工程分析可知，本项目氯化氢排放量较小，且经三级喷淋塔吸收后</w:t>
      </w:r>
      <w:r>
        <w:rPr>
          <w:rFonts w:hint="default" w:ascii="Times New Roman" w:hAnsi="Times New Roman" w:eastAsia="宋体" w:cs="Times New Roman"/>
          <w:color w:val="auto"/>
          <w:sz w:val="24"/>
          <w:szCs w:val="24"/>
          <w:highlight w:val="none"/>
          <w:u w:val="single" w:color="auto"/>
        </w:rPr>
        <w:t>能够满足《电镀污染物排放标准》（GB21900-2008）表5规定的大气污染物排放限值要求</w:t>
      </w:r>
      <w:r>
        <w:rPr>
          <w:rFonts w:hint="eastAsia" w:ascii="Times New Roman" w:hAnsi="Times New Roman" w:eastAsia="宋体" w:cs="Times New Roman"/>
          <w:color w:val="auto"/>
          <w:sz w:val="24"/>
          <w:szCs w:val="24"/>
          <w:highlight w:val="none"/>
          <w:u w:val="single" w:color="auto"/>
          <w:lang w:eastAsia="zh-CN"/>
        </w:rPr>
        <w:t>；同时本项目委托</w:t>
      </w:r>
      <w:r>
        <w:rPr>
          <w:rFonts w:hint="default" w:ascii="Times New Roman" w:hAnsi="Times New Roman" w:eastAsia="宋体" w:cs="Times New Roman"/>
          <w:color w:val="auto"/>
          <w:sz w:val="24"/>
          <w:szCs w:val="24"/>
          <w:highlight w:val="none"/>
          <w:u w:val="single" w:color="auto"/>
          <w:lang w:val="en-US" w:eastAsia="zh-CN"/>
        </w:rPr>
        <w:t>湖南桓泓检测技术有限公司已于</w:t>
      </w:r>
      <w:r>
        <w:rPr>
          <w:rFonts w:hint="default" w:ascii="Times New Roman" w:hAnsi="Times New Roman" w:eastAsia="宋体" w:cs="Times New Roman"/>
          <w:color w:val="auto"/>
          <w:kern w:val="2"/>
          <w:sz w:val="24"/>
          <w:szCs w:val="24"/>
          <w:highlight w:val="none"/>
          <w:u w:val="single" w:color="auto"/>
          <w:lang w:val="en-US" w:eastAsia="zh-CN" w:bidi="ar-SA"/>
        </w:rPr>
        <w:t>2022年3月23日~2022年3月29日</w:t>
      </w:r>
      <w:r>
        <w:rPr>
          <w:rFonts w:hint="default" w:ascii="Times New Roman" w:hAnsi="Times New Roman" w:eastAsia="宋体" w:cs="Times New Roman"/>
          <w:color w:val="auto"/>
          <w:sz w:val="24"/>
          <w:szCs w:val="24"/>
          <w:highlight w:val="none"/>
          <w:u w:val="single" w:color="auto"/>
          <w:lang w:val="en-US" w:eastAsia="zh-CN"/>
        </w:rPr>
        <w:t>对项目所在地环境空气质量现状进行了HCl</w:t>
      </w:r>
      <w:r>
        <w:rPr>
          <w:rFonts w:hint="eastAsia" w:ascii="Times New Roman" w:hAnsi="Times New Roman" w:eastAsia="宋体" w:cs="Times New Roman"/>
          <w:color w:val="auto"/>
          <w:sz w:val="24"/>
          <w:szCs w:val="24"/>
          <w:highlight w:val="none"/>
          <w:u w:val="single" w:color="auto"/>
          <w:lang w:val="en-US" w:eastAsia="zh-CN"/>
        </w:rPr>
        <w:t>现状监测，根据监测结果可知项目所在地</w:t>
      </w:r>
      <w:r>
        <w:rPr>
          <w:rFonts w:hint="default" w:ascii="Times New Roman" w:hAnsi="Times New Roman" w:eastAsia="宋体" w:cs="Times New Roman"/>
          <w:color w:val="auto"/>
          <w:sz w:val="24"/>
          <w:szCs w:val="24"/>
          <w:highlight w:val="none"/>
          <w:u w:val="single" w:color="auto"/>
          <w:lang w:val="en-US" w:eastAsia="zh-CN"/>
        </w:rPr>
        <w:t>氯化氢可满足《环境影响评价技术导则大气环境》（HJ2.2-2018）附录D相关规定标准值</w:t>
      </w:r>
      <w:r>
        <w:rPr>
          <w:rFonts w:hint="eastAsia" w:ascii="Times New Roman" w:hAnsi="Times New Roman" w:eastAsia="宋体" w:cs="Times New Roman"/>
          <w:color w:val="auto"/>
          <w:sz w:val="24"/>
          <w:szCs w:val="24"/>
          <w:highlight w:val="none"/>
          <w:u w:val="single" w:color="auto"/>
          <w:lang w:val="en-US" w:eastAsia="zh-CN"/>
        </w:rPr>
        <w:t>。故本项目不属于大量增加氯化氢排放的化工项目。</w:t>
      </w:r>
    </w:p>
    <w:p w14:paraId="3BEB06CE">
      <w:pPr>
        <w:pStyle w:val="52"/>
        <w:rPr>
          <w:rFonts w:ascii="Times New Roman" w:hAnsi="Times New Roman" w:eastAsia="宋体"/>
          <w:color w:val="auto"/>
          <w:sz w:val="24"/>
          <w:szCs w:val="24"/>
          <w:u w:val="single"/>
        </w:rPr>
      </w:pPr>
      <w:r>
        <w:rPr>
          <w:rFonts w:hint="eastAsia" w:ascii="Times New Roman" w:hAnsi="Times New Roman" w:eastAsia="宋体"/>
          <w:color w:val="auto"/>
          <w:sz w:val="24"/>
          <w:szCs w:val="24"/>
          <w:u w:val="single"/>
        </w:rPr>
        <w:t>本项目符合</w:t>
      </w:r>
      <w:r>
        <w:rPr>
          <w:rFonts w:ascii="Times New Roman" w:hAnsi="Times New Roman" w:eastAsia="宋体"/>
          <w:color w:val="auto"/>
          <w:sz w:val="24"/>
          <w:szCs w:val="24"/>
          <w:u w:val="single"/>
        </w:rPr>
        <w:t>《长江保护法》、《长江经济带发展负面清单》、《湘江保护条例》</w:t>
      </w:r>
      <w:r>
        <w:rPr>
          <w:rFonts w:hint="eastAsia" w:ascii="Times New Roman" w:hAnsi="Times New Roman" w:eastAsia="宋体"/>
          <w:color w:val="auto"/>
          <w:sz w:val="24"/>
          <w:szCs w:val="24"/>
          <w:u w:val="single"/>
        </w:rPr>
        <w:t>相关要求，不属于上表中片区二所列禁止类、限制类项目</w:t>
      </w:r>
      <w:r>
        <w:rPr>
          <w:rFonts w:ascii="Times New Roman" w:hAnsi="Times New Roman" w:eastAsia="宋体"/>
          <w:color w:val="auto"/>
          <w:sz w:val="24"/>
          <w:szCs w:val="24"/>
          <w:u w:val="single"/>
        </w:rPr>
        <w:t>，符合园区规划。</w:t>
      </w:r>
    </w:p>
    <w:p w14:paraId="3EFA0356">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10.2.4 与土地利用规划相符性分析</w:t>
      </w:r>
    </w:p>
    <w:p w14:paraId="1077037A">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根据衡阳市松木经济开发区土地利用规划，本项目所在地土地规划利用类型为三类工业用地（M3），具体详见附图5土地利用规划图。本项目用地性质符合规划要求。</w:t>
      </w:r>
    </w:p>
    <w:p w14:paraId="157A6824">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12" w:name="_Toc13615"/>
      <w:r>
        <w:rPr>
          <w:rFonts w:hint="default" w:ascii="Times New Roman" w:hAnsi="Times New Roman" w:eastAsia="宋体" w:cs="Times New Roman"/>
          <w:color w:val="auto"/>
          <w:sz w:val="28"/>
          <w:szCs w:val="28"/>
          <w:highlight w:val="none"/>
          <w:u w:val="none" w:color="auto"/>
          <w:lang w:val="en-US" w:eastAsia="zh-CN"/>
        </w:rPr>
        <w:t>10.3 与其他相关政策法规相符性分析</w:t>
      </w:r>
      <w:bookmarkEnd w:id="112"/>
    </w:p>
    <w:p w14:paraId="12CED07A">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10.3.1 与《长江保护法》的相符性分析</w:t>
      </w:r>
    </w:p>
    <w:p w14:paraId="7BFEF9C5">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根据《长江保护法》第二十六条“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w:t>
      </w:r>
      <w:r>
        <w:rPr>
          <w:rFonts w:hint="eastAsia" w:ascii="Times New Roman" w:hAnsi="Times New Roman" w:eastAsia="宋体" w:cs="Times New Roman"/>
          <w:b w:val="0"/>
          <w:bCs w:val="0"/>
          <w:color w:val="auto"/>
          <w:kern w:val="2"/>
          <w:sz w:val="24"/>
          <w:szCs w:val="21"/>
          <w:highlight w:val="none"/>
          <w:u w:val="none" w:color="auto"/>
          <w:lang w:val="en-US" w:eastAsia="zh-CN" w:bidi="ar-SA"/>
        </w:rPr>
        <w:t>的</w:t>
      </w:r>
      <w:r>
        <w:rPr>
          <w:rFonts w:hint="default" w:ascii="Times New Roman" w:hAnsi="Times New Roman" w:eastAsia="宋体" w:cs="Times New Roman"/>
          <w:b w:val="0"/>
          <w:bCs w:val="0"/>
          <w:color w:val="auto"/>
          <w:kern w:val="2"/>
          <w:sz w:val="24"/>
          <w:szCs w:val="21"/>
          <w:highlight w:val="none"/>
          <w:u w:val="none" w:color="auto"/>
          <w:lang w:val="en-US" w:eastAsia="zh-CN" w:bidi="ar-SA"/>
        </w:rPr>
        <w:t>改建除外。”</w:t>
      </w:r>
    </w:p>
    <w:p w14:paraId="4E6FD876">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本项目与长江支流——湘江相距1.8km，属于长江流域范畴，项目不属于化工项目，也不属于尾矿库建设项目，本项目与《长江保护法》相符。</w:t>
      </w:r>
    </w:p>
    <w:p w14:paraId="6DF47EBD">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10.3.2 与《湖南省湘江保护条例》相符性分析</w:t>
      </w:r>
    </w:p>
    <w:p w14:paraId="5BDDDA06">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《湖南省湘江保护条例》中第四十</w:t>
      </w:r>
      <w:r>
        <w:rPr>
          <w:rFonts w:hint="eastAsia" w:ascii="Times New Roman" w:hAnsi="Times New Roman" w:eastAsia="宋体" w:cs="Times New Roman"/>
          <w:b w:val="0"/>
          <w:bCs w:val="0"/>
          <w:color w:val="auto"/>
          <w:kern w:val="2"/>
          <w:sz w:val="24"/>
          <w:szCs w:val="21"/>
          <w:highlight w:val="none"/>
          <w:u w:val="none" w:color="auto"/>
          <w:lang w:val="en-US" w:eastAsia="zh-CN" w:bidi="ar-SA"/>
        </w:rPr>
        <w:t>九</w:t>
      </w:r>
      <w:r>
        <w:rPr>
          <w:rFonts w:hint="default" w:ascii="Times New Roman" w:hAnsi="Times New Roman" w:eastAsia="宋体" w:cs="Times New Roman"/>
          <w:b w:val="0"/>
          <w:bCs w:val="0"/>
          <w:color w:val="auto"/>
          <w:kern w:val="2"/>
          <w:sz w:val="24"/>
          <w:szCs w:val="21"/>
          <w:highlight w:val="none"/>
          <w:u w:val="none" w:color="auto"/>
          <w:lang w:val="en-US" w:eastAsia="zh-CN" w:bidi="ar-SA"/>
        </w:rPr>
        <w:t>条第二款</w:t>
      </w:r>
      <w:r>
        <w:rPr>
          <w:rFonts w:hint="eastAsia" w:ascii="Times New Roman" w:hAnsi="Times New Roman" w:eastAsia="宋体" w:cs="Times New Roman"/>
          <w:b w:val="0"/>
          <w:bCs w:val="0"/>
          <w:color w:val="auto"/>
          <w:kern w:val="2"/>
          <w:sz w:val="24"/>
          <w:szCs w:val="21"/>
          <w:highlight w:val="none"/>
          <w:u w:val="none" w:color="auto"/>
          <w:lang w:val="en-US" w:eastAsia="zh-CN" w:bidi="ar-SA"/>
        </w:rPr>
        <w:t>、第三款</w:t>
      </w:r>
      <w:r>
        <w:rPr>
          <w:rFonts w:hint="default" w:ascii="Times New Roman" w:hAnsi="Times New Roman" w:eastAsia="宋体" w:cs="Times New Roman"/>
          <w:b w:val="0"/>
          <w:bCs w:val="0"/>
          <w:color w:val="auto"/>
          <w:kern w:val="2"/>
          <w:sz w:val="24"/>
          <w:szCs w:val="21"/>
          <w:highlight w:val="none"/>
          <w:u w:val="none" w:color="auto"/>
          <w:lang w:val="en-US" w:eastAsia="zh-CN" w:bidi="ar-SA"/>
        </w:rPr>
        <w:t>规定“</w:t>
      </w:r>
      <w:r>
        <w:rPr>
          <w:rFonts w:hint="eastAsia" w:ascii="Times New Roman" w:hAnsi="Times New Roman" w:eastAsia="宋体" w:cs="Times New Roman"/>
          <w:b w:val="0"/>
          <w:bCs w:val="0"/>
          <w:color w:val="auto"/>
          <w:kern w:val="2"/>
          <w:sz w:val="24"/>
          <w:szCs w:val="21"/>
          <w:highlight w:val="none"/>
          <w:u w:val="none" w:color="auto"/>
          <w:lang w:val="en-US" w:eastAsia="zh-CN" w:bidi="ar-SA"/>
        </w:rPr>
        <w:t>进驻在湘江干流岸线一公里范围内新建、扩建化工园区和化工项目。禁止在湘江干流岸线一公里范围内新建、改建、扩建尾矿库；但以提升安全、生态环境保护水平为目的改建除外</w:t>
      </w:r>
      <w:r>
        <w:rPr>
          <w:rFonts w:hint="default" w:ascii="Times New Roman" w:hAnsi="Times New Roman" w:eastAsia="宋体" w:cs="Times New Roman"/>
          <w:b w:val="0"/>
          <w:bCs w:val="0"/>
          <w:color w:val="auto"/>
          <w:kern w:val="2"/>
          <w:sz w:val="24"/>
          <w:szCs w:val="21"/>
          <w:highlight w:val="none"/>
          <w:u w:val="none" w:color="auto"/>
          <w:lang w:val="en-US" w:eastAsia="zh-CN" w:bidi="ar-SA"/>
        </w:rPr>
        <w:t>”。项目距离湘江干流约1.8km，</w:t>
      </w:r>
      <w:r>
        <w:rPr>
          <w:rFonts w:hint="eastAsia" w:ascii="Times New Roman" w:hAnsi="Times New Roman" w:eastAsia="宋体" w:cs="Times New Roman"/>
          <w:b w:val="0"/>
          <w:bCs w:val="0"/>
          <w:color w:val="auto"/>
          <w:kern w:val="2"/>
          <w:sz w:val="24"/>
          <w:szCs w:val="21"/>
          <w:highlight w:val="none"/>
          <w:u w:val="none" w:color="auto"/>
          <w:lang w:val="en-US" w:eastAsia="zh-CN" w:bidi="ar-SA"/>
        </w:rPr>
        <w:t>不属于化工园区、化工项目、尾矿库；</w:t>
      </w:r>
      <w:r>
        <w:rPr>
          <w:rFonts w:hint="default" w:ascii="Times New Roman" w:hAnsi="Times New Roman" w:eastAsia="宋体" w:cs="Times New Roman"/>
          <w:b w:val="0"/>
          <w:bCs w:val="0"/>
          <w:color w:val="auto"/>
          <w:kern w:val="2"/>
          <w:sz w:val="24"/>
          <w:szCs w:val="21"/>
          <w:highlight w:val="none"/>
          <w:u w:val="none" w:color="auto"/>
          <w:lang w:val="en-US" w:eastAsia="zh-CN" w:bidi="ar-SA"/>
        </w:rPr>
        <w:t>生产废水经厂区综合废水处理设施处理后部分回用，剩余部分采用</w:t>
      </w:r>
      <w:r>
        <w:rPr>
          <w:rFonts w:hint="default" w:ascii="Times New Roman" w:hAnsi="Times New Roman" w:eastAsia="宋体" w:cs="Times New Roman"/>
          <w:color w:val="auto"/>
          <w:sz w:val="24"/>
          <w:szCs w:val="24"/>
          <w:highlight w:val="none"/>
          <w:u w:val="none" w:color="auto"/>
          <w:lang w:val="en-US" w:eastAsia="zh-CN"/>
        </w:rPr>
        <w:t>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b w:val="0"/>
          <w:bCs w:val="0"/>
          <w:color w:val="auto"/>
          <w:kern w:val="2"/>
          <w:sz w:val="24"/>
          <w:szCs w:val="21"/>
          <w:highlight w:val="none"/>
          <w:u w:val="none" w:color="auto"/>
          <w:lang w:val="en-US" w:eastAsia="zh-CN" w:bidi="ar-SA"/>
        </w:rPr>
        <w:t>设备蒸发后回用于生产，不外排。</w:t>
      </w:r>
    </w:p>
    <w:p w14:paraId="455ECBAC">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综上所述，本项目符合《湖南省湘江保护条例》。</w:t>
      </w:r>
    </w:p>
    <w:p w14:paraId="6B0AABA6">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10.3.3 与《湖南省“三线一单”生态环境总体管控要求暨省级以上产业园区生态环境准入清单》相符性分析</w:t>
      </w:r>
    </w:p>
    <w:p w14:paraId="3F128A88">
      <w:pPr>
        <w:spacing w:line="440" w:lineRule="exact"/>
        <w:ind w:firstLine="480" w:firstLineChars="200"/>
        <w:jc w:val="both"/>
        <w:rPr>
          <w:rFonts w:hint="default" w:ascii="Times New Roman" w:hAnsi="Times New Roman" w:cs="Times New Roman"/>
          <w:color w:val="auto"/>
          <w:highlight w:val="none"/>
          <w:u w:val="single" w:color="auto"/>
        </w:rPr>
      </w:pPr>
      <w:r>
        <w:rPr>
          <w:rFonts w:ascii="Times New Roman" w:hAnsi="Times New Roman" w:eastAsia="宋体"/>
          <w:color w:val="auto"/>
          <w:sz w:val="24"/>
          <w:szCs w:val="24"/>
          <w:u w:val="single"/>
        </w:rPr>
        <w:t>本项目位于衡阳松木经开区，本项目不在生态保护红线范围内。</w:t>
      </w:r>
      <w:r>
        <w:rPr>
          <w:rFonts w:hint="eastAsia" w:ascii="Times New Roman" w:hAnsi="Times New Roman" w:eastAsia="宋体"/>
          <w:color w:val="auto"/>
          <w:sz w:val="24"/>
          <w:szCs w:val="24"/>
          <w:u w:val="single"/>
        </w:rPr>
        <w:t>在</w:t>
      </w:r>
      <w:r>
        <w:rPr>
          <w:rFonts w:ascii="Times New Roman" w:hAnsi="Times New Roman" w:eastAsia="宋体"/>
          <w:color w:val="auto"/>
          <w:sz w:val="24"/>
          <w:szCs w:val="24"/>
          <w:u w:val="single"/>
        </w:rPr>
        <w:t>《湖南省“三线一单”生态环境总体管控要求暨省级以上产业园区生态环境准入清单》（2020年11月）</w:t>
      </w:r>
      <w:r>
        <w:rPr>
          <w:rFonts w:hint="eastAsia" w:ascii="Times New Roman" w:hAnsi="Times New Roman" w:eastAsia="宋体"/>
          <w:color w:val="auto"/>
          <w:sz w:val="24"/>
          <w:szCs w:val="24"/>
          <w:u w:val="single"/>
        </w:rPr>
        <w:t>发布之后，衡阳松木经开区于2021年3月编制了</w:t>
      </w:r>
      <w:r>
        <w:rPr>
          <w:rFonts w:ascii="Times New Roman" w:hAnsi="Times New Roman" w:eastAsia="宋体"/>
          <w:color w:val="auto"/>
          <w:sz w:val="24"/>
          <w:szCs w:val="24"/>
          <w:u w:val="single"/>
        </w:rPr>
        <w:t>《湖南衡阳松木经济开发区扩区规划</w:t>
      </w:r>
      <w:r>
        <w:rPr>
          <w:rFonts w:hint="eastAsia" w:ascii="Times New Roman" w:hAnsi="Times New Roman" w:eastAsia="宋体"/>
          <w:color w:val="auto"/>
          <w:sz w:val="24"/>
          <w:szCs w:val="24"/>
          <w:u w:val="single"/>
        </w:rPr>
        <w:t>（</w:t>
      </w:r>
      <w:r>
        <w:rPr>
          <w:rFonts w:ascii="Times New Roman" w:hAnsi="Times New Roman" w:eastAsia="宋体"/>
          <w:color w:val="auto"/>
          <w:sz w:val="24"/>
          <w:szCs w:val="24"/>
          <w:u w:val="single"/>
        </w:rPr>
        <w:t>2020-2030</w:t>
      </w:r>
      <w:r>
        <w:rPr>
          <w:rFonts w:hint="eastAsia" w:ascii="Times New Roman" w:hAnsi="Times New Roman" w:eastAsia="宋体"/>
          <w:color w:val="auto"/>
          <w:sz w:val="24"/>
          <w:szCs w:val="24"/>
          <w:u w:val="single"/>
        </w:rPr>
        <w:t>）</w:t>
      </w:r>
      <w:r>
        <w:rPr>
          <w:rFonts w:ascii="Times New Roman" w:hAnsi="Times New Roman" w:eastAsia="宋体"/>
          <w:color w:val="auto"/>
          <w:sz w:val="24"/>
          <w:szCs w:val="24"/>
          <w:u w:val="single"/>
        </w:rPr>
        <w:t>环境影响报告书》</w:t>
      </w:r>
      <w:r>
        <w:rPr>
          <w:rFonts w:hint="eastAsia" w:ascii="Times New Roman" w:hAnsi="Times New Roman" w:eastAsia="宋体"/>
          <w:color w:val="auto"/>
          <w:sz w:val="24"/>
          <w:szCs w:val="24"/>
          <w:u w:val="single"/>
        </w:rPr>
        <w:t>，并于同年10月取得批复</w:t>
      </w:r>
      <w:r>
        <w:rPr>
          <w:rFonts w:ascii="Times New Roman" w:hAnsi="Times New Roman" w:eastAsia="宋体"/>
          <w:color w:val="auto"/>
          <w:sz w:val="24"/>
          <w:szCs w:val="24"/>
          <w:u w:val="single"/>
        </w:rPr>
        <w:t>（湘环评函[2021]30号）</w:t>
      </w:r>
      <w:r>
        <w:rPr>
          <w:rFonts w:hint="eastAsia" w:ascii="Times New Roman" w:hAnsi="Times New Roman" w:eastAsia="宋体"/>
          <w:color w:val="auto"/>
          <w:sz w:val="24"/>
          <w:szCs w:val="24"/>
          <w:u w:val="single"/>
        </w:rPr>
        <w:t>。</w:t>
      </w:r>
      <w:r>
        <w:rPr>
          <w:rFonts w:ascii="Times New Roman" w:hAnsi="Times New Roman" w:eastAsia="宋体"/>
          <w:color w:val="auto"/>
          <w:sz w:val="24"/>
          <w:szCs w:val="24"/>
          <w:u w:val="single"/>
        </w:rPr>
        <w:t>《湖南省“三线一单”生态环境总体管控要求暨省级以上产业园区生态环境准入清单》（2020年11月）</w:t>
      </w:r>
      <w:r>
        <w:rPr>
          <w:rFonts w:hint="eastAsia" w:ascii="Times New Roman" w:hAnsi="Times New Roman" w:eastAsia="宋体"/>
          <w:color w:val="auto"/>
          <w:sz w:val="24"/>
          <w:szCs w:val="24"/>
          <w:u w:val="single"/>
        </w:rPr>
        <w:t>管控要求部分将根据最新园区规划进行调整。</w:t>
      </w:r>
      <w:r>
        <w:rPr>
          <w:rFonts w:hint="default" w:ascii="Times New Roman" w:hAnsi="Times New Roman" w:eastAsia="宋体" w:cs="Times New Roman"/>
          <w:b w:val="0"/>
          <w:bCs w:val="0"/>
          <w:color w:val="auto"/>
          <w:kern w:val="2"/>
          <w:sz w:val="24"/>
          <w:szCs w:val="21"/>
          <w:highlight w:val="none"/>
          <w:u w:val="single" w:color="auto"/>
          <w:lang w:val="en-US" w:eastAsia="zh-CN" w:bidi="ar-SA"/>
        </w:rPr>
        <w:t>本项目与《湖南省“三线一单”生态环境总体管控要求暨省级以上产业园区生态环境准入清单》（2020年11月）符合性分析详见下表：</w:t>
      </w:r>
    </w:p>
    <w:p w14:paraId="23C8E34A">
      <w:pPr>
        <w:pStyle w:val="11"/>
        <w:spacing w:before="93" w:after="93" w:line="240" w:lineRule="auto"/>
        <w:ind w:firstLine="0"/>
        <w:jc w:val="center"/>
        <w:rPr>
          <w:rFonts w:hint="default" w:ascii="Times New Roman" w:hAnsi="Times New Roman" w:eastAsia="宋体" w:cs="Times New Roman"/>
          <w:b/>
          <w:color w:val="auto"/>
          <w:sz w:val="21"/>
          <w:szCs w:val="21"/>
          <w:highlight w:val="none"/>
          <w:u w:val="single" w:color="auto"/>
        </w:rPr>
      </w:pPr>
      <w:r>
        <w:rPr>
          <w:rFonts w:hint="default" w:ascii="Times New Roman" w:hAnsi="Times New Roman" w:eastAsia="宋体" w:cs="Times New Roman"/>
          <w:b/>
          <w:color w:val="auto"/>
          <w:sz w:val="21"/>
          <w:szCs w:val="21"/>
          <w:highlight w:val="none"/>
          <w:u w:val="single" w:color="auto"/>
        </w:rPr>
        <w:t>表11.5-1《湖南省“三线一单”生态环境总体管控要求暨省级以上产业园区生态环境准入清单》符合性分析</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888"/>
        <w:gridCol w:w="2309"/>
        <w:gridCol w:w="677"/>
      </w:tblGrid>
      <w:tr w14:paraId="374A4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Align w:val="center"/>
          </w:tcPr>
          <w:p w14:paraId="23DA96DA">
            <w:pPr>
              <w:spacing w:line="240" w:lineRule="auto"/>
              <w:jc w:val="center"/>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管控维度</w:t>
            </w:r>
          </w:p>
        </w:tc>
        <w:tc>
          <w:tcPr>
            <w:tcW w:w="2867" w:type="pct"/>
            <w:vAlign w:val="center"/>
          </w:tcPr>
          <w:p w14:paraId="09E9F99A">
            <w:pPr>
              <w:spacing w:line="240" w:lineRule="auto"/>
              <w:jc w:val="center"/>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管控要求</w:t>
            </w:r>
          </w:p>
        </w:tc>
        <w:tc>
          <w:tcPr>
            <w:tcW w:w="1354" w:type="pct"/>
            <w:vAlign w:val="center"/>
          </w:tcPr>
          <w:p w14:paraId="0A6C3937">
            <w:pPr>
              <w:spacing w:line="240" w:lineRule="auto"/>
              <w:jc w:val="center"/>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本项目</w:t>
            </w:r>
          </w:p>
        </w:tc>
        <w:tc>
          <w:tcPr>
            <w:tcW w:w="397" w:type="pct"/>
            <w:vAlign w:val="center"/>
          </w:tcPr>
          <w:p w14:paraId="36742279">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结论</w:t>
            </w:r>
          </w:p>
        </w:tc>
      </w:tr>
      <w:tr w14:paraId="0FA88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Align w:val="center"/>
          </w:tcPr>
          <w:p w14:paraId="77772F3E">
            <w:pPr>
              <w:spacing w:line="240" w:lineRule="auto"/>
              <w:jc w:val="center"/>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空间布局约束</w:t>
            </w:r>
          </w:p>
        </w:tc>
        <w:tc>
          <w:tcPr>
            <w:tcW w:w="2867" w:type="pct"/>
            <w:vAlign w:val="center"/>
          </w:tcPr>
          <w:p w14:paraId="4058D676">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（1.1）园区内不得设置居住用地，工业用地与其他用地之间设置一定距离的绿化缓冲带。</w:t>
            </w:r>
          </w:p>
          <w:p w14:paraId="259C7788">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（1.2）禁止外排废水中主要污染物以镉、汞、铅、砷及其他重金属为主的企业及金属原矿冶炼项目入园。禁止建设制浆造纸、发酵酿</w:t>
            </w:r>
          </w:p>
          <w:p w14:paraId="4695AEBA">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造、制革等废水排放量大的项目。限制引进排放氨气的企业和项目。</w:t>
            </w:r>
          </w:p>
          <w:p w14:paraId="47CCC87D">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（1.3）二类工业用地不得引进食品、医药等行业，园区西面禁止引入气型污染企业。</w:t>
            </w:r>
          </w:p>
          <w:p w14:paraId="02D1D2C5">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（1.4）江东江西两片扩区范围不设三类工业用地，禁止电镀、铅酸电池生产项目以及其他涉及排放重金属废水、废气的项目准入。</w:t>
            </w:r>
          </w:p>
        </w:tc>
        <w:tc>
          <w:tcPr>
            <w:tcW w:w="1354" w:type="pct"/>
            <w:vAlign w:val="center"/>
          </w:tcPr>
          <w:p w14:paraId="3CAAF0E1">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本项目为</w:t>
            </w:r>
            <w:r>
              <w:rPr>
                <w:rFonts w:hint="default" w:ascii="Times New Roman" w:hAnsi="Times New Roman" w:eastAsia="宋体" w:cs="Times New Roman"/>
                <w:color w:val="auto"/>
                <w:sz w:val="21"/>
                <w:szCs w:val="21"/>
                <w:highlight w:val="none"/>
                <w:u w:val="single" w:color="auto"/>
                <w:lang w:eastAsia="zh-CN" w:bidi="en-US"/>
              </w:rPr>
              <w:t>新建项目</w:t>
            </w:r>
            <w:r>
              <w:rPr>
                <w:rFonts w:hint="default" w:ascii="Times New Roman" w:hAnsi="Times New Roman" w:eastAsia="宋体" w:cs="Times New Roman"/>
                <w:color w:val="auto"/>
                <w:sz w:val="21"/>
                <w:szCs w:val="21"/>
                <w:highlight w:val="none"/>
                <w:u w:val="single" w:color="auto"/>
                <w:lang w:bidi="en-US"/>
              </w:rPr>
              <w:t>，属</w:t>
            </w:r>
            <w:r>
              <w:rPr>
                <w:rFonts w:hint="default" w:ascii="Times New Roman" w:hAnsi="Times New Roman" w:eastAsia="宋体" w:cs="Times New Roman"/>
                <w:color w:val="auto"/>
                <w:sz w:val="21"/>
                <w:szCs w:val="21"/>
                <w:highlight w:val="none"/>
                <w:u w:val="single" w:color="auto"/>
                <w:lang w:eastAsia="zh-CN" w:bidi="en-US"/>
              </w:rPr>
              <w:t>非金属材料制造，涉及电镀工序，</w:t>
            </w:r>
            <w:r>
              <w:rPr>
                <w:rFonts w:hint="default" w:ascii="Times New Roman" w:hAnsi="Times New Roman" w:eastAsia="宋体" w:cs="Times New Roman"/>
                <w:color w:val="auto"/>
                <w:sz w:val="21"/>
                <w:szCs w:val="21"/>
                <w:highlight w:val="none"/>
                <w:u w:val="single" w:color="auto"/>
                <w:lang w:val="en-US" w:eastAsia="zh-CN" w:bidi="en-US"/>
              </w:rPr>
              <w:t>不属于电镀工业，且电镀含重金属废水经三效蒸发器蒸</w:t>
            </w:r>
            <w:r>
              <w:rPr>
                <w:rFonts w:hint="eastAsia" w:ascii="Times New Roman" w:hAnsi="Times New Roman" w:eastAsia="宋体" w:cs="Times New Roman"/>
                <w:color w:val="auto"/>
                <w:sz w:val="21"/>
                <w:szCs w:val="21"/>
                <w:highlight w:val="none"/>
                <w:u w:val="single" w:color="auto"/>
                <w:lang w:val="en-US" w:eastAsia="zh-CN" w:bidi="en-US"/>
              </w:rPr>
              <w:t>发</w:t>
            </w:r>
            <w:r>
              <w:rPr>
                <w:rFonts w:hint="default" w:ascii="Times New Roman" w:hAnsi="Times New Roman" w:eastAsia="宋体" w:cs="Times New Roman"/>
                <w:color w:val="auto"/>
                <w:sz w:val="21"/>
                <w:szCs w:val="21"/>
                <w:highlight w:val="none"/>
                <w:u w:val="single" w:color="auto"/>
                <w:lang w:val="en-US" w:eastAsia="zh-CN" w:bidi="en-US"/>
              </w:rPr>
              <w:t>设备蒸发后回用于生产线，不外排，</w:t>
            </w:r>
            <w:r>
              <w:rPr>
                <w:rFonts w:ascii="Times New Roman" w:hAnsi="Times New Roman" w:eastAsia="宋体"/>
                <w:color w:val="auto"/>
                <w:sz w:val="21"/>
                <w:szCs w:val="21"/>
                <w:u w:val="single"/>
              </w:rPr>
              <w:t>外排废水主要为生活污水</w:t>
            </w:r>
            <w:r>
              <w:rPr>
                <w:rFonts w:hint="eastAsia" w:ascii="Times New Roman" w:hAnsi="Times New Roman" w:eastAsia="宋体"/>
                <w:color w:val="auto"/>
                <w:sz w:val="21"/>
                <w:szCs w:val="21"/>
                <w:u w:val="single"/>
                <w:lang w:val="en-US" w:eastAsia="zh-CN"/>
              </w:rPr>
              <w:t>和机加工车间卫生废水、容器清洗废水、直接冷却废水</w:t>
            </w:r>
            <w:r>
              <w:rPr>
                <w:rFonts w:ascii="Times New Roman" w:hAnsi="Times New Roman" w:eastAsia="宋体"/>
                <w:color w:val="auto"/>
                <w:sz w:val="21"/>
                <w:szCs w:val="21"/>
                <w:u w:val="single"/>
              </w:rPr>
              <w:t>，不</w:t>
            </w:r>
            <w:r>
              <w:rPr>
                <w:rFonts w:hint="eastAsia" w:ascii="Times New Roman" w:hAnsi="Times New Roman" w:eastAsia="宋体"/>
                <w:color w:val="auto"/>
                <w:sz w:val="21"/>
                <w:szCs w:val="21"/>
                <w:u w:val="single"/>
                <w:lang w:val="en-US" w:eastAsia="zh-CN"/>
              </w:rPr>
              <w:t>涉及电镀工序且不</w:t>
            </w:r>
            <w:r>
              <w:rPr>
                <w:rFonts w:ascii="Times New Roman" w:hAnsi="Times New Roman" w:eastAsia="宋体"/>
                <w:color w:val="auto"/>
                <w:sz w:val="21"/>
                <w:szCs w:val="21"/>
                <w:u w:val="single"/>
              </w:rPr>
              <w:t>含重金属</w:t>
            </w:r>
            <w:r>
              <w:rPr>
                <w:rFonts w:hint="default" w:ascii="Times New Roman" w:hAnsi="Times New Roman" w:eastAsia="宋体" w:cs="Times New Roman"/>
                <w:color w:val="auto"/>
                <w:sz w:val="21"/>
                <w:szCs w:val="21"/>
                <w:highlight w:val="none"/>
                <w:u w:val="single" w:color="auto"/>
                <w:lang w:val="en-US" w:eastAsia="zh-CN" w:bidi="en-US"/>
              </w:rPr>
              <w:t>。</w:t>
            </w:r>
          </w:p>
        </w:tc>
        <w:tc>
          <w:tcPr>
            <w:tcW w:w="397" w:type="pct"/>
            <w:vAlign w:val="center"/>
          </w:tcPr>
          <w:p w14:paraId="4499DE27">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符合</w:t>
            </w:r>
          </w:p>
        </w:tc>
      </w:tr>
      <w:tr w14:paraId="6EFB8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Merge w:val="restart"/>
            <w:vAlign w:val="center"/>
          </w:tcPr>
          <w:p w14:paraId="1DCF2854">
            <w:pPr>
              <w:spacing w:line="240" w:lineRule="auto"/>
              <w:jc w:val="center"/>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污染物排放管控</w:t>
            </w:r>
          </w:p>
        </w:tc>
        <w:tc>
          <w:tcPr>
            <w:tcW w:w="2867" w:type="pct"/>
            <w:vAlign w:val="center"/>
          </w:tcPr>
          <w:p w14:paraId="58BDA600">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废水：园区排水实施雨污分流，一类污染物在企业车间排放口达标，园区涉重涉危化项目初期雨水进企业污水处理站处理，部分回用，允许外排的废水经松木经济开发区污水处理厂处理达标后外排湘江。园区其他雨水进雨水管道由5个排放口排入湘江。</w:t>
            </w:r>
          </w:p>
        </w:tc>
        <w:tc>
          <w:tcPr>
            <w:tcW w:w="1354" w:type="pct"/>
            <w:vAlign w:val="center"/>
          </w:tcPr>
          <w:p w14:paraId="02759E06">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eastAsia="zh-CN" w:bidi="en-US"/>
              </w:rPr>
              <w:t>含重金属</w:t>
            </w:r>
            <w:r>
              <w:rPr>
                <w:rFonts w:hint="default" w:ascii="Times New Roman" w:hAnsi="Times New Roman" w:eastAsia="宋体" w:cs="Times New Roman"/>
                <w:color w:val="auto"/>
                <w:sz w:val="21"/>
                <w:szCs w:val="21"/>
                <w:highlight w:val="none"/>
                <w:u w:val="single" w:color="auto"/>
                <w:lang w:val="en-US" w:eastAsia="zh-CN" w:bidi="en-US"/>
              </w:rPr>
              <w:t>生产废水经厂区综合废水处理设施处理后部分回用，剩余部分采用三效蒸发器</w:t>
            </w:r>
            <w:r>
              <w:rPr>
                <w:rFonts w:hint="eastAsia" w:ascii="Times New Roman" w:hAnsi="Times New Roman" w:eastAsia="宋体" w:cs="Times New Roman"/>
                <w:color w:val="auto"/>
                <w:sz w:val="21"/>
                <w:szCs w:val="21"/>
                <w:highlight w:val="none"/>
                <w:u w:val="single" w:color="auto"/>
                <w:lang w:val="en-US" w:eastAsia="zh-CN" w:bidi="en-US"/>
              </w:rPr>
              <w:t>蒸发后冷凝水</w:t>
            </w:r>
            <w:r>
              <w:rPr>
                <w:rFonts w:hint="default" w:ascii="Times New Roman" w:hAnsi="Times New Roman" w:eastAsia="宋体" w:cs="Times New Roman"/>
                <w:color w:val="auto"/>
                <w:sz w:val="21"/>
                <w:szCs w:val="21"/>
                <w:highlight w:val="none"/>
                <w:u w:val="single" w:color="auto"/>
                <w:lang w:val="en-US" w:eastAsia="zh-CN" w:bidi="en-US"/>
              </w:rPr>
              <w:t>回用于生产，不外排</w:t>
            </w:r>
          </w:p>
        </w:tc>
        <w:tc>
          <w:tcPr>
            <w:tcW w:w="397" w:type="pct"/>
            <w:vAlign w:val="center"/>
          </w:tcPr>
          <w:p w14:paraId="4FAA27E2">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符合</w:t>
            </w:r>
          </w:p>
        </w:tc>
      </w:tr>
      <w:tr w14:paraId="2D80C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380" w:type="pct"/>
            <w:vMerge w:val="continue"/>
            <w:vAlign w:val="center"/>
          </w:tcPr>
          <w:p w14:paraId="43481E02">
            <w:pPr>
              <w:spacing w:line="240" w:lineRule="auto"/>
              <w:jc w:val="center"/>
              <w:rPr>
                <w:rFonts w:hint="default" w:ascii="Times New Roman" w:hAnsi="Times New Roman" w:eastAsia="宋体" w:cs="Times New Roman"/>
                <w:color w:val="auto"/>
                <w:sz w:val="21"/>
                <w:szCs w:val="21"/>
                <w:highlight w:val="none"/>
                <w:u w:val="single" w:color="auto"/>
                <w:lang w:bidi="en-US"/>
              </w:rPr>
            </w:pPr>
          </w:p>
        </w:tc>
        <w:tc>
          <w:tcPr>
            <w:tcW w:w="2867" w:type="pct"/>
            <w:vAlign w:val="center"/>
          </w:tcPr>
          <w:p w14:paraId="4B222F7C">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废气：入园企业的自备燃煤锅炉配套烟气脱硫除尘措施。对各企业工艺废气产出的生产节点应配置废气收集与净化处理装置，确保达标排放。采取有效措施，减少入园企业工艺废气的无组织排放。交通运输设备制造等制造行业全面实施油性漆改水性漆，减少VOCs</w:t>
            </w:r>
          </w:p>
          <w:p w14:paraId="00B1DF7C">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产生量，强化末端治理，加快推进有机化工、工业涂装等行业企业VOCs治理，确保达标排放。</w:t>
            </w:r>
          </w:p>
        </w:tc>
        <w:tc>
          <w:tcPr>
            <w:tcW w:w="1354" w:type="pct"/>
            <w:vAlign w:val="center"/>
          </w:tcPr>
          <w:p w14:paraId="350C066F">
            <w:pPr>
              <w:spacing w:line="240" w:lineRule="auto"/>
              <w:jc w:val="both"/>
              <w:rPr>
                <w:rFonts w:hint="default" w:ascii="Times New Roman" w:hAnsi="Times New Roman" w:eastAsia="宋体" w:cs="Times New Roman"/>
                <w:color w:val="auto"/>
                <w:sz w:val="21"/>
                <w:szCs w:val="21"/>
                <w:highlight w:val="none"/>
                <w:u w:val="single" w:color="auto"/>
                <w:lang w:eastAsia="zh-CN" w:bidi="en-US"/>
              </w:rPr>
            </w:pPr>
            <w:r>
              <w:rPr>
                <w:rFonts w:hint="default" w:ascii="Times New Roman" w:hAnsi="Times New Roman" w:eastAsia="宋体" w:cs="Times New Roman"/>
                <w:color w:val="auto"/>
                <w:sz w:val="21"/>
                <w:szCs w:val="21"/>
                <w:highlight w:val="none"/>
                <w:u w:val="single" w:color="auto"/>
                <w:lang w:eastAsia="zh-CN" w:bidi="en-US"/>
              </w:rPr>
              <w:t>本项目不设置锅炉，</w:t>
            </w:r>
            <w:r>
              <w:rPr>
                <w:rFonts w:hint="default" w:ascii="Times New Roman" w:hAnsi="Times New Roman" w:eastAsia="宋体" w:cs="Times New Roman"/>
                <w:color w:val="auto"/>
                <w:sz w:val="21"/>
                <w:szCs w:val="21"/>
                <w:highlight w:val="none"/>
                <w:u w:val="single" w:color="auto"/>
                <w:lang w:val="en-US" w:eastAsia="zh-CN" w:bidi="en-US"/>
              </w:rPr>
              <w:t>VOCs（非甲烷总烃）采用</w:t>
            </w:r>
            <w:r>
              <w:rPr>
                <w:rFonts w:hint="eastAsia" w:ascii="Times New Roman" w:hAnsi="Times New Roman" w:eastAsia="宋体" w:cs="Times New Roman"/>
                <w:color w:val="auto"/>
                <w:sz w:val="21"/>
                <w:szCs w:val="21"/>
                <w:highlight w:val="none"/>
                <w:u w:val="single" w:color="auto"/>
                <w:lang w:val="en-US" w:eastAsia="zh-CN" w:bidi="en-US"/>
              </w:rPr>
              <w:t>冷却塔＋干湿过滤器＋活性炭</w:t>
            </w:r>
            <w:r>
              <w:rPr>
                <w:rFonts w:hint="default" w:ascii="Times New Roman" w:hAnsi="Times New Roman" w:eastAsia="宋体" w:cs="Times New Roman"/>
                <w:color w:val="auto"/>
                <w:sz w:val="21"/>
                <w:szCs w:val="21"/>
                <w:highlight w:val="none"/>
                <w:u w:val="single" w:color="auto"/>
                <w:lang w:val="en-US" w:eastAsia="zh-CN" w:bidi="en-US"/>
              </w:rPr>
              <w:t>吸附后</w:t>
            </w:r>
            <w:r>
              <w:rPr>
                <w:rFonts w:hint="eastAsia" w:ascii="Times New Roman" w:hAnsi="Times New Roman" w:eastAsia="宋体" w:cs="Times New Roman"/>
                <w:color w:val="auto"/>
                <w:sz w:val="21"/>
                <w:szCs w:val="21"/>
                <w:highlight w:val="none"/>
                <w:u w:val="single" w:color="auto"/>
                <w:lang w:val="en-US" w:eastAsia="zh-CN" w:bidi="en-US"/>
              </w:rPr>
              <w:t>1</w:t>
            </w:r>
            <w:r>
              <w:rPr>
                <w:rFonts w:hint="default" w:ascii="Times New Roman" w:hAnsi="Times New Roman" w:eastAsia="宋体" w:cs="Times New Roman"/>
                <w:color w:val="auto"/>
                <w:sz w:val="21"/>
                <w:szCs w:val="21"/>
                <w:highlight w:val="none"/>
                <w:u w:val="single" w:color="auto"/>
                <w:lang w:val="en-US" w:eastAsia="zh-CN" w:bidi="en-US"/>
              </w:rPr>
              <w:t>5m高空达标排放，</w:t>
            </w:r>
            <w:r>
              <w:rPr>
                <w:rFonts w:hint="default" w:ascii="Times New Roman" w:hAnsi="Times New Roman" w:eastAsia="宋体" w:cs="Times New Roman"/>
                <w:color w:val="auto"/>
                <w:sz w:val="21"/>
                <w:szCs w:val="21"/>
                <w:highlight w:val="none"/>
                <w:u w:val="single" w:color="auto"/>
                <w:lang w:eastAsia="zh-CN" w:bidi="en-US"/>
              </w:rPr>
              <w:t>各废气产出节点均设有收集与净化设置</w:t>
            </w:r>
          </w:p>
        </w:tc>
        <w:tc>
          <w:tcPr>
            <w:tcW w:w="397" w:type="pct"/>
            <w:vMerge w:val="restart"/>
            <w:vAlign w:val="center"/>
          </w:tcPr>
          <w:p w14:paraId="155CFFAD">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符合</w:t>
            </w:r>
          </w:p>
        </w:tc>
      </w:tr>
      <w:tr w14:paraId="6CEF7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380" w:type="pct"/>
            <w:vMerge w:val="continue"/>
            <w:vAlign w:val="center"/>
          </w:tcPr>
          <w:p w14:paraId="6F45BA3B">
            <w:pPr>
              <w:spacing w:line="240" w:lineRule="auto"/>
              <w:jc w:val="center"/>
              <w:rPr>
                <w:rFonts w:hint="default" w:ascii="Times New Roman" w:hAnsi="Times New Roman" w:eastAsia="宋体" w:cs="Times New Roman"/>
                <w:color w:val="auto"/>
                <w:sz w:val="21"/>
                <w:szCs w:val="21"/>
                <w:highlight w:val="none"/>
                <w:u w:val="single" w:color="auto"/>
                <w:lang w:bidi="en-US"/>
              </w:rPr>
            </w:pPr>
          </w:p>
        </w:tc>
        <w:tc>
          <w:tcPr>
            <w:tcW w:w="2867" w:type="pct"/>
            <w:vAlign w:val="center"/>
          </w:tcPr>
          <w:p w14:paraId="6A96692F">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固废：做好工业固体废物和生活垃圾的分类收集、转运、综合利用和无害化处理，建立统一的固废收集、贮运、综合利用和安120</w:t>
            </w:r>
          </w:p>
          <w:p w14:paraId="62C29A3F">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全处置的运营管理体系。推行清洁生产，减少固体废物产生量；加强固体废物的资源化进程，提高综合利用率；规范固体废物处理措施，</w:t>
            </w:r>
          </w:p>
          <w:p w14:paraId="54ADCDCB">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对工业企业产生固体废物特别是危险固废应按国家有关规定综合利用或妥善处置，严防二次污染。</w:t>
            </w:r>
          </w:p>
        </w:tc>
        <w:tc>
          <w:tcPr>
            <w:tcW w:w="1354" w:type="pct"/>
            <w:vAlign w:val="center"/>
          </w:tcPr>
          <w:p w14:paraId="3CC2A0BE">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本项目设有危废暂存间、一般工业固废暂存间，危废分类暂存于危废暂存间后委托有资质的单位定期清运处置，一般工业固废分类暂存后外售进行综合利用，项目产生的各类固废均能妥善处置</w:t>
            </w:r>
          </w:p>
        </w:tc>
        <w:tc>
          <w:tcPr>
            <w:tcW w:w="397" w:type="pct"/>
            <w:vMerge w:val="continue"/>
            <w:vAlign w:val="center"/>
          </w:tcPr>
          <w:p w14:paraId="4DB793B4">
            <w:pPr>
              <w:spacing w:line="240" w:lineRule="auto"/>
              <w:jc w:val="both"/>
              <w:rPr>
                <w:rFonts w:hint="default" w:ascii="Times New Roman" w:hAnsi="Times New Roman" w:eastAsia="宋体" w:cs="Times New Roman"/>
                <w:color w:val="auto"/>
                <w:sz w:val="21"/>
                <w:szCs w:val="21"/>
                <w:highlight w:val="none"/>
                <w:u w:val="single" w:color="auto"/>
                <w:lang w:bidi="en-US"/>
              </w:rPr>
            </w:pPr>
          </w:p>
        </w:tc>
      </w:tr>
      <w:tr w14:paraId="68722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380" w:type="pct"/>
            <w:vMerge w:val="continue"/>
            <w:vAlign w:val="center"/>
          </w:tcPr>
          <w:p w14:paraId="20F2B497">
            <w:pPr>
              <w:spacing w:line="240" w:lineRule="auto"/>
              <w:jc w:val="center"/>
              <w:rPr>
                <w:rFonts w:hint="default" w:ascii="Times New Roman" w:hAnsi="Times New Roman" w:eastAsia="宋体" w:cs="Times New Roman"/>
                <w:color w:val="auto"/>
                <w:sz w:val="21"/>
                <w:szCs w:val="21"/>
                <w:highlight w:val="none"/>
                <w:u w:val="single" w:color="auto"/>
                <w:lang w:bidi="en-US"/>
              </w:rPr>
            </w:pPr>
          </w:p>
        </w:tc>
        <w:tc>
          <w:tcPr>
            <w:tcW w:w="2867" w:type="pct"/>
            <w:vAlign w:val="center"/>
          </w:tcPr>
          <w:p w14:paraId="0475077D">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园区水泥行业及涉锅炉大气污染物排放应满足《湖南省生态环境厅关于执行污染物特别排放限值（第一批）的公告》的要求。</w:t>
            </w:r>
          </w:p>
        </w:tc>
        <w:tc>
          <w:tcPr>
            <w:tcW w:w="1354" w:type="pct"/>
            <w:vAlign w:val="center"/>
          </w:tcPr>
          <w:p w14:paraId="3C27EE18">
            <w:pPr>
              <w:spacing w:line="240" w:lineRule="auto"/>
              <w:jc w:val="both"/>
              <w:rPr>
                <w:rFonts w:hint="default" w:ascii="Times New Roman" w:hAnsi="Times New Roman" w:eastAsia="宋体" w:cs="Times New Roman"/>
                <w:color w:val="auto"/>
                <w:sz w:val="21"/>
                <w:szCs w:val="21"/>
                <w:highlight w:val="none"/>
                <w:u w:val="single" w:color="auto"/>
                <w:lang w:eastAsia="zh-CN" w:bidi="en-US"/>
              </w:rPr>
            </w:pPr>
            <w:r>
              <w:rPr>
                <w:rFonts w:hint="default" w:ascii="Times New Roman" w:hAnsi="Times New Roman" w:eastAsia="宋体" w:cs="Times New Roman"/>
                <w:color w:val="auto"/>
                <w:sz w:val="21"/>
                <w:szCs w:val="21"/>
                <w:highlight w:val="none"/>
                <w:u w:val="single" w:color="auto"/>
                <w:lang w:eastAsia="zh-CN" w:bidi="en-US"/>
              </w:rPr>
              <w:t>本项目</w:t>
            </w:r>
            <w:r>
              <w:rPr>
                <w:rFonts w:hint="default" w:ascii="Times New Roman" w:hAnsi="Times New Roman" w:eastAsia="宋体" w:cs="Times New Roman"/>
                <w:color w:val="auto"/>
                <w:sz w:val="21"/>
                <w:szCs w:val="21"/>
                <w:highlight w:val="none"/>
                <w:u w:val="single" w:color="auto"/>
                <w:lang w:bidi="en-US"/>
              </w:rPr>
              <w:t>属</w:t>
            </w:r>
            <w:r>
              <w:rPr>
                <w:rFonts w:hint="default" w:ascii="Times New Roman" w:hAnsi="Times New Roman" w:eastAsia="宋体" w:cs="Times New Roman"/>
                <w:color w:val="auto"/>
                <w:sz w:val="21"/>
                <w:szCs w:val="21"/>
                <w:highlight w:val="none"/>
                <w:u w:val="single" w:color="auto"/>
                <w:lang w:eastAsia="zh-CN" w:bidi="en-US"/>
              </w:rPr>
              <w:t>非金属材料制造，不属于水泥行业，不设置锅炉</w:t>
            </w:r>
          </w:p>
        </w:tc>
        <w:tc>
          <w:tcPr>
            <w:tcW w:w="397" w:type="pct"/>
            <w:vAlign w:val="center"/>
          </w:tcPr>
          <w:p w14:paraId="6806DAD7">
            <w:pPr>
              <w:spacing w:line="240" w:lineRule="auto"/>
              <w:jc w:val="both"/>
              <w:rPr>
                <w:rFonts w:hint="default" w:ascii="Times New Roman" w:hAnsi="Times New Roman" w:eastAsia="宋体" w:cs="Times New Roman"/>
                <w:color w:val="auto"/>
                <w:sz w:val="21"/>
                <w:szCs w:val="21"/>
                <w:highlight w:val="none"/>
                <w:u w:val="single" w:color="auto"/>
                <w:lang w:bidi="en-US"/>
              </w:rPr>
            </w:pPr>
          </w:p>
        </w:tc>
      </w:tr>
      <w:tr w14:paraId="43A1D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Align w:val="center"/>
          </w:tcPr>
          <w:p w14:paraId="1CAAAFF7">
            <w:pPr>
              <w:spacing w:line="240" w:lineRule="auto"/>
              <w:jc w:val="center"/>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环境风险防控</w:t>
            </w:r>
          </w:p>
        </w:tc>
        <w:tc>
          <w:tcPr>
            <w:tcW w:w="2867" w:type="pct"/>
            <w:vAlign w:val="center"/>
          </w:tcPr>
          <w:p w14:paraId="15564471">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3.1）园区应建立健全环境风险防控体系，严格落实《湖南衡阳松木经济开发区突发环境事件应急预案》中提出的各项环境风险事故</w:t>
            </w:r>
          </w:p>
          <w:p w14:paraId="6A0357E5">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防范措施，严防环境风险事故发生，提高应急处置能力。</w:t>
            </w:r>
          </w:p>
          <w:p w14:paraId="16BD20D4">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（3.2）园区可能发生突发环境事件的污染物排放企业，生产、储存、运输、使用危险化学品的企业，产生、收集、贮存、运输、利用、</w:t>
            </w:r>
          </w:p>
          <w:p w14:paraId="48824A83">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处置危险废物的企业等应当编制和实施环境应急预案；鼓励其他企业制定单独的环境应急预案，或在突发事件应急预案中制定环境应急预</w:t>
            </w:r>
          </w:p>
          <w:p w14:paraId="632F110D">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案专章，并备案。</w:t>
            </w:r>
          </w:p>
          <w:p w14:paraId="2B3EEC36">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（3.3）建设用地土壤风险防控：</w:t>
            </w:r>
          </w:p>
          <w:p w14:paraId="41BA9183">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结合土壤污染状况详查情况，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w:t>
            </w:r>
          </w:p>
        </w:tc>
        <w:tc>
          <w:tcPr>
            <w:tcW w:w="1354" w:type="pct"/>
            <w:vAlign w:val="center"/>
          </w:tcPr>
          <w:p w14:paraId="2361E967">
            <w:pPr>
              <w:spacing w:line="240" w:lineRule="auto"/>
              <w:jc w:val="both"/>
              <w:rPr>
                <w:rFonts w:hint="default" w:ascii="Times New Roman" w:hAnsi="Times New Roman" w:eastAsia="宋体" w:cs="Times New Roman"/>
                <w:color w:val="auto"/>
                <w:sz w:val="21"/>
                <w:szCs w:val="21"/>
                <w:highlight w:val="none"/>
                <w:u w:val="single" w:color="auto"/>
                <w:lang w:eastAsia="zh-CN" w:bidi="en-US"/>
              </w:rPr>
            </w:pPr>
            <w:r>
              <w:rPr>
                <w:rFonts w:hint="default" w:ascii="Times New Roman" w:hAnsi="Times New Roman" w:eastAsia="宋体" w:cs="Times New Roman"/>
                <w:color w:val="auto"/>
                <w:sz w:val="21"/>
                <w:szCs w:val="21"/>
                <w:highlight w:val="none"/>
                <w:u w:val="single" w:color="auto"/>
                <w:lang w:bidi="en-US"/>
              </w:rPr>
              <w:t>评价要求项目建成后应编制企业突发环境事件应急预案并备案，定期开展应急演练</w:t>
            </w:r>
            <w:r>
              <w:rPr>
                <w:rFonts w:hint="default" w:ascii="Times New Roman" w:hAnsi="Times New Roman" w:eastAsia="宋体" w:cs="Times New Roman"/>
                <w:color w:val="auto"/>
                <w:sz w:val="21"/>
                <w:szCs w:val="21"/>
                <w:highlight w:val="none"/>
                <w:u w:val="single" w:color="auto"/>
                <w:lang w:eastAsia="zh-CN" w:bidi="en-US"/>
              </w:rPr>
              <w:t>，定期开展土壤监测</w:t>
            </w:r>
          </w:p>
        </w:tc>
        <w:tc>
          <w:tcPr>
            <w:tcW w:w="397" w:type="pct"/>
            <w:vAlign w:val="center"/>
          </w:tcPr>
          <w:p w14:paraId="6503904B">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符合</w:t>
            </w:r>
          </w:p>
        </w:tc>
      </w:tr>
      <w:tr w14:paraId="0DF5E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Align w:val="center"/>
          </w:tcPr>
          <w:p w14:paraId="2650B5A4">
            <w:pPr>
              <w:spacing w:line="240" w:lineRule="auto"/>
              <w:jc w:val="center"/>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资源开发效率要求</w:t>
            </w:r>
          </w:p>
        </w:tc>
        <w:tc>
          <w:tcPr>
            <w:tcW w:w="2867" w:type="pct"/>
            <w:vAlign w:val="center"/>
          </w:tcPr>
          <w:p w14:paraId="1D8B236D">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（4.1）能源：新建项目必须使用清洁能源，扩区范围限制新批燃煤设施，现有园区燃煤装置燃煤含硫率在1%以下。提高能源支撑保</w:t>
            </w:r>
          </w:p>
          <w:p w14:paraId="7302C1D5">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障能力、加快转变能源发展方式、推进能源结构调整、促进节能减排。在园区新建燃气热电联产机组，推广天然气利用，提高清洁能源消费比例。到2020年园区年综合能源消费量当量值预测为66.6972万吨标煤，单位GDP能耗当量值预测为0.465吨标煤/万元；到2025年园区年</w:t>
            </w:r>
          </w:p>
          <w:p w14:paraId="78FA70D3">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综合能源消费量当量值预测为90.2298吨标煤，单位GDP能耗当量值预测为0.390吨标煤/万元。</w:t>
            </w:r>
          </w:p>
          <w:p w14:paraId="358912C2">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（4.2）水资源：强化工业节水，淘汰落后的用水技术、工艺、产品和设备，开展高耗水工业行业节水技术改造，开展水平衡测试和</w:t>
            </w:r>
          </w:p>
          <w:p w14:paraId="3DFD1C42">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用水效率评估，大力推广工业水循环利用，推进节水型企业、节水型工业园区建设。实施最严格水资源管理制度考核，突出用水总量和</w:t>
            </w:r>
          </w:p>
          <w:p w14:paraId="0BEC70A6">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强度控制目标，到2020年，石鼓区万元工业增加值用水量比2015年下降32.7%，万元GDP用水量应比2015年下降30%。园区用水总量控制指标2020年为0.19亿立方米，2030年为0.19亿立方米。</w:t>
            </w:r>
          </w:p>
          <w:p w14:paraId="2E4FD70A">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（4.3）土地资源：提高土地使用效率和节约集约程度，园区土地投资强度达到3000万元/公顷。严格执行土地使用标准，工业项目投</w:t>
            </w:r>
          </w:p>
          <w:p w14:paraId="6018935F">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资强度执行《湖南省建设用地指标》（2020版）六等区域控制指标要求。</w:t>
            </w:r>
          </w:p>
        </w:tc>
        <w:tc>
          <w:tcPr>
            <w:tcW w:w="1354" w:type="pct"/>
            <w:vAlign w:val="center"/>
          </w:tcPr>
          <w:p w14:paraId="49E99022">
            <w:pPr>
              <w:spacing w:line="240" w:lineRule="auto"/>
              <w:jc w:val="both"/>
              <w:rPr>
                <w:rFonts w:hint="default" w:ascii="Times New Roman" w:hAnsi="Times New Roman" w:eastAsia="宋体" w:cs="Times New Roman"/>
                <w:color w:val="auto"/>
                <w:sz w:val="21"/>
                <w:szCs w:val="21"/>
                <w:highlight w:val="none"/>
                <w:u w:val="single" w:color="auto"/>
                <w:lang w:eastAsia="zh-CN" w:bidi="en-US"/>
              </w:rPr>
            </w:pPr>
            <w:r>
              <w:rPr>
                <w:rFonts w:hint="default" w:ascii="Times New Roman" w:hAnsi="Times New Roman" w:eastAsia="宋体" w:cs="Times New Roman"/>
                <w:color w:val="auto"/>
                <w:sz w:val="21"/>
                <w:szCs w:val="21"/>
                <w:highlight w:val="none"/>
                <w:u w:val="single" w:color="auto"/>
                <w:lang w:bidi="en-US"/>
              </w:rPr>
              <w:t>本项目</w:t>
            </w:r>
            <w:r>
              <w:rPr>
                <w:rFonts w:hint="default" w:ascii="Times New Roman" w:hAnsi="Times New Roman" w:eastAsia="宋体" w:cs="Times New Roman"/>
                <w:color w:val="auto"/>
                <w:sz w:val="21"/>
                <w:szCs w:val="21"/>
                <w:highlight w:val="none"/>
                <w:u w:val="single" w:color="auto"/>
                <w:lang w:eastAsia="zh-CN" w:bidi="en-US"/>
              </w:rPr>
              <w:t>能源</w:t>
            </w:r>
            <w:r>
              <w:rPr>
                <w:rFonts w:hint="default" w:ascii="Times New Roman" w:hAnsi="Times New Roman" w:eastAsia="宋体" w:cs="Times New Roman"/>
                <w:color w:val="auto"/>
                <w:sz w:val="21"/>
                <w:szCs w:val="21"/>
                <w:highlight w:val="none"/>
                <w:u w:val="single" w:color="auto"/>
                <w:lang w:bidi="en-US"/>
              </w:rPr>
              <w:t>主要为园区电能，不建设燃煤锅炉</w:t>
            </w:r>
            <w:r>
              <w:rPr>
                <w:rFonts w:hint="default" w:ascii="Times New Roman" w:hAnsi="Times New Roman" w:eastAsia="宋体" w:cs="Times New Roman"/>
                <w:color w:val="auto"/>
                <w:sz w:val="21"/>
                <w:szCs w:val="21"/>
                <w:highlight w:val="none"/>
                <w:u w:val="single" w:color="auto"/>
                <w:lang w:eastAsia="zh-CN" w:bidi="en-US"/>
              </w:rPr>
              <w:t>；项目生产废水经处理后优先回用于生产工序，符合节水要求。</w:t>
            </w:r>
          </w:p>
        </w:tc>
        <w:tc>
          <w:tcPr>
            <w:tcW w:w="397" w:type="pct"/>
            <w:vAlign w:val="center"/>
          </w:tcPr>
          <w:p w14:paraId="3BCE175D">
            <w:pPr>
              <w:spacing w:line="240" w:lineRule="auto"/>
              <w:jc w:val="both"/>
              <w:rPr>
                <w:rFonts w:hint="default" w:ascii="Times New Roman" w:hAnsi="Times New Roman" w:eastAsia="宋体" w:cs="Times New Roman"/>
                <w:color w:val="auto"/>
                <w:sz w:val="21"/>
                <w:szCs w:val="21"/>
                <w:highlight w:val="none"/>
                <w:u w:val="single" w:color="auto"/>
                <w:lang w:bidi="en-US"/>
              </w:rPr>
            </w:pPr>
            <w:r>
              <w:rPr>
                <w:rFonts w:hint="default" w:ascii="Times New Roman" w:hAnsi="Times New Roman" w:eastAsia="宋体" w:cs="Times New Roman"/>
                <w:color w:val="auto"/>
                <w:sz w:val="21"/>
                <w:szCs w:val="21"/>
                <w:highlight w:val="none"/>
                <w:u w:val="single" w:color="auto"/>
                <w:lang w:bidi="en-US"/>
              </w:rPr>
              <w:t>符合</w:t>
            </w:r>
          </w:p>
        </w:tc>
      </w:tr>
    </w:tbl>
    <w:p w14:paraId="61865BB7">
      <w:pPr>
        <w:pStyle w:val="52"/>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根据上表的分析，本项目符合《湖南省“三线一单”生态环境总体管控要求暨省级以上产业园区生态环境准入清单》。</w:t>
      </w:r>
    </w:p>
    <w:p w14:paraId="654F1CF7">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10.3.4 与“三线一单”相符性分析</w:t>
      </w:r>
    </w:p>
    <w:p w14:paraId="5F56CA0F">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（1）生态保护红线</w:t>
      </w:r>
    </w:p>
    <w:p w14:paraId="67337483">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生态保护红线是生态空间范围内具有特殊重要生态功能必须实行强制性严格保护的区域。在生态保护红线范围内，严控各类开发建设活动，依法不予审批新建工业项目和矿产开发项目的环评文件。</w:t>
      </w:r>
    </w:p>
    <w:p w14:paraId="548A7EA4">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根据衡阳市生态红线划定结果，松木经开区园区红线范围不属于生态红线范围内。本项目位于松木经开区内，不涉及生态保护红线。</w:t>
      </w:r>
    </w:p>
    <w:p w14:paraId="2382AED8">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（2）环境质量底线</w:t>
      </w:r>
    </w:p>
    <w:p w14:paraId="3C64EDAA">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根据前述分析（第6章）可知，</w:t>
      </w:r>
      <w:r>
        <w:rPr>
          <w:rFonts w:hint="default" w:ascii="Times New Roman" w:hAnsi="Times New Roman" w:eastAsia="宋体" w:cs="Times New Roman"/>
          <w:color w:val="auto"/>
          <w:sz w:val="24"/>
          <w:szCs w:val="24"/>
          <w:highlight w:val="none"/>
          <w:u w:val="none" w:color="auto"/>
        </w:rPr>
        <w:t>20</w:t>
      </w:r>
      <w:r>
        <w:rPr>
          <w:rFonts w:hint="default" w:ascii="Times New Roman" w:hAnsi="Times New Roman" w:eastAsia="宋体" w:cs="Times New Roman"/>
          <w:color w:val="auto"/>
          <w:sz w:val="24"/>
          <w:szCs w:val="24"/>
          <w:highlight w:val="none"/>
          <w:u w:val="none" w:color="auto"/>
          <w:lang w:val="en-US" w:eastAsia="zh-CN"/>
        </w:rPr>
        <w:t>21</w:t>
      </w:r>
      <w:r>
        <w:rPr>
          <w:rFonts w:hint="default" w:ascii="Times New Roman" w:hAnsi="Times New Roman" w:eastAsia="宋体" w:cs="Times New Roman"/>
          <w:color w:val="auto"/>
          <w:sz w:val="24"/>
          <w:szCs w:val="24"/>
          <w:highlight w:val="none"/>
          <w:u w:val="none" w:color="auto"/>
        </w:rPr>
        <w:t>年项目所在区域</w:t>
      </w:r>
      <w:r>
        <w:rPr>
          <w:rFonts w:hint="default" w:ascii="Times New Roman" w:hAnsi="Times New Roman" w:eastAsia="宋体" w:cs="Times New Roman"/>
          <w:color w:val="auto"/>
          <w:sz w:val="24"/>
          <w:szCs w:val="24"/>
          <w:highlight w:val="none"/>
          <w:u w:val="none" w:color="auto"/>
          <w:lang w:eastAsia="zh-CN"/>
        </w:rPr>
        <w:t>环境空气质量</w:t>
      </w:r>
      <w:r>
        <w:rPr>
          <w:rFonts w:hint="default" w:ascii="Times New Roman" w:hAnsi="Times New Roman" w:eastAsia="宋体" w:cs="Times New Roman"/>
          <w:color w:val="auto"/>
          <w:sz w:val="24"/>
          <w:szCs w:val="24"/>
          <w:highlight w:val="none"/>
          <w:u w:val="none" w:color="auto"/>
        </w:rPr>
        <w:t>为不达标区，超标因子为PM2.5</w:t>
      </w:r>
      <w:r>
        <w:rPr>
          <w:rFonts w:hint="default" w:ascii="Times New Roman" w:hAnsi="Times New Roman" w:eastAsia="宋体" w:cs="Times New Roman"/>
          <w:color w:val="auto"/>
          <w:sz w:val="24"/>
          <w:szCs w:val="24"/>
          <w:highlight w:val="none"/>
          <w:u w:val="none" w:color="auto"/>
          <w:lang w:val="en-US" w:eastAsia="zh-CN"/>
        </w:rPr>
        <w:t>（36</w:t>
      </w:r>
      <w:r>
        <w:rPr>
          <w:rFonts w:hint="default" w:ascii="Times New Roman" w:hAnsi="Times New Roman" w:eastAsia="宋体" w:cs="Times New Roman"/>
          <w:snapToGrid/>
          <w:color w:val="auto"/>
          <w:sz w:val="24"/>
          <w:szCs w:val="24"/>
          <w:highlight w:val="none"/>
          <w:u w:val="none" w:color="auto"/>
        </w:rPr>
        <w:t>μg/m</w:t>
      </w:r>
      <w:r>
        <w:rPr>
          <w:rFonts w:hint="default" w:ascii="Times New Roman" w:hAnsi="Times New Roman" w:eastAsia="宋体" w:cs="Times New Roman"/>
          <w:snapToGrid/>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但能满足</w:t>
      </w:r>
      <w:r>
        <w:rPr>
          <w:rFonts w:hint="default" w:ascii="Times New Roman" w:hAnsi="Times New Roman" w:eastAsia="宋体" w:cs="Times New Roman"/>
          <w:color w:val="auto"/>
          <w:sz w:val="24"/>
          <w:szCs w:val="24"/>
          <w:highlight w:val="none"/>
          <w:u w:val="none" w:color="auto"/>
          <w:lang w:val="en-US" w:eastAsia="zh-CN"/>
        </w:rPr>
        <w:t>2021年项目所在区域</w:t>
      </w:r>
      <w:r>
        <w:rPr>
          <w:rFonts w:hint="default" w:ascii="Times New Roman" w:hAnsi="Times New Roman" w:eastAsia="宋体" w:cs="Times New Roman"/>
          <w:color w:val="auto"/>
          <w:sz w:val="24"/>
          <w:szCs w:val="24"/>
          <w:highlight w:val="none"/>
          <w:u w:val="none" w:color="auto"/>
        </w:rPr>
        <w:t>PM</w:t>
      </w:r>
      <w:r>
        <w:rPr>
          <w:rFonts w:hint="default" w:ascii="Times New Roman" w:hAnsi="Times New Roman" w:eastAsia="宋体" w:cs="Times New Roman"/>
          <w:color w:val="auto"/>
          <w:sz w:val="24"/>
          <w:szCs w:val="24"/>
          <w:highlight w:val="none"/>
          <w:u w:val="none" w:color="auto"/>
          <w:vertAlign w:val="subscript"/>
        </w:rPr>
        <w:t>2.5</w:t>
      </w:r>
      <w:r>
        <w:rPr>
          <w:rFonts w:hint="default" w:ascii="Times New Roman" w:hAnsi="Times New Roman" w:eastAsia="宋体" w:cs="Times New Roman"/>
          <w:color w:val="auto"/>
          <w:sz w:val="24"/>
          <w:szCs w:val="24"/>
          <w:highlight w:val="none"/>
          <w:u w:val="none" w:color="auto"/>
          <w:lang w:val="en-US" w:eastAsia="zh-CN"/>
        </w:rPr>
        <w:t>目标值（38.5</w:t>
      </w:r>
      <w:r>
        <w:rPr>
          <w:rFonts w:hint="default" w:ascii="Times New Roman" w:hAnsi="Times New Roman" w:eastAsia="宋体" w:cs="Times New Roman"/>
          <w:snapToGrid/>
          <w:color w:val="auto"/>
          <w:sz w:val="24"/>
          <w:szCs w:val="24"/>
          <w:highlight w:val="none"/>
          <w:u w:val="none" w:color="auto"/>
        </w:rPr>
        <w:t>μg/m</w:t>
      </w:r>
      <w:r>
        <w:rPr>
          <w:rFonts w:hint="default" w:ascii="Times New Roman" w:hAnsi="Times New Roman" w:eastAsia="宋体" w:cs="Times New Roman"/>
          <w:snapToGrid/>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snapToGrid/>
          <w:color w:val="auto"/>
          <w:sz w:val="24"/>
          <w:szCs w:val="24"/>
          <w:highlight w:val="none"/>
          <w:u w:val="none" w:color="auto"/>
          <w:vertAlign w:val="baseline"/>
          <w:lang w:eastAsia="zh-CN"/>
        </w:rPr>
        <w:t>，项目所在区域已满足目标值要求</w:t>
      </w:r>
      <w:r>
        <w:rPr>
          <w:rFonts w:hint="default" w:ascii="Times New Roman" w:hAnsi="Times New Roman" w:eastAsia="宋体" w:cs="Times New Roman"/>
          <w:b w:val="0"/>
          <w:bCs w:val="0"/>
          <w:color w:val="auto"/>
          <w:kern w:val="2"/>
          <w:sz w:val="24"/>
          <w:szCs w:val="21"/>
          <w:highlight w:val="none"/>
          <w:u w:val="none" w:color="auto"/>
          <w:lang w:val="en-US" w:eastAsia="zh-CN" w:bidi="ar-SA"/>
        </w:rPr>
        <w:t>；项目所在区域地表水、声环境、地下水及土壤都能达到相应质量标准要求。由工程分析和环境影响预测可知，本项目建设对周边环境影响较小，可以接受。且本项目废气主要污染因子不涉及颗粒物，未触及环境质量底线。</w:t>
      </w:r>
    </w:p>
    <w:p w14:paraId="66E1F280">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（3）资源利用上线</w:t>
      </w:r>
    </w:p>
    <w:p w14:paraId="74B4C54D">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本项目为超硬材料生产，不属于高能耗高资源消耗的行业，能源消耗量小。未触及资源利用上线。</w:t>
      </w:r>
    </w:p>
    <w:p w14:paraId="51500212">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（4）环境准入负面清单</w:t>
      </w:r>
    </w:p>
    <w:p w14:paraId="1EF245B1">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根据前述分析（10.2.3节、10.3.3节），项目不属于湖南衡阳松木经济开发区环境准入行业负面清单，符合《湖南省“三线一单”生态环境总体管控要求暨省级以上产业园区生态环境准入清单》的要求。</w:t>
      </w:r>
    </w:p>
    <w:p w14:paraId="46046E58">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综上所述，本项目符合“三线一单”的要求。</w:t>
      </w:r>
    </w:p>
    <w:p w14:paraId="0557A243">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single" w:color="auto"/>
          <w:lang w:val="en-US" w:eastAsia="zh-CN"/>
        </w:rPr>
      </w:pPr>
      <w:r>
        <w:rPr>
          <w:rFonts w:hint="default" w:ascii="Times New Roman" w:hAnsi="Times New Roman" w:eastAsia="宋体" w:cs="Times New Roman"/>
          <w:b/>
          <w:bCs/>
          <w:color w:val="auto"/>
          <w:sz w:val="24"/>
          <w:szCs w:val="24"/>
          <w:highlight w:val="none"/>
          <w:u w:val="single" w:color="auto"/>
          <w:lang w:val="en-US" w:eastAsia="zh-CN"/>
        </w:rPr>
        <w:t>10.3.5 与《湖南省长江经济带发展负面清单实施细则（试行）2022版》相符性分析</w:t>
      </w:r>
    </w:p>
    <w:p w14:paraId="36FFF779">
      <w:pPr>
        <w:pStyle w:val="52"/>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湖南省推动长江经济带发展领导小组办公室2022年6月30日发布了第70号文件“关于印发《湖南省长江经济带发展负面清单实施细则（试行）</w:t>
      </w:r>
      <w:r>
        <w:rPr>
          <w:rFonts w:hint="default" w:ascii="Times New Roman" w:hAnsi="Times New Roman" w:eastAsia="宋体" w:cs="Times New Roman"/>
          <w:b w:val="0"/>
          <w:bCs w:val="0"/>
          <w:color w:val="auto"/>
          <w:sz w:val="24"/>
          <w:szCs w:val="24"/>
          <w:highlight w:val="none"/>
          <w:u w:val="single" w:color="auto"/>
          <w:lang w:val="en-US" w:eastAsia="zh-CN"/>
        </w:rPr>
        <w:t>2022版</w:t>
      </w:r>
      <w:r>
        <w:rPr>
          <w:rFonts w:hint="default" w:ascii="Times New Roman" w:hAnsi="Times New Roman" w:eastAsia="宋体" w:cs="Times New Roman"/>
          <w:b w:val="0"/>
          <w:bCs w:val="0"/>
          <w:color w:val="auto"/>
          <w:kern w:val="2"/>
          <w:sz w:val="24"/>
          <w:szCs w:val="21"/>
          <w:highlight w:val="none"/>
          <w:u w:val="single" w:color="auto"/>
          <w:lang w:val="en-US" w:eastAsia="zh-CN" w:bidi="ar-SA"/>
        </w:rPr>
        <w:t>》的通知”，其中明确指出了以下负面清单：“第九条、禁止在水产种质资源保护区的岸线和河段范围内新建排污口、实施非法围垦河道和围湖造田造地等投资建设项目；第十五条、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w:t>
      </w:r>
      <w:r>
        <w:rPr>
          <w:rFonts w:hint="eastAsia" w:ascii="Times New Roman" w:hAnsi="Times New Roman" w:eastAsia="宋体" w:cs="Times New Roman"/>
          <w:b w:val="0"/>
          <w:bCs w:val="0"/>
          <w:color w:val="auto"/>
          <w:kern w:val="2"/>
          <w:sz w:val="24"/>
          <w:szCs w:val="21"/>
          <w:highlight w:val="none"/>
          <w:u w:val="single" w:color="auto"/>
          <w:lang w:val="en-US" w:eastAsia="zh-CN" w:bidi="ar-SA"/>
        </w:rPr>
        <w:t>的</w:t>
      </w:r>
      <w:r>
        <w:rPr>
          <w:rFonts w:hint="default" w:ascii="Times New Roman" w:hAnsi="Times New Roman" w:eastAsia="宋体" w:cs="Times New Roman"/>
          <w:b w:val="0"/>
          <w:bCs w:val="0"/>
          <w:color w:val="auto"/>
          <w:kern w:val="2"/>
          <w:sz w:val="24"/>
          <w:szCs w:val="21"/>
          <w:highlight w:val="none"/>
          <w:u w:val="single" w:color="auto"/>
          <w:lang w:val="en-US" w:eastAsia="zh-CN" w:bidi="ar-SA"/>
        </w:rPr>
        <w:t>改建除外。”</w:t>
      </w:r>
    </w:p>
    <w:p w14:paraId="54D97A99">
      <w:pPr>
        <w:pStyle w:val="52"/>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本项目不新建排污口，</w:t>
      </w:r>
      <w:r>
        <w:rPr>
          <w:rFonts w:hint="eastAsia" w:ascii="Times New Roman" w:hAnsi="Times New Roman" w:eastAsia="宋体" w:cs="Times New Roman"/>
          <w:b w:val="0"/>
          <w:bCs w:val="0"/>
          <w:color w:val="auto"/>
          <w:kern w:val="2"/>
          <w:sz w:val="24"/>
          <w:szCs w:val="21"/>
          <w:highlight w:val="none"/>
          <w:u w:val="single" w:color="auto"/>
          <w:lang w:val="en-US" w:eastAsia="zh-CN" w:bidi="ar-SA"/>
        </w:rPr>
        <w:t>电镀</w:t>
      </w:r>
      <w:r>
        <w:rPr>
          <w:rFonts w:hint="default" w:ascii="Times New Roman" w:hAnsi="Times New Roman" w:eastAsia="宋体" w:cs="Times New Roman"/>
          <w:b w:val="0"/>
          <w:bCs w:val="0"/>
          <w:color w:val="auto"/>
          <w:kern w:val="2"/>
          <w:sz w:val="24"/>
          <w:szCs w:val="21"/>
          <w:highlight w:val="none"/>
          <w:u w:val="single" w:color="auto"/>
          <w:lang w:val="en-US" w:eastAsia="zh-CN" w:bidi="ar-SA"/>
        </w:rPr>
        <w:t>生产废水</w:t>
      </w:r>
      <w:r>
        <w:rPr>
          <w:rFonts w:hint="eastAsia" w:ascii="Times New Roman" w:hAnsi="Times New Roman" w:eastAsia="宋体" w:cs="Times New Roman"/>
          <w:b w:val="0"/>
          <w:bCs w:val="0"/>
          <w:color w:val="auto"/>
          <w:kern w:val="2"/>
          <w:sz w:val="24"/>
          <w:szCs w:val="21"/>
          <w:highlight w:val="none"/>
          <w:u w:val="single" w:color="auto"/>
          <w:lang w:val="en-US" w:eastAsia="zh-CN" w:bidi="ar-SA"/>
        </w:rPr>
        <w:t>及其辅助生产废水</w:t>
      </w:r>
      <w:r>
        <w:rPr>
          <w:rFonts w:hint="default" w:ascii="Times New Roman" w:hAnsi="Times New Roman" w:eastAsia="宋体" w:cs="Times New Roman"/>
          <w:b w:val="0"/>
          <w:bCs w:val="0"/>
          <w:color w:val="auto"/>
          <w:kern w:val="2"/>
          <w:sz w:val="24"/>
          <w:szCs w:val="21"/>
          <w:highlight w:val="none"/>
          <w:u w:val="single" w:color="auto"/>
          <w:lang w:val="en-US" w:eastAsia="zh-CN" w:bidi="ar-SA"/>
        </w:rPr>
        <w:t>经厂区废水处理设施处理后部分回用，剩余部分采用</w:t>
      </w:r>
      <w:r>
        <w:rPr>
          <w:rFonts w:hint="default" w:ascii="Times New Roman" w:hAnsi="Times New Roman" w:eastAsia="宋体" w:cs="Times New Roman"/>
          <w:color w:val="auto"/>
          <w:sz w:val="24"/>
          <w:szCs w:val="24"/>
          <w:highlight w:val="none"/>
          <w:u w:val="single" w:color="auto"/>
          <w:lang w:val="en-US" w:eastAsia="zh-CN"/>
        </w:rPr>
        <w:t>三效蒸发器</w:t>
      </w:r>
      <w:r>
        <w:rPr>
          <w:rFonts w:hint="eastAsia" w:ascii="Times New Roman" w:hAnsi="Times New Roman" w:eastAsia="宋体" w:cs="Times New Roman"/>
          <w:color w:val="auto"/>
          <w:sz w:val="24"/>
          <w:szCs w:val="24"/>
          <w:highlight w:val="none"/>
          <w:u w:val="single" w:color="auto"/>
          <w:lang w:val="en-US" w:eastAsia="zh-CN"/>
        </w:rPr>
        <w:t>蒸发后冷凝水</w:t>
      </w:r>
      <w:r>
        <w:rPr>
          <w:rFonts w:hint="default" w:ascii="Times New Roman" w:hAnsi="Times New Roman" w:eastAsia="宋体" w:cs="Times New Roman"/>
          <w:b w:val="0"/>
          <w:bCs w:val="0"/>
          <w:color w:val="auto"/>
          <w:kern w:val="2"/>
          <w:sz w:val="24"/>
          <w:szCs w:val="21"/>
          <w:highlight w:val="none"/>
          <w:u w:val="single" w:color="auto"/>
          <w:lang w:val="en-US" w:eastAsia="zh-CN" w:bidi="ar-SA"/>
        </w:rPr>
        <w:t>回用于生产，不外排；</w:t>
      </w:r>
      <w:r>
        <w:rPr>
          <w:rFonts w:hint="eastAsia" w:ascii="Times New Roman" w:hAnsi="Times New Roman" w:eastAsia="宋体" w:cs="Times New Roman"/>
          <w:color w:val="auto"/>
          <w:sz w:val="24"/>
          <w:szCs w:val="24"/>
          <w:highlight w:val="none"/>
          <w:u w:val="none" w:color="auto"/>
          <w:lang w:val="en-US" w:eastAsia="zh-CN"/>
        </w:rPr>
        <w:t>机加工车间废水（卫生废水、容器清洗废水、直接冷却废水）</w:t>
      </w:r>
      <w:r>
        <w:rPr>
          <w:rFonts w:hint="eastAsia" w:ascii="Times New Roman" w:hAnsi="Times New Roman" w:eastAsia="宋体" w:cs="Times New Roman"/>
          <w:b w:val="0"/>
          <w:bCs w:val="0"/>
          <w:color w:val="auto"/>
          <w:kern w:val="2"/>
          <w:sz w:val="24"/>
          <w:szCs w:val="21"/>
          <w:highlight w:val="none"/>
          <w:u w:val="single" w:color="auto"/>
          <w:lang w:val="en-US" w:eastAsia="zh-CN" w:bidi="ar-SA"/>
        </w:rPr>
        <w:t>经独立沉淀池处理后</w:t>
      </w:r>
      <w:r>
        <w:rPr>
          <w:rFonts w:hint="default" w:ascii="Times New Roman" w:hAnsi="Times New Roman" w:eastAsia="宋体" w:cs="Times New Roman"/>
          <w:b w:val="0"/>
          <w:bCs w:val="0"/>
          <w:color w:val="auto"/>
          <w:kern w:val="2"/>
          <w:sz w:val="24"/>
          <w:szCs w:val="21"/>
          <w:highlight w:val="none"/>
          <w:u w:val="single" w:color="auto"/>
          <w:lang w:val="en-US" w:eastAsia="zh-CN" w:bidi="ar-SA"/>
        </w:rPr>
        <w:t>排入园区管网进入松木污水处理厂深度处理达标后外排湘江</w:t>
      </w:r>
      <w:r>
        <w:rPr>
          <w:rFonts w:hint="eastAsia" w:ascii="Times New Roman" w:hAnsi="Times New Roman" w:eastAsia="宋体" w:cs="Times New Roman"/>
          <w:b w:val="0"/>
          <w:bCs w:val="0"/>
          <w:color w:val="auto"/>
          <w:kern w:val="2"/>
          <w:sz w:val="24"/>
          <w:szCs w:val="21"/>
          <w:highlight w:val="none"/>
          <w:u w:val="single" w:color="auto"/>
          <w:lang w:val="en-US" w:eastAsia="zh-CN" w:bidi="ar-SA"/>
        </w:rPr>
        <w:t>；</w:t>
      </w:r>
      <w:r>
        <w:rPr>
          <w:rFonts w:hint="default" w:ascii="Times New Roman" w:hAnsi="Times New Roman" w:eastAsia="宋体" w:cs="Times New Roman"/>
          <w:b w:val="0"/>
          <w:bCs w:val="0"/>
          <w:color w:val="auto"/>
          <w:kern w:val="2"/>
          <w:sz w:val="24"/>
          <w:szCs w:val="21"/>
          <w:highlight w:val="none"/>
          <w:u w:val="single" w:color="auto"/>
          <w:lang w:val="en-US" w:eastAsia="zh-CN" w:bidi="ar-SA"/>
        </w:rPr>
        <w:t>生活污水经预处理后排入园区管网进入松木污水处理厂深度处理达标后外排湘江；本项目位于松木工业园，不属于钢铁、石化、化工、焦化、建材、有色等高污染项目。因此，本项目的建设与《湖南省长江经济带发展负面清单实施细则（试行）》相符。</w:t>
      </w:r>
    </w:p>
    <w:p w14:paraId="6B8C92FF">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13" w:name="_Toc13690"/>
      <w:r>
        <w:rPr>
          <w:rFonts w:hint="default" w:ascii="Times New Roman" w:hAnsi="Times New Roman" w:eastAsia="宋体" w:cs="Times New Roman"/>
          <w:color w:val="auto"/>
          <w:sz w:val="28"/>
          <w:szCs w:val="28"/>
          <w:highlight w:val="none"/>
          <w:u w:val="none" w:color="auto"/>
          <w:lang w:val="en-US" w:eastAsia="zh-CN"/>
        </w:rPr>
        <w:t>10.4 选址与总平面布局合理性分析</w:t>
      </w:r>
      <w:bookmarkEnd w:id="113"/>
    </w:p>
    <w:p w14:paraId="5CCB07B6">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10.4.1 选址合理性分析</w:t>
      </w:r>
    </w:p>
    <w:p w14:paraId="40AA1945">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本项目选址于衡阳市松木经开区化工片区，目前松木经开区内道路、水、电、通讯、有线电视、网络、天然气、码头等基础设施日臻完善，具备了承接大型企业和大项目入园投资建设的条件。</w:t>
      </w:r>
    </w:p>
    <w:p w14:paraId="6AC26A70">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本项目可充分利用工业园的道路、供水、供电、污水处理厂等基础设施。项目生活污水送松木污水处理厂处理，废水入湘江排污口位于衡阳市城区自来水厂取水口下游4000米，有利于保护衡阳市城区自来水厂取水口水质。根据湖南衡阳松木经济开发区扩区规划，本项目所在地为工业用地，本项目选址合理可行。</w:t>
      </w:r>
    </w:p>
    <w:p w14:paraId="78BB5B50">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10.4.2平面布局合理性分析</w:t>
      </w:r>
    </w:p>
    <w:p w14:paraId="5C92C78E">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项目总平面布局既考虑了生产工艺的连贯性，又满足环保、消防和安全的要求，并充分考虑了生产和运输需要。物流、人流、车流通畅，装置之间布局合理。项目总平面布置功能分区明确，流程通畅，管线短捷，管理方便。</w:t>
      </w:r>
    </w:p>
    <w:p w14:paraId="6E29D855">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14" w:name="_Toc10641"/>
      <w:r>
        <w:rPr>
          <w:rFonts w:hint="default" w:ascii="Times New Roman" w:hAnsi="Times New Roman" w:eastAsia="宋体" w:cs="Times New Roman"/>
          <w:color w:val="auto"/>
          <w:sz w:val="28"/>
          <w:szCs w:val="28"/>
          <w:highlight w:val="none"/>
          <w:u w:val="none" w:color="auto"/>
          <w:lang w:val="en-US" w:eastAsia="zh-CN"/>
        </w:rPr>
        <w:t>10.5 环境制约因素分析</w:t>
      </w:r>
      <w:bookmarkEnd w:id="114"/>
    </w:p>
    <w:p w14:paraId="4AC92D9B">
      <w:pPr>
        <w:pStyle w:val="52"/>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根据《湖南省环境保护厅关于湖南正园动力配件有限公司整体搬迁环评审批权限的复函》（湘环函[2016]263号）可知：一、湘环发[2015]31号文所列“电镀项目”是指以电镀工艺为主或承接外委电镀的建设项目。二、其他涉及电镀工艺的建设项目，原则上电镀工序应委托合法专业电镀单位，确因工艺流程需要不能外委的，应依法依规严格控制重金属污染，确保环境安全。故本项目不属于电镀项目，仅涉及电镀工序，由于本项目电镀工艺与普通的表面装饰电镀工艺完全不同，电镀金刚石属于复合功能性电镀，是由金刚石与镍共沉积得到的，工艺要求非常高，要求在工作面的每个部分镀层厚度要均匀一致，镀层太厚金刚石会被全部埋住失去切削力，镀层太薄金刚石受到冲击易脱落报废，传统的电镀厂不能代为加工(外委)，且衡阳市电镀中心自身不具备该电镀能力。</w:t>
      </w:r>
    </w:p>
    <w:p w14:paraId="602BCFF0">
      <w:pPr>
        <w:pStyle w:val="52"/>
        <w:rPr>
          <w:rFonts w:ascii="Times New Roman" w:hAnsi="Times New Roman" w:eastAsia="宋体"/>
          <w:color w:val="auto"/>
          <w:sz w:val="24"/>
          <w:szCs w:val="24"/>
          <w:u w:val="single"/>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本项目</w:t>
      </w:r>
      <w:r>
        <w:rPr>
          <w:rFonts w:hint="eastAsia" w:ascii="Times New Roman" w:hAnsi="Times New Roman" w:eastAsia="宋体" w:cs="Times New Roman"/>
          <w:b w:val="0"/>
          <w:bCs w:val="0"/>
          <w:color w:val="auto"/>
          <w:kern w:val="2"/>
          <w:sz w:val="24"/>
          <w:szCs w:val="21"/>
          <w:highlight w:val="none"/>
          <w:u w:val="single" w:color="auto"/>
          <w:lang w:val="en-US" w:eastAsia="zh-CN" w:bidi="ar-SA"/>
        </w:rPr>
        <w:t>位于</w:t>
      </w:r>
      <w:r>
        <w:rPr>
          <w:rFonts w:ascii="Times New Roman" w:hAnsi="Times New Roman" w:eastAsia="宋体"/>
          <w:color w:val="auto"/>
          <w:sz w:val="24"/>
          <w:szCs w:val="24"/>
          <w:highlight w:val="none"/>
          <w:u w:val="single" w:color="auto"/>
        </w:rPr>
        <w:t>湖南衡阳松木经济开发区</w:t>
      </w:r>
      <w:r>
        <w:rPr>
          <w:rFonts w:hint="eastAsia" w:ascii="Times New Roman" w:hAnsi="Times New Roman" w:eastAsia="宋体"/>
          <w:color w:val="auto"/>
          <w:sz w:val="24"/>
          <w:szCs w:val="24"/>
          <w:highlight w:val="none"/>
          <w:u w:val="single" w:color="auto"/>
          <w:lang w:eastAsia="zh-CN"/>
        </w:rPr>
        <w:t>化工片区，</w:t>
      </w:r>
      <w:r>
        <w:rPr>
          <w:rFonts w:hint="default" w:ascii="Times New Roman" w:hAnsi="Times New Roman" w:eastAsia="宋体" w:cs="Times New Roman"/>
          <w:b w:val="0"/>
          <w:bCs w:val="0"/>
          <w:color w:val="auto"/>
          <w:kern w:val="2"/>
          <w:sz w:val="24"/>
          <w:szCs w:val="21"/>
          <w:highlight w:val="none"/>
          <w:u w:val="single" w:color="auto"/>
          <w:lang w:val="en-US" w:eastAsia="zh-CN" w:bidi="ar-SA"/>
        </w:rPr>
        <w:t>距离湘江1.8km，根据</w:t>
      </w:r>
      <w:r>
        <w:rPr>
          <w:rFonts w:ascii="Times New Roman" w:hAnsi="Times New Roman" w:eastAsia="宋体"/>
          <w:color w:val="auto"/>
          <w:sz w:val="24"/>
          <w:szCs w:val="24"/>
          <w:highlight w:val="none"/>
          <w:u w:val="single" w:color="auto"/>
        </w:rPr>
        <w:t>湖南衡阳松木经济开发区</w:t>
      </w:r>
      <w:r>
        <w:rPr>
          <w:rFonts w:hint="eastAsia" w:ascii="Times New Roman" w:hAnsi="Times New Roman" w:eastAsia="宋体"/>
          <w:color w:val="auto"/>
          <w:sz w:val="24"/>
          <w:szCs w:val="24"/>
          <w:highlight w:val="none"/>
          <w:u w:val="single" w:color="auto"/>
          <w:lang w:eastAsia="zh-CN"/>
        </w:rPr>
        <w:t>化工片区</w:t>
      </w:r>
      <w:r>
        <w:rPr>
          <w:rFonts w:hint="default" w:ascii="Times New Roman" w:hAnsi="Times New Roman" w:eastAsia="宋体" w:cs="Times New Roman"/>
          <w:b w:val="0"/>
          <w:bCs w:val="0"/>
          <w:color w:val="auto"/>
          <w:kern w:val="2"/>
          <w:sz w:val="24"/>
          <w:szCs w:val="21"/>
          <w:highlight w:val="none"/>
          <w:u w:val="single" w:color="auto"/>
          <w:lang w:val="en-US" w:eastAsia="zh-CN" w:bidi="ar-SA"/>
        </w:rPr>
        <w:t>的产业准入要求，本项目产品为超硬材料，不属于电镀工业，仅涉及电镀工序。</w:t>
      </w:r>
      <w:r>
        <w:rPr>
          <w:rFonts w:hint="eastAsia" w:ascii="Times New Roman" w:hAnsi="Times New Roman" w:eastAsia="宋体"/>
          <w:color w:val="auto"/>
          <w:sz w:val="24"/>
          <w:szCs w:val="24"/>
          <w:u w:val="single"/>
        </w:rPr>
        <w:t>本项目</w:t>
      </w:r>
      <w:r>
        <w:rPr>
          <w:rFonts w:hint="eastAsia" w:ascii="Times New Roman" w:hAnsi="Times New Roman" w:eastAsia="宋体"/>
          <w:color w:val="auto"/>
          <w:sz w:val="24"/>
          <w:szCs w:val="24"/>
          <w:u w:val="single"/>
          <w:lang w:val="en-US" w:eastAsia="zh-CN"/>
        </w:rPr>
        <w:t>电镀工序</w:t>
      </w:r>
      <w:r>
        <w:rPr>
          <w:rFonts w:hint="eastAsia" w:ascii="Times New Roman" w:hAnsi="Times New Roman" w:eastAsia="宋体"/>
          <w:color w:val="auto"/>
          <w:sz w:val="24"/>
          <w:szCs w:val="24"/>
          <w:u w:val="single"/>
        </w:rPr>
        <w:t>生产废水</w:t>
      </w:r>
      <w:r>
        <w:rPr>
          <w:rFonts w:hint="eastAsia" w:ascii="Times New Roman" w:hAnsi="Times New Roman" w:eastAsia="宋体"/>
          <w:color w:val="auto"/>
          <w:sz w:val="24"/>
          <w:szCs w:val="24"/>
          <w:u w:val="single"/>
          <w:lang w:val="en-US" w:eastAsia="zh-CN"/>
        </w:rPr>
        <w:t>及其辅助生产废水</w:t>
      </w:r>
      <w:r>
        <w:rPr>
          <w:rFonts w:hint="eastAsia" w:ascii="Times New Roman" w:hAnsi="Times New Roman" w:eastAsia="宋体"/>
          <w:color w:val="auto"/>
          <w:sz w:val="24"/>
          <w:szCs w:val="24"/>
          <w:u w:val="single"/>
        </w:rPr>
        <w:t>产生量约46.284</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/d</w:t>
      </w:r>
      <w:r>
        <w:rPr>
          <w:rFonts w:hint="eastAsia" w:ascii="Times New Roman" w:hAnsi="Times New Roman" w:eastAsia="宋体"/>
          <w:color w:val="auto"/>
          <w:sz w:val="24"/>
          <w:szCs w:val="24"/>
          <w:u w:val="single"/>
        </w:rPr>
        <w:t>，在线直接回用量约13.794</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/d</w:t>
      </w:r>
      <w:r>
        <w:rPr>
          <w:rFonts w:hint="eastAsia" w:ascii="Times New Roman" w:hAnsi="Times New Roman" w:eastAsia="宋体"/>
          <w:color w:val="auto"/>
          <w:sz w:val="24"/>
          <w:szCs w:val="24"/>
          <w:u w:val="single"/>
        </w:rPr>
        <w:t>，需处理的废水量约32.49</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/d</w:t>
      </w:r>
      <w:r>
        <w:rPr>
          <w:rFonts w:hint="eastAsia" w:ascii="Times New Roman" w:hAnsi="Times New Roman" w:eastAsia="宋体"/>
          <w:color w:val="auto"/>
          <w:sz w:val="24"/>
          <w:szCs w:val="24"/>
          <w:u w:val="single"/>
        </w:rPr>
        <w:t>，本项目</w:t>
      </w:r>
      <w:r>
        <w:rPr>
          <w:rFonts w:hint="eastAsia" w:ascii="Times New Roman" w:hAnsi="Times New Roman" w:eastAsia="宋体"/>
          <w:color w:val="auto"/>
          <w:sz w:val="24"/>
          <w:szCs w:val="24"/>
          <w:u w:val="single"/>
          <w:lang w:val="en-US" w:eastAsia="zh-CN"/>
        </w:rPr>
        <w:t>电镀工序</w:t>
      </w:r>
      <w:r>
        <w:rPr>
          <w:rFonts w:hint="eastAsia" w:ascii="Times New Roman" w:hAnsi="Times New Roman" w:eastAsia="宋体"/>
          <w:color w:val="auto"/>
          <w:sz w:val="24"/>
          <w:szCs w:val="24"/>
          <w:u w:val="single"/>
        </w:rPr>
        <w:t>生产废水</w:t>
      </w:r>
      <w:r>
        <w:rPr>
          <w:rFonts w:hint="eastAsia" w:ascii="Times New Roman" w:hAnsi="Times New Roman" w:eastAsia="宋体"/>
          <w:color w:val="auto"/>
          <w:sz w:val="24"/>
          <w:szCs w:val="24"/>
          <w:u w:val="single"/>
          <w:lang w:val="en-US" w:eastAsia="zh-CN"/>
        </w:rPr>
        <w:t>及其辅助生产废水</w:t>
      </w:r>
      <w:r>
        <w:rPr>
          <w:rFonts w:hint="eastAsia" w:ascii="Times New Roman" w:hAnsi="Times New Roman" w:eastAsia="宋体"/>
          <w:color w:val="auto"/>
          <w:sz w:val="24"/>
          <w:szCs w:val="24"/>
          <w:u w:val="single"/>
        </w:rPr>
        <w:t>处理量较小，废水可经三效蒸发器蒸发冷凝后全部回用于生产线，不外排</w:t>
      </w:r>
      <w:r>
        <w:rPr>
          <w:rFonts w:hint="eastAsia" w:ascii="Times New Roman" w:hAnsi="Times New Roman" w:eastAsia="宋体"/>
          <w:color w:val="auto"/>
          <w:sz w:val="24"/>
          <w:szCs w:val="24"/>
          <w:u w:val="single"/>
          <w:lang w:eastAsia="zh-CN"/>
        </w:rPr>
        <w:t>；</w:t>
      </w:r>
      <w:r>
        <w:rPr>
          <w:rFonts w:ascii="Times New Roman" w:hAnsi="Times New Roman" w:eastAsia="宋体"/>
          <w:color w:val="auto"/>
          <w:sz w:val="24"/>
          <w:szCs w:val="24"/>
          <w:u w:val="single"/>
        </w:rPr>
        <w:t>外排废水</w:t>
      </w:r>
      <w:r>
        <w:rPr>
          <w:rFonts w:ascii="Times New Roman" w:hAnsi="Times New Roman" w:eastAsia="宋体"/>
          <w:color w:val="auto"/>
          <w:sz w:val="24"/>
          <w:szCs w:val="24"/>
          <w:u w:val="single" w:color="auto"/>
        </w:rPr>
        <w:t>主要为生活污水</w:t>
      </w:r>
      <w:r>
        <w:rPr>
          <w:rFonts w:hint="eastAsia" w:ascii="Times New Roman" w:hAnsi="Times New Roman" w:eastAsia="宋体"/>
          <w:color w:val="auto"/>
          <w:sz w:val="24"/>
          <w:szCs w:val="24"/>
          <w:u w:val="single" w:color="auto"/>
          <w:lang w:val="en-US" w:eastAsia="zh-CN"/>
        </w:rPr>
        <w:t>和</w:t>
      </w:r>
      <w:r>
        <w:rPr>
          <w:rFonts w:hint="eastAsia" w:ascii="Times New Roman" w:hAnsi="Times New Roman" w:eastAsia="宋体" w:cs="Times New Roman"/>
          <w:color w:val="auto"/>
          <w:sz w:val="24"/>
          <w:szCs w:val="24"/>
          <w:highlight w:val="none"/>
          <w:u w:val="single" w:color="auto"/>
          <w:lang w:val="en-US" w:eastAsia="zh-CN"/>
        </w:rPr>
        <w:t>机加工车间废水（卫生废水、容器清洗废水、直接冷却废水）</w:t>
      </w:r>
      <w:r>
        <w:rPr>
          <w:rFonts w:ascii="Times New Roman" w:hAnsi="Times New Roman" w:eastAsia="宋体"/>
          <w:color w:val="auto"/>
          <w:sz w:val="24"/>
          <w:szCs w:val="24"/>
          <w:u w:val="single" w:color="auto"/>
        </w:rPr>
        <w:t>，</w:t>
      </w:r>
      <w:r>
        <w:rPr>
          <w:rFonts w:ascii="Times New Roman" w:hAnsi="Times New Roman" w:eastAsia="宋体"/>
          <w:color w:val="auto"/>
          <w:sz w:val="24"/>
          <w:szCs w:val="24"/>
          <w:u w:val="single"/>
        </w:rPr>
        <w:t>不</w:t>
      </w:r>
      <w:r>
        <w:rPr>
          <w:rFonts w:hint="eastAsia" w:ascii="Times New Roman" w:hAnsi="Times New Roman" w:eastAsia="宋体"/>
          <w:color w:val="auto"/>
          <w:sz w:val="24"/>
          <w:szCs w:val="24"/>
          <w:u w:val="single"/>
          <w:lang w:val="en-US" w:eastAsia="zh-CN"/>
        </w:rPr>
        <w:t>涉及电镀工序且不</w:t>
      </w:r>
      <w:r>
        <w:rPr>
          <w:rFonts w:ascii="Times New Roman" w:hAnsi="Times New Roman" w:eastAsia="宋体"/>
          <w:color w:val="auto"/>
          <w:sz w:val="24"/>
          <w:szCs w:val="24"/>
          <w:u w:val="single"/>
        </w:rPr>
        <w:t>含重金属</w:t>
      </w:r>
      <w:r>
        <w:rPr>
          <w:rFonts w:hint="eastAsia" w:ascii="Times New Roman" w:hAnsi="Times New Roman" w:eastAsia="宋体"/>
          <w:color w:val="auto"/>
          <w:sz w:val="24"/>
          <w:szCs w:val="24"/>
          <w:u w:val="single"/>
        </w:rPr>
        <w:t>；项目</w:t>
      </w:r>
      <w:r>
        <w:rPr>
          <w:rFonts w:ascii="Times New Roman" w:hAnsi="Times New Roman" w:eastAsia="宋体"/>
          <w:color w:val="auto"/>
          <w:sz w:val="24"/>
          <w:szCs w:val="24"/>
          <w:u w:val="single"/>
        </w:rPr>
        <w:t>建设1座</w:t>
      </w:r>
      <w:r>
        <w:rPr>
          <w:rFonts w:hint="eastAsia" w:ascii="Times New Roman" w:hAnsi="Times New Roman" w:eastAsia="宋体"/>
          <w:color w:val="auto"/>
          <w:sz w:val="24"/>
          <w:szCs w:val="24"/>
          <w:u w:val="single"/>
        </w:rPr>
        <w:t>600</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的应急事故池、1座</w:t>
      </w:r>
      <w:r>
        <w:rPr>
          <w:rFonts w:hint="eastAsia" w:ascii="Times New Roman" w:hAnsi="Times New Roman" w:eastAsia="宋体"/>
          <w:color w:val="auto"/>
          <w:sz w:val="24"/>
          <w:szCs w:val="24"/>
          <w:u w:val="single"/>
        </w:rPr>
        <w:t>290</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的初期雨水池，初期雨水收集池与事故应急池连通</w:t>
      </w:r>
      <w:r>
        <w:rPr>
          <w:rFonts w:hint="eastAsia" w:ascii="Times New Roman" w:hAnsi="Times New Roman" w:eastAsia="宋体"/>
          <w:color w:val="auto"/>
          <w:sz w:val="24"/>
          <w:szCs w:val="24"/>
          <w:u w:val="single"/>
        </w:rPr>
        <w:t>，</w:t>
      </w:r>
      <w:r>
        <w:rPr>
          <w:rFonts w:ascii="Times New Roman" w:hAnsi="Times New Roman" w:eastAsia="宋体"/>
          <w:color w:val="auto"/>
          <w:sz w:val="24"/>
          <w:szCs w:val="24"/>
          <w:u w:val="single"/>
        </w:rPr>
        <w:t>根据《事故状态下水体污染的预防与控制技术要求》（QSY1190-2009）的要求计算事故状态下的最大废水量</w:t>
      </w:r>
      <w:r>
        <w:rPr>
          <w:rFonts w:hint="eastAsia" w:ascii="Times New Roman" w:hAnsi="Times New Roman" w:eastAsia="宋体"/>
          <w:color w:val="auto"/>
          <w:sz w:val="24"/>
          <w:szCs w:val="24"/>
          <w:u w:val="single"/>
        </w:rPr>
        <w:t>约为552m</w:t>
      </w:r>
      <w:r>
        <w:rPr>
          <w:rFonts w:hint="eastAsia" w:ascii="Times New Roman" w:hAnsi="Times New Roman" w:eastAsia="宋体"/>
          <w:color w:val="auto"/>
          <w:sz w:val="24"/>
          <w:szCs w:val="24"/>
          <w:u w:val="single"/>
          <w:vertAlign w:val="superscript"/>
        </w:rPr>
        <w:t>3</w:t>
      </w:r>
      <w:r>
        <w:rPr>
          <w:rFonts w:hint="eastAsia" w:ascii="Times New Roman" w:hAnsi="Times New Roman" w:eastAsia="宋体"/>
          <w:color w:val="auto"/>
          <w:sz w:val="24"/>
          <w:szCs w:val="24"/>
          <w:u w:val="single"/>
        </w:rPr>
        <w:t>，项目事故应急系统及园区应急系统</w:t>
      </w:r>
      <w:r>
        <w:rPr>
          <w:rFonts w:hint="eastAsia" w:ascii="Times New Roman" w:hAnsi="Times New Roman" w:eastAsia="宋体"/>
          <w:color w:val="auto"/>
          <w:sz w:val="24"/>
          <w:szCs w:val="21"/>
          <w:u w:val="single"/>
        </w:rPr>
        <w:t>（</w:t>
      </w:r>
      <w:r>
        <w:rPr>
          <w:rFonts w:hint="eastAsia" w:ascii="Times New Roman" w:hAnsi="Times New Roman" w:eastAsia="宋体"/>
          <w:color w:val="auto"/>
          <w:sz w:val="24"/>
          <w:szCs w:val="21"/>
          <w:u w:val="single" w:color="auto"/>
          <w:lang w:eastAsia="zh-CN"/>
        </w:rPr>
        <w:t>有</w:t>
      </w:r>
      <w:r>
        <w:rPr>
          <w:rFonts w:hint="default" w:ascii="Times New Roman" w:hAnsi="Times New Roman" w:eastAsia="宋体" w:cs="Times New Roman"/>
          <w:color w:val="auto"/>
          <w:sz w:val="24"/>
          <w:szCs w:val="21"/>
          <w:highlight w:val="none"/>
          <w:u w:val="single" w:color="auto"/>
          <w:lang w:eastAsia="zh-CN"/>
        </w:rPr>
        <w:t>松木污水处理厂</w:t>
      </w:r>
      <w:r>
        <w:rPr>
          <w:rFonts w:ascii="Times New Roman" w:hAnsi="Times New Roman" w:eastAsia="宋体"/>
          <w:color w:val="auto"/>
          <w:sz w:val="24"/>
          <w:szCs w:val="21"/>
          <w:u w:val="single"/>
        </w:rPr>
        <w:t>兜底，一般情况下，不会造成流域级事件</w:t>
      </w:r>
      <w:r>
        <w:rPr>
          <w:rFonts w:hint="eastAsia" w:ascii="Times New Roman" w:hAnsi="Times New Roman" w:eastAsia="宋体"/>
          <w:color w:val="auto"/>
          <w:sz w:val="24"/>
          <w:szCs w:val="21"/>
          <w:u w:val="single"/>
        </w:rPr>
        <w:t>）可</w:t>
      </w:r>
      <w:r>
        <w:rPr>
          <w:rFonts w:hint="eastAsia" w:ascii="Times New Roman" w:hAnsi="Times New Roman" w:eastAsia="宋体"/>
          <w:color w:val="auto"/>
          <w:sz w:val="24"/>
          <w:szCs w:val="24"/>
          <w:u w:val="single"/>
        </w:rPr>
        <w:t>有效收集突发情形下排放重金属废水，避免废水处理站发生故障或者生产线发生火灾产生大量消防废水等突发情形下含重金属废水进入水体。</w:t>
      </w:r>
    </w:p>
    <w:p w14:paraId="2F9D2EC3">
      <w:pPr>
        <w:pStyle w:val="52"/>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故本项目不存在环境制约因素。</w:t>
      </w:r>
    </w:p>
    <w:p w14:paraId="576B0A42">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15" w:name="_Toc28758"/>
      <w:r>
        <w:rPr>
          <w:rFonts w:hint="default" w:ascii="Times New Roman" w:hAnsi="Times New Roman" w:eastAsia="宋体" w:cs="Times New Roman"/>
          <w:color w:val="auto"/>
          <w:sz w:val="28"/>
          <w:szCs w:val="28"/>
          <w:highlight w:val="none"/>
          <w:u w:val="none" w:color="auto"/>
          <w:lang w:val="en-US" w:eastAsia="zh-CN"/>
        </w:rPr>
        <w:t>10.6小结</w:t>
      </w:r>
      <w:bookmarkEnd w:id="115"/>
    </w:p>
    <w:p w14:paraId="776987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4"/>
          <w:szCs w:val="21"/>
          <w:highlight w:val="none"/>
          <w:u w:val="none" w:color="auto"/>
          <w:lang w:val="en-US" w:eastAsia="zh-CN" w:bidi="ar-SA"/>
        </w:rPr>
        <w:t>本项目符合国家及地方产业政策；符合松木经开区产业定位、总体规划、及准入条件；项目符合《湖南省湘江保护条例》、《湖南省“三线一单”生态环境总体管控要求暨省级以上产业园区生态环境准入清单》等要求。项目用地性质为工业用地，用地符合规划要求，平面布置合理；项目选址可行</w:t>
      </w:r>
      <w:r>
        <w:rPr>
          <w:rFonts w:hint="default" w:ascii="Times New Roman" w:hAnsi="Times New Roman" w:cs="Times New Roman"/>
          <w:color w:val="auto"/>
          <w:highlight w:val="none"/>
          <w:u w:val="none" w:color="auto"/>
        </w:rPr>
        <w:t>。</w:t>
      </w:r>
    </w:p>
    <w:p w14:paraId="48437800">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val="en-US" w:eastAsia="zh-CN"/>
        </w:rPr>
      </w:pPr>
      <w:bookmarkStart w:id="116" w:name="_Toc27933"/>
      <w:r>
        <w:rPr>
          <w:rFonts w:hint="default" w:ascii="Times New Roman" w:hAnsi="Times New Roman" w:eastAsia="宋体" w:cs="Times New Roman"/>
          <w:color w:val="auto"/>
          <w:sz w:val="32"/>
          <w:szCs w:val="32"/>
          <w:highlight w:val="none"/>
          <w:u w:val="none" w:color="auto"/>
          <w:lang w:val="en-US" w:eastAsia="zh-CN"/>
        </w:rPr>
        <w:t>11环境影响经济损益分析</w:t>
      </w:r>
      <w:bookmarkEnd w:id="109"/>
      <w:bookmarkEnd w:id="116"/>
    </w:p>
    <w:p w14:paraId="2FFAEF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环境经济损益分析主要是评价建设项目实施后，对环境造成的损失费用和采取各种环保治理措施所能收到的环保效果及其带来的经济和社会效益，衡量建设项目的环保投资在经济上的合理水平。</w:t>
      </w:r>
    </w:p>
    <w:p w14:paraId="79CFA9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一个项目的开发建设，除对国民经济的发展起着促进作用外，同时也在一定程度上影响着项目拟建地区的环境。社会影响、经济影响、环境影响是一个系统的三要素，最终以提高人类的生活质量为目的。它们之间既互相促进又互相制约，必须通过全面规划、综合平衡，正确地把全局利益和局部利益、长远利益和近期利益结合起来，对环境保护和经济发展进行协调，实现社会效益、经济效益、环境效益的三统一。通过对本项目的经济、社会和环境效益分析，为项目决策者更好地考虑环境、经济和社会效益的统一提供依据。</w:t>
      </w:r>
    </w:p>
    <w:p w14:paraId="2633CDAA">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17" w:name="_Toc457911879"/>
      <w:bookmarkEnd w:id="117"/>
      <w:bookmarkStart w:id="118" w:name="_Toc505194196"/>
      <w:bookmarkEnd w:id="118"/>
      <w:bookmarkStart w:id="119" w:name="_Toc11104468"/>
      <w:bookmarkEnd w:id="119"/>
      <w:bookmarkStart w:id="120" w:name="_Toc350758849"/>
      <w:bookmarkEnd w:id="120"/>
      <w:bookmarkStart w:id="121" w:name="_Toc398711345"/>
      <w:bookmarkEnd w:id="121"/>
      <w:bookmarkStart w:id="122" w:name="_Toc5366"/>
      <w:bookmarkStart w:id="123" w:name="_Toc54079942"/>
      <w:r>
        <w:rPr>
          <w:rFonts w:hint="default" w:ascii="Times New Roman" w:hAnsi="Times New Roman" w:eastAsia="宋体" w:cs="Times New Roman"/>
          <w:color w:val="auto"/>
          <w:sz w:val="28"/>
          <w:szCs w:val="28"/>
          <w:highlight w:val="none"/>
          <w:u w:val="none" w:color="auto"/>
          <w:lang w:val="en-US" w:eastAsia="zh-CN"/>
        </w:rPr>
        <w:t>11.1环保投资估算</w:t>
      </w:r>
      <w:bookmarkEnd w:id="122"/>
      <w:bookmarkEnd w:id="123"/>
    </w:p>
    <w:p w14:paraId="24D0D3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本项目总投资</w:t>
      </w:r>
      <w:r>
        <w:rPr>
          <w:rFonts w:hint="default" w:ascii="Times New Roman" w:hAnsi="Times New Roman" w:eastAsia="宋体" w:cs="Times New Roman"/>
          <w:color w:val="auto"/>
          <w:sz w:val="24"/>
          <w:szCs w:val="21"/>
          <w:highlight w:val="none"/>
          <w:u w:val="none" w:color="auto"/>
          <w:lang w:val="en-US" w:eastAsia="zh-CN"/>
        </w:rPr>
        <w:t>4800</w:t>
      </w:r>
      <w:r>
        <w:rPr>
          <w:rFonts w:hint="default" w:ascii="Times New Roman" w:hAnsi="Times New Roman" w:eastAsia="宋体" w:cs="Times New Roman"/>
          <w:color w:val="auto"/>
          <w:sz w:val="24"/>
          <w:szCs w:val="21"/>
          <w:highlight w:val="none"/>
          <w:u w:val="none" w:color="auto"/>
        </w:rPr>
        <w:t>万元，项目带来显著的经济效益和社会效益的同时，不可避免地对环境造成一定程度的影响。为了减轻环境污染，项目必须建设相应的污染防治措施，控制污染物排放量，拟建项目具体环保投资详见下表。</w:t>
      </w:r>
    </w:p>
    <w:p w14:paraId="5FC1F265">
      <w:pPr>
        <w:pStyle w:val="11"/>
        <w:spacing w:before="93" w:after="93" w:line="240" w:lineRule="auto"/>
        <w:ind w:firstLine="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表1</w:t>
      </w:r>
      <w:r>
        <w:rPr>
          <w:rFonts w:hint="default" w:ascii="Times New Roman" w:hAnsi="Times New Roman" w:eastAsia="宋体" w:cs="Times New Roman"/>
          <w:b/>
          <w:color w:val="auto"/>
          <w:sz w:val="21"/>
          <w:szCs w:val="21"/>
          <w:highlight w:val="none"/>
          <w:u w:val="none" w:color="auto"/>
          <w:lang w:val="en-US" w:eastAsia="zh-CN"/>
        </w:rPr>
        <w:t>1</w:t>
      </w:r>
      <w:r>
        <w:rPr>
          <w:rFonts w:hint="default" w:ascii="Times New Roman" w:hAnsi="Times New Roman" w:eastAsia="宋体" w:cs="Times New Roman"/>
          <w:b/>
          <w:color w:val="auto"/>
          <w:sz w:val="21"/>
          <w:szCs w:val="21"/>
          <w:highlight w:val="none"/>
          <w:u w:val="none" w:color="auto"/>
        </w:rPr>
        <w:t>.1-1 本项目环保投资表</w:t>
      </w:r>
    </w:p>
    <w:tbl>
      <w:tblPr>
        <w:tblStyle w:val="22"/>
        <w:tblW w:w="5103"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03"/>
        <w:gridCol w:w="2554"/>
        <w:gridCol w:w="4251"/>
        <w:gridCol w:w="990"/>
      </w:tblGrid>
      <w:tr w14:paraId="2DE42F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9" w:type="pct"/>
            <w:vAlign w:val="center"/>
          </w:tcPr>
          <w:p w14:paraId="32447F5B">
            <w:pPr>
              <w:adjustRightInd w:val="0"/>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szCs w:val="21"/>
                <w:highlight w:val="none"/>
                <w:u w:val="none" w:color="auto"/>
              </w:rPr>
              <w:t>类别</w:t>
            </w:r>
          </w:p>
        </w:tc>
        <w:tc>
          <w:tcPr>
            <w:tcW w:w="1468" w:type="pct"/>
            <w:vAlign w:val="center"/>
          </w:tcPr>
          <w:p w14:paraId="485AA68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w:t>
            </w:r>
          </w:p>
        </w:tc>
        <w:tc>
          <w:tcPr>
            <w:tcW w:w="2443" w:type="pct"/>
            <w:vAlign w:val="center"/>
          </w:tcPr>
          <w:p w14:paraId="4FA7D3B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污染防治措施</w:t>
            </w:r>
          </w:p>
        </w:tc>
        <w:tc>
          <w:tcPr>
            <w:tcW w:w="569" w:type="pct"/>
            <w:vAlign w:val="center"/>
          </w:tcPr>
          <w:p w14:paraId="6C1CC2D5">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投资</w:t>
            </w:r>
          </w:p>
          <w:p w14:paraId="3227AE0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（万元）</w:t>
            </w:r>
          </w:p>
        </w:tc>
      </w:tr>
      <w:tr w14:paraId="175CAE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9" w:type="pct"/>
            <w:vMerge w:val="restart"/>
            <w:vAlign w:val="center"/>
          </w:tcPr>
          <w:p w14:paraId="645697E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bookmarkStart w:id="124" w:name="_Hlk41837079"/>
            <w:r>
              <w:rPr>
                <w:rFonts w:hint="default" w:ascii="Times New Roman" w:hAnsi="Times New Roman" w:eastAsia="宋体" w:cs="Times New Roman"/>
                <w:color w:val="auto"/>
                <w:sz w:val="21"/>
                <w:szCs w:val="21"/>
                <w:highlight w:val="none"/>
                <w:u w:val="none" w:color="auto"/>
              </w:rPr>
              <w:t>废气</w:t>
            </w:r>
          </w:p>
        </w:tc>
        <w:tc>
          <w:tcPr>
            <w:tcW w:w="1468" w:type="pct"/>
            <w:vAlign w:val="center"/>
          </w:tcPr>
          <w:p w14:paraId="59B5CE7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DA001-DA006</w:t>
            </w:r>
          </w:p>
        </w:tc>
        <w:tc>
          <w:tcPr>
            <w:tcW w:w="2443" w:type="pct"/>
            <w:vAlign w:val="center"/>
          </w:tcPr>
          <w:p w14:paraId="78569949">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槽侧抽风+生产线整体密闭负压+</w:t>
            </w:r>
            <w:r>
              <w:rPr>
                <w:rFonts w:hint="default" w:ascii="Times New Roman" w:hAnsi="Times New Roman" w:eastAsia="宋体" w:cs="Times New Roman"/>
                <w:color w:val="auto"/>
                <w:sz w:val="21"/>
                <w:szCs w:val="21"/>
                <w:highlight w:val="none"/>
                <w:u w:val="none" w:color="auto"/>
                <w:lang w:val="en-US" w:eastAsia="zh-CN"/>
              </w:rPr>
              <w:t>6</w:t>
            </w:r>
            <w:r>
              <w:rPr>
                <w:rFonts w:hint="default" w:ascii="Times New Roman" w:hAnsi="Times New Roman" w:eastAsia="宋体" w:cs="Times New Roman"/>
                <w:color w:val="auto"/>
                <w:sz w:val="21"/>
                <w:szCs w:val="21"/>
                <w:highlight w:val="none"/>
                <w:u w:val="none" w:color="auto"/>
              </w:rPr>
              <w:t>套</w:t>
            </w:r>
            <w:r>
              <w:rPr>
                <w:rFonts w:hint="default" w:ascii="Times New Roman" w:hAnsi="Times New Roman" w:eastAsia="宋体" w:cs="Times New Roman"/>
                <w:color w:val="auto"/>
                <w:sz w:val="21"/>
                <w:szCs w:val="21"/>
                <w:highlight w:val="none"/>
                <w:u w:val="none" w:color="auto"/>
                <w:lang w:eastAsia="zh-CN"/>
              </w:rPr>
              <w:t>三级</w:t>
            </w:r>
            <w:r>
              <w:rPr>
                <w:rFonts w:hint="default" w:ascii="Times New Roman" w:hAnsi="Times New Roman" w:eastAsia="宋体" w:cs="Times New Roman"/>
                <w:color w:val="auto"/>
                <w:sz w:val="21"/>
                <w:szCs w:val="21"/>
                <w:highlight w:val="none"/>
                <w:u w:val="none" w:color="auto"/>
              </w:rPr>
              <w:t>碱喷淋吸收装置+25m排气筒</w:t>
            </w:r>
          </w:p>
        </w:tc>
        <w:tc>
          <w:tcPr>
            <w:tcW w:w="569" w:type="pct"/>
            <w:vAlign w:val="center"/>
          </w:tcPr>
          <w:p w14:paraId="52003D7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280</w:t>
            </w:r>
          </w:p>
        </w:tc>
      </w:tr>
      <w:bookmarkEnd w:id="124"/>
      <w:tr w14:paraId="4291BC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5" w:hRule="atLeast"/>
          <w:jc w:val="center"/>
        </w:trPr>
        <w:tc>
          <w:tcPr>
            <w:tcW w:w="519" w:type="pct"/>
            <w:vMerge w:val="continue"/>
            <w:vAlign w:val="center"/>
          </w:tcPr>
          <w:p w14:paraId="764A1FB9">
            <w:pPr>
              <w:widowControl/>
              <w:spacing w:line="240" w:lineRule="auto"/>
              <w:jc w:val="center"/>
              <w:textAlignment w:val="center"/>
              <w:rPr>
                <w:rFonts w:hint="default" w:ascii="Times New Roman" w:hAnsi="Times New Roman" w:eastAsia="宋体" w:cs="Times New Roman"/>
                <w:color w:val="auto"/>
                <w:sz w:val="21"/>
                <w:highlight w:val="none"/>
                <w:u w:val="none" w:color="auto"/>
              </w:rPr>
            </w:pPr>
          </w:p>
        </w:tc>
        <w:tc>
          <w:tcPr>
            <w:tcW w:w="1468" w:type="pct"/>
            <w:vAlign w:val="center"/>
          </w:tcPr>
          <w:p w14:paraId="7D4B166B">
            <w:pPr>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DA007</w:t>
            </w:r>
          </w:p>
        </w:tc>
        <w:tc>
          <w:tcPr>
            <w:tcW w:w="2443" w:type="pct"/>
            <w:vAlign w:val="center"/>
          </w:tcPr>
          <w:p w14:paraId="5A4D5A1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集气罩</w:t>
            </w: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single" w:color="auto"/>
              </w:rPr>
              <w:t>套</w:t>
            </w:r>
            <w:r>
              <w:rPr>
                <w:rFonts w:hint="eastAsia" w:ascii="Times New Roman" w:hAnsi="Times New Roman" w:eastAsia="宋体" w:cs="Times New Roman"/>
                <w:color w:val="auto"/>
                <w:sz w:val="21"/>
                <w:szCs w:val="21"/>
                <w:highlight w:val="none"/>
                <w:u w:val="single" w:color="auto"/>
                <w:lang w:val="en-US" w:eastAsia="zh-CN"/>
              </w:rPr>
              <w:t>冷却塔＋干湿过滤器＋活性炭</w:t>
            </w:r>
            <w:r>
              <w:rPr>
                <w:rFonts w:hint="default" w:ascii="Times New Roman" w:hAnsi="Times New Roman" w:eastAsia="宋体" w:cs="Times New Roman"/>
                <w:color w:val="auto"/>
                <w:sz w:val="21"/>
                <w:szCs w:val="21"/>
                <w:highlight w:val="none"/>
                <w:u w:val="single" w:color="auto"/>
              </w:rPr>
              <w:t>+</w:t>
            </w:r>
            <w:r>
              <w:rPr>
                <w:rFonts w:hint="eastAsia" w:ascii="Times New Roman" w:hAnsi="Times New Roman" w:eastAsia="宋体" w:cs="Times New Roman"/>
                <w:color w:val="auto"/>
                <w:sz w:val="21"/>
                <w:szCs w:val="21"/>
                <w:highlight w:val="none"/>
                <w:u w:val="single" w:color="auto"/>
                <w:lang w:val="en-US" w:eastAsia="zh-CN"/>
              </w:rPr>
              <w:t>1</w:t>
            </w:r>
            <w:r>
              <w:rPr>
                <w:rFonts w:hint="default" w:ascii="Times New Roman" w:hAnsi="Times New Roman" w:eastAsia="宋体" w:cs="Times New Roman"/>
                <w:color w:val="auto"/>
                <w:sz w:val="21"/>
                <w:szCs w:val="21"/>
                <w:highlight w:val="none"/>
                <w:u w:val="none" w:color="auto"/>
              </w:rPr>
              <w:t>5m排气筒</w:t>
            </w:r>
          </w:p>
        </w:tc>
        <w:tc>
          <w:tcPr>
            <w:tcW w:w="569" w:type="pct"/>
            <w:vAlign w:val="center"/>
          </w:tcPr>
          <w:p w14:paraId="75B10ED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w:t>
            </w:r>
          </w:p>
        </w:tc>
      </w:tr>
      <w:tr w14:paraId="62B055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9" w:type="pct"/>
            <w:vMerge w:val="restart"/>
            <w:vAlign w:val="center"/>
          </w:tcPr>
          <w:p w14:paraId="7A8DB03C">
            <w:pPr>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468" w:type="pct"/>
            <w:vAlign w:val="center"/>
          </w:tcPr>
          <w:p w14:paraId="67F4F46A">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w:t>
            </w:r>
          </w:p>
        </w:tc>
        <w:tc>
          <w:tcPr>
            <w:tcW w:w="2443" w:type="pct"/>
            <w:vAlign w:val="center"/>
          </w:tcPr>
          <w:p w14:paraId="5E537E1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各类废水收集池、废水处理设施</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污水处理车间防腐防渗、</w:t>
            </w:r>
            <w:r>
              <w:rPr>
                <w:rFonts w:hint="eastAsia" w:ascii="Times New Roman" w:hAnsi="Times New Roman" w:eastAsia="宋体" w:cs="Times New Roman"/>
                <w:color w:val="auto"/>
                <w:sz w:val="21"/>
                <w:szCs w:val="21"/>
                <w:highlight w:val="none"/>
                <w:u w:val="none" w:color="auto"/>
                <w:lang w:val="en-US" w:eastAsia="zh-CN"/>
              </w:rPr>
              <w:t>沉淀池、</w:t>
            </w:r>
            <w:r>
              <w:rPr>
                <w:rFonts w:hint="default" w:ascii="Times New Roman" w:hAnsi="Times New Roman" w:eastAsia="宋体" w:cs="Times New Roman"/>
                <w:color w:val="auto"/>
                <w:sz w:val="21"/>
                <w:szCs w:val="21"/>
                <w:highlight w:val="none"/>
                <w:u w:val="none" w:color="auto"/>
              </w:rPr>
              <w:t>废水收集处理可视可监控</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bCs/>
                <w:color w:val="auto"/>
                <w:sz w:val="21"/>
                <w:szCs w:val="21"/>
                <w:highlight w:val="none"/>
                <w:u w:val="single" w:color="auto"/>
                <w:lang w:val="en-US" w:eastAsia="zh-CN" w:bidi="en-US"/>
              </w:rPr>
              <w:t>Ni在线监测装置</w:t>
            </w:r>
          </w:p>
        </w:tc>
        <w:tc>
          <w:tcPr>
            <w:tcW w:w="569" w:type="pct"/>
            <w:vAlign w:val="center"/>
          </w:tcPr>
          <w:p w14:paraId="61C5EE3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500</w:t>
            </w:r>
          </w:p>
        </w:tc>
      </w:tr>
      <w:tr w14:paraId="576ABC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9" w:type="pct"/>
            <w:vMerge w:val="continue"/>
            <w:vAlign w:val="center"/>
          </w:tcPr>
          <w:p w14:paraId="50590BA0">
            <w:pPr>
              <w:adjustRightInd w:val="0"/>
              <w:snapToGrid w:val="0"/>
              <w:spacing w:line="240" w:lineRule="auto"/>
              <w:jc w:val="center"/>
              <w:rPr>
                <w:rFonts w:hint="default" w:ascii="Times New Roman" w:hAnsi="Times New Roman" w:eastAsia="宋体" w:cs="Times New Roman"/>
                <w:color w:val="auto"/>
                <w:sz w:val="21"/>
                <w:highlight w:val="none"/>
                <w:u w:val="none" w:color="auto"/>
              </w:rPr>
            </w:pPr>
          </w:p>
        </w:tc>
        <w:tc>
          <w:tcPr>
            <w:tcW w:w="1468" w:type="pct"/>
            <w:vAlign w:val="center"/>
          </w:tcPr>
          <w:p w14:paraId="5A6A131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w:t>
            </w:r>
          </w:p>
        </w:tc>
        <w:tc>
          <w:tcPr>
            <w:tcW w:w="2443" w:type="pct"/>
            <w:shd w:val="clear" w:color="auto" w:fill="auto"/>
            <w:vAlign w:val="center"/>
          </w:tcPr>
          <w:p w14:paraId="14FBDD51">
            <w:pPr>
              <w:snapToGrid w:val="0"/>
              <w:spacing w:line="240" w:lineRule="auto"/>
              <w:jc w:val="center"/>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化粪池预处理</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bCs/>
                <w:color w:val="auto"/>
                <w:sz w:val="21"/>
                <w:szCs w:val="21"/>
                <w:highlight w:val="none"/>
                <w:u w:val="single" w:color="auto"/>
                <w:lang w:val="en-US" w:eastAsia="zh-CN" w:bidi="en-US"/>
              </w:rPr>
              <w:t>Ni在线监测装置</w:t>
            </w:r>
          </w:p>
        </w:tc>
        <w:tc>
          <w:tcPr>
            <w:tcW w:w="569" w:type="pct"/>
            <w:vAlign w:val="center"/>
          </w:tcPr>
          <w:p w14:paraId="65738EC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rPr>
              <w:t>5</w:t>
            </w:r>
          </w:p>
        </w:tc>
      </w:tr>
      <w:tr w14:paraId="2AE74D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9" w:type="pct"/>
            <w:vMerge w:val="continue"/>
            <w:vAlign w:val="center"/>
          </w:tcPr>
          <w:p w14:paraId="2BC2280E">
            <w:pPr>
              <w:adjustRightInd w:val="0"/>
              <w:snapToGrid w:val="0"/>
              <w:spacing w:line="240" w:lineRule="auto"/>
              <w:jc w:val="center"/>
              <w:rPr>
                <w:rFonts w:hint="default" w:ascii="Times New Roman" w:hAnsi="Times New Roman" w:eastAsia="宋体" w:cs="Times New Roman"/>
                <w:color w:val="auto"/>
                <w:sz w:val="21"/>
                <w:highlight w:val="none"/>
                <w:u w:val="none" w:color="auto"/>
              </w:rPr>
            </w:pPr>
          </w:p>
        </w:tc>
        <w:tc>
          <w:tcPr>
            <w:tcW w:w="1468" w:type="pct"/>
            <w:vAlign w:val="center"/>
          </w:tcPr>
          <w:p w14:paraId="313DF4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初期雨水</w:t>
            </w:r>
          </w:p>
        </w:tc>
        <w:tc>
          <w:tcPr>
            <w:tcW w:w="2443" w:type="pct"/>
            <w:shd w:val="clear" w:color="auto" w:fill="auto"/>
            <w:vAlign w:val="center"/>
          </w:tcPr>
          <w:p w14:paraId="1BC6505C">
            <w:pPr>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290m</w:t>
            </w:r>
            <w:r>
              <w:rPr>
                <w:rFonts w:hint="default" w:ascii="Times New Roman" w:hAnsi="Times New Roman" w:eastAsia="宋体" w:cs="Times New Roman"/>
                <w:color w:val="auto"/>
                <w:sz w:val="21"/>
                <w:szCs w:val="21"/>
                <w:highlight w:val="none"/>
                <w:u w:val="none" w:color="auto"/>
                <w:vertAlign w:val="superscript"/>
                <w:lang w:val="en-US" w:eastAsia="zh-CN"/>
              </w:rPr>
              <w:t>3</w:t>
            </w:r>
            <w:r>
              <w:rPr>
                <w:rFonts w:hint="default" w:ascii="Times New Roman" w:hAnsi="Times New Roman" w:eastAsia="宋体" w:cs="Times New Roman"/>
                <w:color w:val="auto"/>
                <w:sz w:val="21"/>
                <w:szCs w:val="21"/>
                <w:highlight w:val="none"/>
                <w:u w:val="none" w:color="auto"/>
                <w:lang w:eastAsia="zh-CN"/>
              </w:rPr>
              <w:t>初期雨水池</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single" w:color="auto"/>
                <w:lang w:eastAsia="zh-CN"/>
              </w:rPr>
              <w:t>雨水排放口设置阀门及</w:t>
            </w:r>
            <w:r>
              <w:rPr>
                <w:rFonts w:hint="eastAsia" w:ascii="Times New Roman" w:hAnsi="Times New Roman" w:eastAsia="宋体" w:cs="Times New Roman"/>
                <w:bCs/>
                <w:color w:val="auto"/>
                <w:sz w:val="21"/>
                <w:szCs w:val="21"/>
                <w:highlight w:val="none"/>
                <w:u w:val="single" w:color="auto"/>
                <w:lang w:val="en-US" w:eastAsia="zh-CN" w:bidi="en-US"/>
              </w:rPr>
              <w:t>Ni在线监测装置</w:t>
            </w:r>
          </w:p>
        </w:tc>
        <w:tc>
          <w:tcPr>
            <w:tcW w:w="569" w:type="pct"/>
            <w:vAlign w:val="center"/>
          </w:tcPr>
          <w:p w14:paraId="7E87E8E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lang w:val="en-US" w:eastAsia="zh-CN"/>
              </w:rPr>
              <w:t>7</w:t>
            </w:r>
          </w:p>
        </w:tc>
      </w:tr>
      <w:tr w14:paraId="303D49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9" w:type="pct"/>
            <w:vAlign w:val="center"/>
          </w:tcPr>
          <w:p w14:paraId="6BB659C6">
            <w:pPr>
              <w:adjustRightInd w:val="0"/>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1468" w:type="pct"/>
            <w:vAlign w:val="center"/>
          </w:tcPr>
          <w:p w14:paraId="337CEC2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风机、输送泵、空压机等</w:t>
            </w:r>
          </w:p>
        </w:tc>
        <w:tc>
          <w:tcPr>
            <w:tcW w:w="2443" w:type="pct"/>
            <w:vAlign w:val="center"/>
          </w:tcPr>
          <w:p w14:paraId="78B369C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基础减振、厂房隔声、消声器</w:t>
            </w:r>
          </w:p>
        </w:tc>
        <w:tc>
          <w:tcPr>
            <w:tcW w:w="569" w:type="pct"/>
            <w:vAlign w:val="center"/>
          </w:tcPr>
          <w:p w14:paraId="2212BE2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14</w:t>
            </w:r>
          </w:p>
        </w:tc>
      </w:tr>
      <w:tr w14:paraId="7E33F5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9" w:type="pct"/>
            <w:vMerge w:val="restart"/>
            <w:vAlign w:val="center"/>
          </w:tcPr>
          <w:p w14:paraId="5AEC5FDF">
            <w:pPr>
              <w:adjustRightInd w:val="0"/>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highlight w:val="none"/>
                <w:u w:val="none" w:color="auto"/>
              </w:rPr>
              <w:t>固废</w:t>
            </w:r>
          </w:p>
        </w:tc>
        <w:tc>
          <w:tcPr>
            <w:tcW w:w="1468" w:type="pct"/>
            <w:vAlign w:val="center"/>
          </w:tcPr>
          <w:p w14:paraId="699D2B1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危险废物</w:t>
            </w:r>
          </w:p>
        </w:tc>
        <w:tc>
          <w:tcPr>
            <w:tcW w:w="2443" w:type="pct"/>
            <w:vAlign w:val="center"/>
          </w:tcPr>
          <w:p w14:paraId="38F7460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分类暂存于危废暂存间，再委托有资质单位处理</w:t>
            </w:r>
          </w:p>
        </w:tc>
        <w:tc>
          <w:tcPr>
            <w:tcW w:w="569" w:type="pct"/>
            <w:vAlign w:val="center"/>
          </w:tcPr>
          <w:p w14:paraId="643DABE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20</w:t>
            </w:r>
          </w:p>
        </w:tc>
      </w:tr>
      <w:tr w14:paraId="062EED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9" w:type="pct"/>
            <w:vMerge w:val="continue"/>
            <w:vAlign w:val="center"/>
          </w:tcPr>
          <w:p w14:paraId="2BAF9059">
            <w:pPr>
              <w:adjustRightInd w:val="0"/>
              <w:snapToGrid w:val="0"/>
              <w:spacing w:line="240" w:lineRule="auto"/>
              <w:jc w:val="center"/>
              <w:rPr>
                <w:rFonts w:hint="default" w:ascii="Times New Roman" w:hAnsi="Times New Roman" w:eastAsia="宋体" w:cs="Times New Roman"/>
                <w:color w:val="auto"/>
                <w:sz w:val="21"/>
                <w:highlight w:val="none"/>
                <w:u w:val="none" w:color="auto"/>
              </w:rPr>
            </w:pPr>
          </w:p>
        </w:tc>
        <w:tc>
          <w:tcPr>
            <w:tcW w:w="1468" w:type="pct"/>
            <w:vAlign w:val="center"/>
          </w:tcPr>
          <w:p w14:paraId="4206063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一般工业固废</w:t>
            </w:r>
          </w:p>
        </w:tc>
        <w:tc>
          <w:tcPr>
            <w:tcW w:w="2443" w:type="pct"/>
            <w:vAlign w:val="center"/>
          </w:tcPr>
          <w:p w14:paraId="544498A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暂存于一般工业固废暂存间，再外售进行回收利用</w:t>
            </w:r>
          </w:p>
        </w:tc>
        <w:tc>
          <w:tcPr>
            <w:tcW w:w="569" w:type="pct"/>
            <w:vAlign w:val="center"/>
          </w:tcPr>
          <w:p w14:paraId="6F3345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r>
      <w:tr w14:paraId="60F151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19" w:type="pct"/>
            <w:vMerge w:val="continue"/>
            <w:vAlign w:val="center"/>
          </w:tcPr>
          <w:p w14:paraId="317C2CA5">
            <w:pPr>
              <w:adjustRightInd w:val="0"/>
              <w:snapToGrid w:val="0"/>
              <w:spacing w:line="240" w:lineRule="auto"/>
              <w:jc w:val="center"/>
              <w:rPr>
                <w:rFonts w:hint="default" w:ascii="Times New Roman" w:hAnsi="Times New Roman" w:eastAsia="宋体" w:cs="Times New Roman"/>
                <w:color w:val="auto"/>
                <w:sz w:val="21"/>
                <w:highlight w:val="none"/>
                <w:u w:val="none" w:color="auto"/>
              </w:rPr>
            </w:pPr>
          </w:p>
        </w:tc>
        <w:tc>
          <w:tcPr>
            <w:tcW w:w="1468" w:type="pct"/>
            <w:vAlign w:val="center"/>
          </w:tcPr>
          <w:p w14:paraId="6C3578AE">
            <w:pPr>
              <w:adjustRightInd w:val="0"/>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highlight w:val="none"/>
                <w:u w:val="none" w:color="auto"/>
              </w:rPr>
              <w:t>生活垃圾</w:t>
            </w:r>
          </w:p>
        </w:tc>
        <w:tc>
          <w:tcPr>
            <w:tcW w:w="2443" w:type="pct"/>
            <w:vAlign w:val="center"/>
          </w:tcPr>
          <w:p w14:paraId="63AFFB6B">
            <w:pPr>
              <w:adjustRightInd w:val="0"/>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szCs w:val="21"/>
                <w:highlight w:val="none"/>
                <w:u w:val="none" w:color="auto"/>
              </w:rPr>
              <w:t>委托环卫部门定期清运处置</w:t>
            </w:r>
          </w:p>
        </w:tc>
        <w:tc>
          <w:tcPr>
            <w:tcW w:w="569" w:type="pct"/>
            <w:vAlign w:val="center"/>
          </w:tcPr>
          <w:p w14:paraId="7EC54A1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r>
      <w:tr w14:paraId="0F72CB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987" w:type="pct"/>
            <w:gridSpan w:val="2"/>
            <w:vMerge w:val="restart"/>
            <w:vAlign w:val="center"/>
          </w:tcPr>
          <w:p w14:paraId="6C8FB364">
            <w:pPr>
              <w:adjustRightInd w:val="0"/>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highlight w:val="none"/>
                <w:u w:val="none" w:color="auto"/>
              </w:rPr>
              <w:t>环境风险</w:t>
            </w:r>
          </w:p>
        </w:tc>
        <w:tc>
          <w:tcPr>
            <w:tcW w:w="2443" w:type="pct"/>
            <w:vAlign w:val="center"/>
          </w:tcPr>
          <w:p w14:paraId="0A6713B4">
            <w:pPr>
              <w:adjustRightInd w:val="0"/>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highlight w:val="none"/>
                <w:u w:val="none" w:color="auto"/>
                <w:lang w:val="en-US" w:eastAsia="zh-CN"/>
              </w:rPr>
              <w:t>600</w:t>
            </w:r>
            <w:r>
              <w:rPr>
                <w:rFonts w:hint="default" w:ascii="Times New Roman" w:hAnsi="Times New Roman" w:eastAsia="宋体" w:cs="Times New Roman"/>
                <w:color w:val="auto"/>
                <w:sz w:val="21"/>
                <w:highlight w:val="none"/>
                <w:u w:val="none" w:color="auto"/>
              </w:rPr>
              <w:t>m</w:t>
            </w:r>
            <w:r>
              <w:rPr>
                <w:rFonts w:hint="default" w:ascii="Times New Roman" w:hAnsi="Times New Roman" w:eastAsia="宋体" w:cs="Times New Roman"/>
                <w:color w:val="auto"/>
                <w:sz w:val="21"/>
                <w:highlight w:val="none"/>
                <w:u w:val="none" w:color="auto"/>
                <w:vertAlign w:val="superscript"/>
              </w:rPr>
              <w:t>3</w:t>
            </w:r>
            <w:r>
              <w:rPr>
                <w:rFonts w:hint="default" w:ascii="Times New Roman" w:hAnsi="Times New Roman" w:eastAsia="宋体" w:cs="Times New Roman"/>
                <w:color w:val="auto"/>
                <w:sz w:val="21"/>
                <w:highlight w:val="none"/>
                <w:u w:val="none" w:color="auto"/>
              </w:rPr>
              <w:t>应急事故池及防腐防渗</w:t>
            </w:r>
          </w:p>
        </w:tc>
        <w:tc>
          <w:tcPr>
            <w:tcW w:w="569" w:type="pct"/>
            <w:vAlign w:val="center"/>
          </w:tcPr>
          <w:p w14:paraId="5883BAF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w:t>
            </w:r>
          </w:p>
        </w:tc>
      </w:tr>
      <w:tr w14:paraId="4B5CDC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987" w:type="pct"/>
            <w:gridSpan w:val="2"/>
            <w:vMerge w:val="continue"/>
            <w:vAlign w:val="center"/>
          </w:tcPr>
          <w:p w14:paraId="47BFD2B4">
            <w:pPr>
              <w:adjustRightInd w:val="0"/>
              <w:snapToGrid w:val="0"/>
              <w:spacing w:line="240" w:lineRule="auto"/>
              <w:jc w:val="center"/>
              <w:rPr>
                <w:rFonts w:hint="default" w:ascii="Times New Roman" w:hAnsi="Times New Roman" w:eastAsia="宋体" w:cs="Times New Roman"/>
                <w:color w:val="auto"/>
                <w:sz w:val="21"/>
                <w:highlight w:val="none"/>
                <w:u w:val="none" w:color="auto"/>
              </w:rPr>
            </w:pPr>
          </w:p>
        </w:tc>
        <w:tc>
          <w:tcPr>
            <w:tcW w:w="2443" w:type="pct"/>
            <w:vAlign w:val="center"/>
          </w:tcPr>
          <w:p w14:paraId="1E37FC2F">
            <w:pPr>
              <w:adjustRightInd w:val="0"/>
              <w:snapToGrid w:val="0"/>
              <w:spacing w:line="240" w:lineRule="auto"/>
              <w:jc w:val="center"/>
              <w:rPr>
                <w:rFonts w:hint="default" w:ascii="Times New Roman" w:hAnsi="Times New Roman" w:eastAsia="宋体" w:cs="Times New Roman"/>
                <w:color w:val="auto"/>
                <w:sz w:val="21"/>
                <w:highlight w:val="none"/>
                <w:u w:val="none" w:color="auto"/>
                <w:lang w:val="en-US" w:eastAsia="zh-CN"/>
              </w:rPr>
            </w:pPr>
            <w:r>
              <w:rPr>
                <w:rFonts w:hint="eastAsia" w:ascii="Times New Roman" w:hAnsi="Times New Roman" w:eastAsia="宋体" w:cs="Times New Roman"/>
                <w:color w:val="auto"/>
                <w:sz w:val="21"/>
                <w:highlight w:val="none"/>
                <w:u w:val="single" w:color="auto"/>
                <w:lang w:val="en-US" w:eastAsia="zh-CN"/>
              </w:rPr>
              <w:t>两座地下水监测井</w:t>
            </w:r>
          </w:p>
        </w:tc>
        <w:tc>
          <w:tcPr>
            <w:tcW w:w="569" w:type="pct"/>
            <w:vAlign w:val="center"/>
          </w:tcPr>
          <w:p w14:paraId="1D4398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w:t>
            </w:r>
          </w:p>
        </w:tc>
      </w:tr>
      <w:tr w14:paraId="378AE6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987" w:type="pct"/>
            <w:gridSpan w:val="2"/>
            <w:vMerge w:val="continue"/>
            <w:vAlign w:val="center"/>
          </w:tcPr>
          <w:p w14:paraId="51230242">
            <w:pPr>
              <w:adjustRightInd w:val="0"/>
              <w:snapToGrid w:val="0"/>
              <w:spacing w:line="240" w:lineRule="auto"/>
              <w:jc w:val="center"/>
              <w:rPr>
                <w:rFonts w:hint="default" w:ascii="Times New Roman" w:hAnsi="Times New Roman" w:eastAsia="宋体" w:cs="Times New Roman"/>
                <w:color w:val="auto"/>
                <w:sz w:val="21"/>
                <w:highlight w:val="none"/>
                <w:u w:val="none" w:color="auto"/>
              </w:rPr>
            </w:pPr>
          </w:p>
        </w:tc>
        <w:tc>
          <w:tcPr>
            <w:tcW w:w="2443" w:type="pct"/>
            <w:vAlign w:val="center"/>
          </w:tcPr>
          <w:p w14:paraId="36DEDEF9">
            <w:pPr>
              <w:adjustRightInd w:val="0"/>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highlight w:val="none"/>
                <w:u w:val="none" w:color="auto"/>
              </w:rPr>
              <w:t>组织编制突发环境事件应急预案</w:t>
            </w:r>
          </w:p>
        </w:tc>
        <w:tc>
          <w:tcPr>
            <w:tcW w:w="569" w:type="pct"/>
            <w:vAlign w:val="center"/>
          </w:tcPr>
          <w:p w14:paraId="48393E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10</w:t>
            </w:r>
          </w:p>
        </w:tc>
      </w:tr>
      <w:tr w14:paraId="6558FF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430" w:type="pct"/>
            <w:gridSpan w:val="3"/>
            <w:vAlign w:val="center"/>
          </w:tcPr>
          <w:p w14:paraId="4646235F">
            <w:pPr>
              <w:adjustRightInd w:val="0"/>
              <w:snapToGrid w:val="0"/>
              <w:spacing w:line="240" w:lineRule="auto"/>
              <w:jc w:val="center"/>
              <w:rPr>
                <w:rFonts w:hint="default"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highlight w:val="none"/>
                <w:u w:val="none" w:color="auto"/>
              </w:rPr>
              <w:t>合计</w:t>
            </w:r>
          </w:p>
        </w:tc>
        <w:tc>
          <w:tcPr>
            <w:tcW w:w="569" w:type="pct"/>
            <w:vAlign w:val="center"/>
          </w:tcPr>
          <w:p w14:paraId="07BB4CD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90</w:t>
            </w:r>
            <w:r>
              <w:rPr>
                <w:rFonts w:hint="default" w:ascii="Times New Roman" w:hAnsi="Times New Roman" w:eastAsia="宋体" w:cs="Times New Roman"/>
                <w:color w:val="auto"/>
                <w:sz w:val="21"/>
                <w:szCs w:val="21"/>
                <w:highlight w:val="none"/>
                <w:u w:val="none" w:color="auto"/>
                <w:lang w:val="en-US" w:eastAsia="zh-CN"/>
              </w:rPr>
              <w:t>4</w:t>
            </w:r>
          </w:p>
        </w:tc>
      </w:tr>
    </w:tbl>
    <w:p w14:paraId="6FE651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本项目环保投资为</w:t>
      </w:r>
      <w:r>
        <w:rPr>
          <w:rFonts w:hint="eastAsia" w:ascii="Times New Roman" w:hAnsi="Times New Roman" w:eastAsia="宋体" w:cs="Times New Roman"/>
          <w:color w:val="auto"/>
          <w:sz w:val="24"/>
          <w:szCs w:val="21"/>
          <w:highlight w:val="none"/>
          <w:u w:val="none" w:color="auto"/>
          <w:lang w:val="en-US" w:eastAsia="zh-CN"/>
        </w:rPr>
        <w:t>904</w:t>
      </w:r>
      <w:r>
        <w:rPr>
          <w:rFonts w:hint="default" w:ascii="Times New Roman" w:hAnsi="Times New Roman" w:eastAsia="宋体" w:cs="Times New Roman"/>
          <w:color w:val="auto"/>
          <w:sz w:val="24"/>
          <w:szCs w:val="21"/>
          <w:highlight w:val="none"/>
          <w:u w:val="none" w:color="auto"/>
        </w:rPr>
        <w:t>万元，占总投资</w:t>
      </w:r>
      <w:r>
        <w:rPr>
          <w:rFonts w:hint="default" w:ascii="Times New Roman" w:hAnsi="Times New Roman" w:eastAsia="宋体" w:cs="Times New Roman"/>
          <w:color w:val="auto"/>
          <w:sz w:val="24"/>
          <w:szCs w:val="21"/>
          <w:highlight w:val="none"/>
          <w:u w:val="none" w:color="auto"/>
          <w:lang w:val="en-US" w:eastAsia="zh-CN"/>
        </w:rPr>
        <w:t>4800</w:t>
      </w:r>
      <w:r>
        <w:rPr>
          <w:rFonts w:hint="default" w:ascii="Times New Roman" w:hAnsi="Times New Roman" w:eastAsia="宋体" w:cs="Times New Roman"/>
          <w:color w:val="auto"/>
          <w:sz w:val="24"/>
          <w:szCs w:val="21"/>
          <w:highlight w:val="none"/>
          <w:u w:val="none" w:color="auto"/>
        </w:rPr>
        <w:t>万元的</w:t>
      </w:r>
      <w:r>
        <w:rPr>
          <w:rFonts w:hint="eastAsia" w:ascii="Times New Roman" w:hAnsi="Times New Roman" w:eastAsia="宋体" w:cs="Times New Roman"/>
          <w:color w:val="auto"/>
          <w:sz w:val="24"/>
          <w:szCs w:val="21"/>
          <w:highlight w:val="none"/>
          <w:u w:val="none" w:color="auto"/>
          <w:lang w:val="en-US" w:eastAsia="zh-CN"/>
        </w:rPr>
        <w:t>18.83</w:t>
      </w:r>
      <w:r>
        <w:rPr>
          <w:rFonts w:hint="default" w:ascii="Times New Roman" w:hAnsi="Times New Roman" w:eastAsia="宋体" w:cs="Times New Roman"/>
          <w:color w:val="auto"/>
          <w:sz w:val="24"/>
          <w:szCs w:val="21"/>
          <w:highlight w:val="none"/>
          <w:u w:val="none" w:color="auto"/>
        </w:rPr>
        <w:t>％，环保投资到位后，各污染源均达标排放，对环境的影响可以接受，说明本项目的环境可行性较强。</w:t>
      </w:r>
    </w:p>
    <w:p w14:paraId="5804C8EC">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25" w:name="_Toc20111"/>
      <w:bookmarkStart w:id="126" w:name="_Toc54079943"/>
      <w:r>
        <w:rPr>
          <w:rFonts w:hint="default" w:ascii="Times New Roman" w:hAnsi="Times New Roman" w:eastAsia="宋体" w:cs="Times New Roman"/>
          <w:color w:val="auto"/>
          <w:sz w:val="28"/>
          <w:szCs w:val="28"/>
          <w:highlight w:val="none"/>
          <w:u w:val="none" w:color="auto"/>
          <w:lang w:val="en-US" w:eastAsia="zh-CN"/>
        </w:rPr>
        <w:t>11.2环境效益</w:t>
      </w:r>
      <w:bookmarkEnd w:id="125"/>
      <w:bookmarkEnd w:id="126"/>
    </w:p>
    <w:p w14:paraId="3727DE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（1）项目废水经过厂区废水处理设施处理达标后回用，</w:t>
      </w:r>
      <w:r>
        <w:rPr>
          <w:rFonts w:hint="default" w:ascii="Times New Roman" w:hAnsi="Times New Roman" w:eastAsia="宋体" w:cs="Times New Roman"/>
          <w:color w:val="auto"/>
          <w:sz w:val="24"/>
          <w:szCs w:val="21"/>
          <w:highlight w:val="none"/>
          <w:u w:val="none" w:color="auto"/>
          <w:lang w:eastAsia="zh-CN"/>
        </w:rPr>
        <w:t>不外排</w:t>
      </w:r>
      <w:r>
        <w:rPr>
          <w:rFonts w:hint="default" w:ascii="Times New Roman" w:hAnsi="Times New Roman" w:eastAsia="宋体" w:cs="Times New Roman"/>
          <w:color w:val="auto"/>
          <w:sz w:val="24"/>
          <w:szCs w:val="21"/>
          <w:highlight w:val="none"/>
          <w:u w:val="none" w:color="auto"/>
        </w:rPr>
        <w:t>，废水的回用可削减企业的新鲜用水量，实现物料的循环使用。</w:t>
      </w:r>
    </w:p>
    <w:p w14:paraId="0258AB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（2）对于项目产生噪声的设备及装置采区的控制措施，减轻了噪声对工作人员的危害，维护了职工的人群健康及心理健康，同时削减了对周边声环境的影响。</w:t>
      </w:r>
    </w:p>
    <w:p w14:paraId="128145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（3）各项环保投资设施的正常运行，将有效的减少各项污染物的排放量，环境效益较为明显。</w:t>
      </w:r>
    </w:p>
    <w:p w14:paraId="26F42C71">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27" w:name="_Toc54079944"/>
      <w:bookmarkStart w:id="128" w:name="_Toc36619755"/>
      <w:bookmarkStart w:id="129" w:name="_Toc7902608"/>
      <w:bookmarkStart w:id="130" w:name="_Toc472064721"/>
      <w:bookmarkStart w:id="131" w:name="_Toc11085"/>
      <w:r>
        <w:rPr>
          <w:rFonts w:hint="default" w:ascii="Times New Roman" w:hAnsi="Times New Roman" w:eastAsia="宋体" w:cs="Times New Roman"/>
          <w:color w:val="auto"/>
          <w:sz w:val="28"/>
          <w:szCs w:val="28"/>
          <w:highlight w:val="none"/>
          <w:u w:val="none" w:color="auto"/>
          <w:lang w:val="en-US" w:eastAsia="zh-CN"/>
        </w:rPr>
        <w:t>11.3社会效益分析</w:t>
      </w:r>
      <w:bookmarkEnd w:id="127"/>
      <w:bookmarkEnd w:id="128"/>
      <w:bookmarkEnd w:id="129"/>
      <w:bookmarkEnd w:id="130"/>
      <w:bookmarkEnd w:id="131"/>
    </w:p>
    <w:p w14:paraId="5FE597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项目建成后，主要有以下的社会效益：</w:t>
      </w:r>
    </w:p>
    <w:p w14:paraId="476B2C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（1）促进地方经济的发展；</w:t>
      </w:r>
    </w:p>
    <w:p w14:paraId="27C249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（2）完善产业配套，实现规模化生产，提高企业的经济效益；</w:t>
      </w:r>
    </w:p>
    <w:p w14:paraId="71B746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（3）该项目建成后需增加就业人员，增加就业机会；</w:t>
      </w:r>
    </w:p>
    <w:p w14:paraId="59C47B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（4）国家、地方可从税收、管理费中获得经济效益，也可为工业园区的招商引资提供范例，因而具有良好的社会效益。</w:t>
      </w:r>
    </w:p>
    <w:p w14:paraId="52D8D3D9">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32" w:name="_Toc25001"/>
      <w:bookmarkStart w:id="133" w:name="_Toc54079945"/>
      <w:r>
        <w:rPr>
          <w:rFonts w:hint="default" w:ascii="Times New Roman" w:hAnsi="Times New Roman" w:eastAsia="宋体" w:cs="Times New Roman"/>
          <w:color w:val="auto"/>
          <w:sz w:val="28"/>
          <w:szCs w:val="28"/>
          <w:highlight w:val="none"/>
          <w:u w:val="none" w:color="auto"/>
          <w:lang w:val="en-US" w:eastAsia="zh-CN"/>
        </w:rPr>
        <w:t>11.4小结</w:t>
      </w:r>
      <w:bookmarkEnd w:id="132"/>
      <w:bookmarkEnd w:id="133"/>
    </w:p>
    <w:p w14:paraId="4FD606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综上所述，环保设施的运行节约了水资源等，同时产生了一定的经济效益，不会给企业带来经济负担。从投资的角度出发，虽一次性投资较大，但从长远角度来看，企业环保设施的运行为企业的运营节约了运行成本、环境成本，改善和提高了企业的形象和社会竞争力。故本项目在认真落实各项环保措施、保证环保措施有效运行的前提下，从长远角度看，企业可获得较好的环境、经济及社会效益。</w:t>
      </w:r>
    </w:p>
    <w:p w14:paraId="06BD6B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7D79F35">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val="en-US" w:eastAsia="zh-CN"/>
        </w:rPr>
      </w:pPr>
      <w:bookmarkStart w:id="134" w:name="_Toc23873"/>
      <w:bookmarkStart w:id="135" w:name="_Toc480366191"/>
      <w:r>
        <w:rPr>
          <w:rFonts w:hint="default" w:ascii="Times New Roman" w:hAnsi="Times New Roman" w:eastAsia="宋体" w:cs="Times New Roman"/>
          <w:color w:val="auto"/>
          <w:sz w:val="32"/>
          <w:szCs w:val="32"/>
          <w:highlight w:val="none"/>
          <w:u w:val="none" w:color="auto"/>
          <w:lang w:val="en-US" w:eastAsia="zh-CN"/>
        </w:rPr>
        <w:t>12环境管理与监测计划</w:t>
      </w:r>
      <w:bookmarkEnd w:id="134"/>
      <w:bookmarkEnd w:id="135"/>
    </w:p>
    <w:p w14:paraId="715289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bookmarkStart w:id="136" w:name="_Toc12864301"/>
      <w:bookmarkStart w:id="137" w:name="_Toc531986345"/>
      <w:r>
        <w:rPr>
          <w:rFonts w:hint="default" w:ascii="Times New Roman" w:hAnsi="Times New Roman" w:eastAsia="宋体" w:cs="Times New Roman"/>
          <w:color w:val="auto"/>
          <w:sz w:val="24"/>
          <w:szCs w:val="21"/>
          <w:highlight w:val="none"/>
          <w:u w:val="none" w:color="auto"/>
        </w:rPr>
        <w:t>根据《建设项目环境保护设计规定》的要求，建设单位在“三同时”的原则下配套相应的污染治理设施，制定相应的环境保护管理计划，为有效地保护厂区周围环境提供了良好的技术基础。另外，必须科学地监督管理环保设施的运行情况，以保证达到应有的治理效果。</w:t>
      </w:r>
    </w:p>
    <w:p w14:paraId="326CE466">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38" w:name="_Toc36619759"/>
      <w:bookmarkStart w:id="139" w:name="_Toc16672"/>
      <w:r>
        <w:rPr>
          <w:rFonts w:hint="default" w:ascii="Times New Roman" w:hAnsi="Times New Roman" w:eastAsia="宋体" w:cs="Times New Roman"/>
          <w:color w:val="auto"/>
          <w:sz w:val="28"/>
          <w:szCs w:val="28"/>
          <w:highlight w:val="none"/>
          <w:u w:val="none" w:color="auto"/>
          <w:lang w:val="en-US" w:eastAsia="zh-CN"/>
        </w:rPr>
        <w:t>12.1环境管理</w:t>
      </w:r>
      <w:bookmarkEnd w:id="138"/>
      <w:bookmarkEnd w:id="139"/>
    </w:p>
    <w:p w14:paraId="55AF6A69">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12.1.1环境管理机构设置的目的</w:t>
      </w:r>
    </w:p>
    <w:p w14:paraId="424700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环境管理机构的设置，目的是为了贯彻执行中华人民共和国环境保护法的有关法律、法规，全面落实《国务院关于环境保护若干问题的决定》的有关规定，对项目“三废”排放实行监控，确保建设项目经济、环境和社会效益协调发展；协调地方环保部门工作，为企业的生产管理和环境管理提供保证，针对拟建项目的具体情况，为加强管理，企业应设置环境管理机构，并尽相应的职责。</w:t>
      </w:r>
    </w:p>
    <w:p w14:paraId="726EA6FA">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12.1.2环境管理机构的设置</w:t>
      </w:r>
    </w:p>
    <w:p w14:paraId="2B7D08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根据本工程的实际情况，运营期根据生产组织及地方环境保护要求的特点，项目环境管理由总经理直接负责，另设置1个直接进行项目环境管理的兼职技术人员，负责公司的环保监测及日常环保管理，负责具体的日常环保协调、管理工作，并受项目主管单位及环保行政管理部门的监督和指导。</w:t>
      </w:r>
    </w:p>
    <w:p w14:paraId="73E69C15">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12.1.3环境管理机构的职责</w:t>
      </w:r>
    </w:p>
    <w:p w14:paraId="45FA78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（1）建立健全全厂环保工作规章制度，积极组织贯彻执行国家有关环保法规、政策与制度。如：“三同时”制度、环保设施竣工验收、排污申报与许可制度，污染物达标与问题控制制度等。</w:t>
      </w:r>
    </w:p>
    <w:p w14:paraId="00F3E1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根据本环境影响报告书提出的环境监测计划，编制项目年度环境监测计划，制定执行环保监测、统计、考核和报告制度。依据各级环境保护行政主管部门提出的要求，开展相应的环保方面工作，并定期整理环保资料上报有关部门。</w:t>
      </w:r>
    </w:p>
    <w:p w14:paraId="12556E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（3）环保管理人员负责制定公司环保法规及相关制度，并负责监督执行；对环保设施运行情况及厂区环境状况进行监督管理、对本厂的污染物排放进行管理和监督，发现问题及时向上级领导反应情况。</w:t>
      </w:r>
    </w:p>
    <w:p w14:paraId="00F3A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（4）宣传环保法规，开展环保教育与培训工作，对各车间岗位进行环保执法监督与考核。</w:t>
      </w:r>
    </w:p>
    <w:p w14:paraId="0AFF1E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（5）现场管理人员对现场环保设施的运行状况负责，及时掌握厂区环境状况的第一手资料，促进管理的深入和污染管理的各项措施的落实，消除发生污染事故的隐患。</w:t>
      </w:r>
    </w:p>
    <w:p w14:paraId="19ABD8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（6）负责组织突发性环境事故的应急处理及善后事宜，及时报告上级环保管理部门。</w:t>
      </w:r>
    </w:p>
    <w:p w14:paraId="5DA6D8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（7）按规定时间向上级环保管理部门申报环境各类报表。</w:t>
      </w:r>
    </w:p>
    <w:p w14:paraId="6BCE4D3C">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12.1.4环境监理</w:t>
      </w:r>
    </w:p>
    <w:p w14:paraId="2BCB20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（1）环境监理的目标</w:t>
      </w:r>
    </w:p>
    <w:p w14:paraId="3C03D2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环境监理的根本目标在于提高环境影响评价的有效性，实现工程建设项目环保目标；落实环境保护设施与措施，防止</w:t>
      </w:r>
      <w:r>
        <w:rPr>
          <w:rFonts w:hint="default" w:ascii="Times New Roman" w:hAnsi="Times New Roman" w:eastAsia="宋体" w:cs="Times New Roman"/>
          <w:color w:val="auto"/>
          <w:sz w:val="24"/>
          <w:szCs w:val="21"/>
          <w:highlight w:val="none"/>
          <w:u w:val="none" w:color="auto"/>
        </w:rPr>
        <w:fldChar w:fldCharType="begin"/>
      </w:r>
      <w:r>
        <w:rPr>
          <w:rFonts w:hint="default" w:ascii="Times New Roman" w:hAnsi="Times New Roman" w:eastAsia="宋体" w:cs="Times New Roman"/>
          <w:color w:val="auto"/>
          <w:sz w:val="24"/>
          <w:szCs w:val="21"/>
          <w:highlight w:val="none"/>
          <w:u w:val="none" w:color="auto"/>
        </w:rPr>
        <w:instrText xml:space="preserve"> HYPERLINK "http://baike.so.com/doc/2445413-2585126.html" \t "_blank" </w:instrText>
      </w:r>
      <w:r>
        <w:rPr>
          <w:rFonts w:hint="default" w:ascii="Times New Roman" w:hAnsi="Times New Roman" w:eastAsia="宋体" w:cs="Times New Roman"/>
          <w:color w:val="auto"/>
          <w:sz w:val="24"/>
          <w:szCs w:val="21"/>
          <w:highlight w:val="none"/>
          <w:u w:val="none" w:color="auto"/>
        </w:rPr>
        <w:fldChar w:fldCharType="separate"/>
      </w:r>
      <w:r>
        <w:rPr>
          <w:rFonts w:hint="default" w:ascii="Times New Roman" w:hAnsi="Times New Roman" w:eastAsia="宋体" w:cs="Times New Roman"/>
          <w:color w:val="auto"/>
          <w:sz w:val="24"/>
          <w:szCs w:val="21"/>
          <w:highlight w:val="none"/>
          <w:u w:val="none" w:color="auto"/>
        </w:rPr>
        <w:t>环境污染</w:t>
      </w:r>
      <w:r>
        <w:rPr>
          <w:rFonts w:hint="default" w:ascii="Times New Roman" w:hAnsi="Times New Roman" w:eastAsia="宋体" w:cs="Times New Roman"/>
          <w:color w:val="auto"/>
          <w:sz w:val="24"/>
          <w:szCs w:val="21"/>
          <w:highlight w:val="none"/>
          <w:u w:val="none" w:color="auto"/>
        </w:rPr>
        <w:fldChar w:fldCharType="end"/>
      </w:r>
      <w:r>
        <w:rPr>
          <w:rFonts w:hint="default" w:ascii="Times New Roman" w:hAnsi="Times New Roman" w:eastAsia="宋体" w:cs="Times New Roman"/>
          <w:color w:val="auto"/>
          <w:sz w:val="24"/>
          <w:szCs w:val="21"/>
          <w:highlight w:val="none"/>
          <w:u w:val="none" w:color="auto"/>
        </w:rPr>
        <w:t>和生态破坏；满足工程竣工环境保护验收要求。</w:t>
      </w:r>
    </w:p>
    <w:p w14:paraId="1D7F8C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对环境监理单位则要求必须在施工现场对污染防治和生态保护的情况进行检查，督促各项环保措施落到实处。对未按有关环境保护要求施工的，应责令建设单位限期改正。</w:t>
      </w:r>
    </w:p>
    <w:p w14:paraId="01F80C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（2）环境监理的主要监理任务：</w:t>
      </w:r>
    </w:p>
    <w:p w14:paraId="374F21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前：审查施工单位提交的施工组织设计中的质量安全技术措施、专项施工方案与工程建设强制性标准的符合性；检查施工单位工程质量、安全生产管理制度及组织机构和人员资格；检查施工单位专职安全生产管理人员的配备情况；审核分包单位资质条件。</w:t>
      </w:r>
    </w:p>
    <w:p w14:paraId="50BC51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施工阶段：施工阶段质量控制；施工阶段的进度控制。</w:t>
      </w:r>
    </w:p>
    <w:p w14:paraId="4CAF03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竣工验收阶段：督促和检查施工单位及时整理竣工文件和验收资料，并提出意见；审查施工单位提交的竣工验收申请，编写工程质量评估报告；组织工程预验收，参加业主组织的竣工验收，并签署竣工验收意见；编制、整理工程监理归档文件并提交给业主。</w:t>
      </w:r>
    </w:p>
    <w:p w14:paraId="535B16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（3）环境监理重点</w:t>
      </w:r>
    </w:p>
    <w:p w14:paraId="507959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①生产车间、污水处理车间、厂区应急事故池规模、大小实际建设情况，其防腐防渗系统应满足相关要求。</w:t>
      </w:r>
    </w:p>
    <w:p w14:paraId="0D7DC0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②污水处理车间及污水收集池、污水收集管是否进行了防腐防渗处理，车间应急池、雨水收集系统、污水收集系统应与厂区事故池连通情况</w:t>
      </w:r>
      <w:r>
        <w:rPr>
          <w:rFonts w:hint="eastAsia" w:ascii="Times New Roman" w:hAnsi="Times New Roman" w:eastAsia="宋体" w:cs="Times New Roman"/>
          <w:color w:val="auto"/>
          <w:sz w:val="24"/>
          <w:szCs w:val="21"/>
          <w:highlight w:val="none"/>
          <w:u w:val="none" w:color="auto"/>
          <w:lang w:eastAsia="zh-CN"/>
        </w:rPr>
        <w:t>以及</w:t>
      </w:r>
      <w:r>
        <w:rPr>
          <w:rFonts w:hint="default" w:ascii="Times New Roman" w:hAnsi="Times New Roman" w:eastAsia="宋体" w:cs="Times New Roman"/>
          <w:color w:val="auto"/>
          <w:sz w:val="24"/>
          <w:szCs w:val="21"/>
          <w:highlight w:val="none"/>
          <w:u w:val="none" w:color="auto"/>
        </w:rPr>
        <w:t>阀门控制情况。</w:t>
      </w:r>
    </w:p>
    <w:p w14:paraId="0F01A1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③各防腐防渗材料应选用有一定厚度的优质材料，铺设时应保证质量，不留接缝。</w:t>
      </w:r>
    </w:p>
    <w:p w14:paraId="2833B8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④危废暂存间严格参照《危险废物贮存污染控制标准》（</w:t>
      </w:r>
      <w:r>
        <w:rPr>
          <w:rFonts w:hint="eastAsia" w:ascii="Times New Roman" w:hAnsi="Times New Roman" w:eastAsia="宋体" w:cs="Times New Roman"/>
          <w:color w:val="auto"/>
          <w:sz w:val="24"/>
          <w:szCs w:val="21"/>
          <w:highlight w:val="none"/>
          <w:u w:val="none" w:color="auto"/>
          <w:lang w:eastAsia="zh-CN"/>
        </w:rPr>
        <w:t>GB18597-2023</w:t>
      </w:r>
      <w:r>
        <w:rPr>
          <w:rFonts w:hint="default" w:ascii="Times New Roman" w:hAnsi="Times New Roman" w:eastAsia="宋体" w:cs="Times New Roman"/>
          <w:color w:val="auto"/>
          <w:sz w:val="24"/>
          <w:szCs w:val="21"/>
          <w:highlight w:val="none"/>
          <w:u w:val="none" w:color="auto"/>
        </w:rPr>
        <w:t>）的要求进行建设，并进行防腐防渗、分区、设置集液池等。</w:t>
      </w:r>
    </w:p>
    <w:p w14:paraId="62FCBA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⑤生产废水收集及处理设施可视可监控。</w:t>
      </w:r>
    </w:p>
    <w:p w14:paraId="13A9E9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本评价要求建设单位委托有资质公司开展施工期环境监理。</w:t>
      </w:r>
    </w:p>
    <w:bookmarkEnd w:id="136"/>
    <w:bookmarkEnd w:id="137"/>
    <w:p w14:paraId="74E00BDE">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40" w:name="_Toc12864302"/>
      <w:bookmarkStart w:id="141" w:name="_Toc14712"/>
      <w:bookmarkStart w:id="142" w:name="_Toc36619760"/>
      <w:r>
        <w:rPr>
          <w:rFonts w:hint="default" w:ascii="Times New Roman" w:hAnsi="Times New Roman" w:eastAsia="宋体" w:cs="Times New Roman"/>
          <w:color w:val="auto"/>
          <w:sz w:val="28"/>
          <w:szCs w:val="28"/>
          <w:highlight w:val="none"/>
          <w:u w:val="none" w:color="auto"/>
          <w:lang w:val="en-US" w:eastAsia="zh-CN"/>
        </w:rPr>
        <w:t>12.2环境管理计划</w:t>
      </w:r>
      <w:bookmarkEnd w:id="140"/>
      <w:bookmarkEnd w:id="141"/>
      <w:bookmarkEnd w:id="142"/>
    </w:p>
    <w:p w14:paraId="4D9E07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项目营运期环境管理计划详见下表。</w:t>
      </w:r>
    </w:p>
    <w:p w14:paraId="4E0D832E">
      <w:pPr>
        <w:jc w:val="center"/>
        <w:rPr>
          <w:rFonts w:hint="default" w:ascii="Times New Roman" w:hAnsi="Times New Roman" w:eastAsia="宋体" w:cs="Times New Roman"/>
          <w:b/>
          <w:color w:val="auto"/>
          <w:sz w:val="21"/>
          <w:szCs w:val="18"/>
          <w:highlight w:val="none"/>
          <w:u w:val="none" w:color="auto"/>
          <w:lang w:val="zh-CN"/>
        </w:rPr>
      </w:pPr>
      <w:r>
        <w:rPr>
          <w:rFonts w:hint="default" w:ascii="Times New Roman" w:hAnsi="Times New Roman" w:eastAsia="宋体" w:cs="Times New Roman"/>
          <w:b/>
          <w:color w:val="auto"/>
          <w:sz w:val="21"/>
          <w:szCs w:val="18"/>
          <w:highlight w:val="none"/>
          <w:u w:val="none" w:color="auto"/>
          <w:lang w:val="zh-CN"/>
        </w:rPr>
        <w:t>表1</w:t>
      </w:r>
      <w:r>
        <w:rPr>
          <w:rFonts w:hint="default" w:ascii="Times New Roman" w:hAnsi="Times New Roman" w:eastAsia="宋体" w:cs="Times New Roman"/>
          <w:b/>
          <w:color w:val="auto"/>
          <w:sz w:val="21"/>
          <w:szCs w:val="18"/>
          <w:highlight w:val="none"/>
          <w:u w:val="none" w:color="auto"/>
          <w:lang w:val="en-US" w:eastAsia="zh-CN"/>
        </w:rPr>
        <w:t>2</w:t>
      </w:r>
      <w:r>
        <w:rPr>
          <w:rFonts w:hint="default" w:ascii="Times New Roman" w:hAnsi="Times New Roman" w:eastAsia="宋体" w:cs="Times New Roman"/>
          <w:b/>
          <w:color w:val="auto"/>
          <w:sz w:val="21"/>
          <w:szCs w:val="18"/>
          <w:highlight w:val="none"/>
          <w:u w:val="none" w:color="auto"/>
          <w:lang w:val="zh-CN"/>
        </w:rPr>
        <w:t>.2-1项目营运期环境管理计划</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84"/>
        <w:gridCol w:w="5297"/>
        <w:gridCol w:w="1045"/>
        <w:gridCol w:w="710"/>
      </w:tblGrid>
      <w:tr w14:paraId="7BF54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0" w:type="pct"/>
            <w:vAlign w:val="center"/>
          </w:tcPr>
          <w:p w14:paraId="7631EB6A">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环境问题</w:t>
            </w:r>
          </w:p>
        </w:tc>
        <w:tc>
          <w:tcPr>
            <w:tcW w:w="3177" w:type="pct"/>
            <w:vAlign w:val="center"/>
          </w:tcPr>
          <w:p w14:paraId="77B415F5">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减缓措施</w:t>
            </w:r>
          </w:p>
        </w:tc>
        <w:tc>
          <w:tcPr>
            <w:tcW w:w="627" w:type="pct"/>
            <w:vAlign w:val="center"/>
          </w:tcPr>
          <w:p w14:paraId="30F1CFDF">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执行机构</w:t>
            </w:r>
          </w:p>
        </w:tc>
        <w:tc>
          <w:tcPr>
            <w:tcW w:w="426" w:type="pct"/>
            <w:vAlign w:val="center"/>
          </w:tcPr>
          <w:p w14:paraId="302813D0">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监督管理机构</w:t>
            </w:r>
          </w:p>
        </w:tc>
      </w:tr>
      <w:tr w14:paraId="6949F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0" w:type="pct"/>
            <w:vAlign w:val="center"/>
          </w:tcPr>
          <w:p w14:paraId="52B5338A">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水污染防治</w:t>
            </w:r>
          </w:p>
        </w:tc>
        <w:tc>
          <w:tcPr>
            <w:tcW w:w="3177" w:type="pct"/>
            <w:vAlign w:val="center"/>
          </w:tcPr>
          <w:p w14:paraId="6EBA7F0E">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雨污分流、污污分流，加强废水分类分质收集、处理，加强废水处理设施的运行和维护，确保废水达标排放</w:t>
            </w:r>
          </w:p>
        </w:tc>
        <w:tc>
          <w:tcPr>
            <w:tcW w:w="627" w:type="pct"/>
            <w:vMerge w:val="restart"/>
            <w:vAlign w:val="center"/>
          </w:tcPr>
          <w:p w14:paraId="776856CE">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湖南昂拓科技有限责任公司</w:t>
            </w:r>
          </w:p>
        </w:tc>
        <w:tc>
          <w:tcPr>
            <w:tcW w:w="426" w:type="pct"/>
            <w:vMerge w:val="restart"/>
            <w:vAlign w:val="center"/>
          </w:tcPr>
          <w:p w14:paraId="133917C6">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lang w:eastAsia="zh-CN"/>
              </w:rPr>
              <w:t>衡阳市生态环境局</w:t>
            </w:r>
          </w:p>
        </w:tc>
      </w:tr>
      <w:tr w14:paraId="2050D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0" w:type="pct"/>
            <w:vAlign w:val="center"/>
          </w:tcPr>
          <w:p w14:paraId="5B8F69C8">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空气污染防治</w:t>
            </w:r>
          </w:p>
        </w:tc>
        <w:tc>
          <w:tcPr>
            <w:tcW w:w="3177" w:type="pct"/>
            <w:vAlign w:val="center"/>
          </w:tcPr>
          <w:p w14:paraId="30526BF9">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确保硫酸雾、氯化氢等废气处理系统的正常运行，随时监控各外排废气，确保废气达标排放</w:t>
            </w:r>
          </w:p>
        </w:tc>
        <w:tc>
          <w:tcPr>
            <w:tcW w:w="627" w:type="pct"/>
            <w:vMerge w:val="continue"/>
            <w:vAlign w:val="center"/>
          </w:tcPr>
          <w:p w14:paraId="789E1D1D">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p>
        </w:tc>
        <w:tc>
          <w:tcPr>
            <w:tcW w:w="426" w:type="pct"/>
            <w:vMerge w:val="continue"/>
            <w:vAlign w:val="center"/>
          </w:tcPr>
          <w:p w14:paraId="29CC2944">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p>
        </w:tc>
      </w:tr>
      <w:tr w14:paraId="373CDF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0" w:type="pct"/>
            <w:vAlign w:val="center"/>
          </w:tcPr>
          <w:p w14:paraId="21BFABD7">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噪声污染防治</w:t>
            </w:r>
          </w:p>
        </w:tc>
        <w:tc>
          <w:tcPr>
            <w:tcW w:w="3177" w:type="pct"/>
            <w:vAlign w:val="center"/>
          </w:tcPr>
          <w:p w14:paraId="44CCD7F0">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做好隔声措施，确保厂界噪声达标</w:t>
            </w:r>
          </w:p>
        </w:tc>
        <w:tc>
          <w:tcPr>
            <w:tcW w:w="627" w:type="pct"/>
            <w:vMerge w:val="continue"/>
            <w:vAlign w:val="center"/>
          </w:tcPr>
          <w:p w14:paraId="0BEA2924">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p>
        </w:tc>
        <w:tc>
          <w:tcPr>
            <w:tcW w:w="426" w:type="pct"/>
            <w:vMerge w:val="continue"/>
            <w:vAlign w:val="center"/>
          </w:tcPr>
          <w:p w14:paraId="78220D94">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p>
        </w:tc>
      </w:tr>
      <w:tr w14:paraId="72CD4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0" w:type="pct"/>
            <w:vAlign w:val="center"/>
          </w:tcPr>
          <w:p w14:paraId="09AFBDCA">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固废处置</w:t>
            </w:r>
          </w:p>
        </w:tc>
        <w:tc>
          <w:tcPr>
            <w:tcW w:w="3177" w:type="pct"/>
            <w:vAlign w:val="center"/>
          </w:tcPr>
          <w:p w14:paraId="7F79A9D8">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做好各类生产固废的管理工作，避免引起二次污染。危险废物单独暂存处置。</w:t>
            </w:r>
          </w:p>
        </w:tc>
        <w:tc>
          <w:tcPr>
            <w:tcW w:w="627" w:type="pct"/>
            <w:vMerge w:val="continue"/>
            <w:vAlign w:val="center"/>
          </w:tcPr>
          <w:p w14:paraId="3305DC68">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p>
        </w:tc>
        <w:tc>
          <w:tcPr>
            <w:tcW w:w="426" w:type="pct"/>
            <w:vMerge w:val="continue"/>
            <w:vAlign w:val="center"/>
          </w:tcPr>
          <w:p w14:paraId="77357CA5">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p>
        </w:tc>
      </w:tr>
      <w:tr w14:paraId="74E90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0" w:type="pct"/>
            <w:vAlign w:val="center"/>
          </w:tcPr>
          <w:p w14:paraId="5C0F3A4C">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环境风险管理</w:t>
            </w:r>
          </w:p>
        </w:tc>
        <w:tc>
          <w:tcPr>
            <w:tcW w:w="3177" w:type="pct"/>
            <w:vAlign w:val="center"/>
          </w:tcPr>
          <w:p w14:paraId="6B6FE2EF">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（1）实时监控各风险源，一旦发现不能正常运行应立即采取措施；（2）配备污染事故应急处理设备，制订相应处理措施，明确人员和操作规程，加强职工培训，</w:t>
            </w:r>
            <w:r>
              <w:rPr>
                <w:rFonts w:hint="eastAsia" w:ascii="Times New Roman" w:hAnsi="Times New Roman" w:eastAsia="宋体" w:cs="Times New Roman"/>
                <w:bCs/>
                <w:color w:val="auto"/>
                <w:sz w:val="21"/>
                <w:szCs w:val="21"/>
                <w:highlight w:val="none"/>
                <w:u w:val="none" w:color="auto"/>
                <w:lang w:eastAsia="zh-CN"/>
              </w:rPr>
              <w:t>健全</w:t>
            </w:r>
            <w:r>
              <w:rPr>
                <w:rFonts w:hint="default" w:ascii="Times New Roman" w:hAnsi="Times New Roman" w:eastAsia="宋体" w:cs="Times New Roman"/>
                <w:bCs/>
                <w:color w:val="auto"/>
                <w:sz w:val="21"/>
                <w:szCs w:val="21"/>
                <w:highlight w:val="none"/>
                <w:u w:val="none" w:color="auto"/>
              </w:rPr>
              <w:t>安全生产制度，防止生产事故发生，确保无污染事故发生</w:t>
            </w:r>
          </w:p>
        </w:tc>
        <w:tc>
          <w:tcPr>
            <w:tcW w:w="627" w:type="pct"/>
            <w:vMerge w:val="continue"/>
            <w:vAlign w:val="center"/>
          </w:tcPr>
          <w:p w14:paraId="2DFCD39C">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p>
        </w:tc>
        <w:tc>
          <w:tcPr>
            <w:tcW w:w="426" w:type="pct"/>
            <w:vMerge w:val="continue"/>
            <w:vAlign w:val="center"/>
          </w:tcPr>
          <w:p w14:paraId="4699B5E5">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p>
        </w:tc>
      </w:tr>
      <w:tr w14:paraId="4901C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70" w:type="pct"/>
            <w:vAlign w:val="center"/>
          </w:tcPr>
          <w:p w14:paraId="76ACE9CE">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环境监测</w:t>
            </w:r>
          </w:p>
        </w:tc>
        <w:tc>
          <w:tcPr>
            <w:tcW w:w="3177" w:type="pct"/>
            <w:vAlign w:val="center"/>
          </w:tcPr>
          <w:p w14:paraId="145A0479">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按照环境监测技术规范和</w:t>
            </w:r>
            <w:r>
              <w:rPr>
                <w:rFonts w:hint="eastAsia" w:ascii="Times New Roman" w:hAnsi="Times New Roman" w:eastAsia="宋体" w:cs="Times New Roman"/>
                <w:bCs/>
                <w:color w:val="auto"/>
                <w:sz w:val="21"/>
                <w:szCs w:val="21"/>
                <w:highlight w:val="none"/>
                <w:u w:val="none" w:color="auto"/>
                <w:lang w:eastAsia="zh-CN"/>
              </w:rPr>
              <w:t>生态环境部</w:t>
            </w:r>
            <w:r>
              <w:rPr>
                <w:rFonts w:hint="default" w:ascii="Times New Roman" w:hAnsi="Times New Roman" w:eastAsia="宋体" w:cs="Times New Roman"/>
                <w:bCs/>
                <w:color w:val="auto"/>
                <w:sz w:val="21"/>
                <w:szCs w:val="21"/>
                <w:highlight w:val="none"/>
                <w:u w:val="none" w:color="auto"/>
              </w:rPr>
              <w:t>颁布的监测标准、方法执行</w:t>
            </w:r>
          </w:p>
        </w:tc>
        <w:tc>
          <w:tcPr>
            <w:tcW w:w="627" w:type="pct"/>
            <w:vAlign w:val="center"/>
          </w:tcPr>
          <w:p w14:paraId="31D05CBE">
            <w:pPr>
              <w:adjustRightInd w:val="0"/>
              <w:snapToGrid w:val="0"/>
              <w:spacing w:line="240" w:lineRule="auto"/>
              <w:jc w:val="both"/>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有资质的环保监测单位</w:t>
            </w:r>
          </w:p>
        </w:tc>
        <w:tc>
          <w:tcPr>
            <w:tcW w:w="426" w:type="pct"/>
            <w:vMerge w:val="continue"/>
            <w:vAlign w:val="center"/>
          </w:tcPr>
          <w:p w14:paraId="2F2D17A4">
            <w:pPr>
              <w:adjustRightInd w:val="0"/>
              <w:snapToGrid w:val="0"/>
              <w:spacing w:line="240" w:lineRule="auto"/>
              <w:jc w:val="center"/>
              <w:rPr>
                <w:rFonts w:hint="default" w:ascii="Times New Roman" w:hAnsi="Times New Roman" w:eastAsia="宋体" w:cs="Times New Roman"/>
                <w:bCs/>
                <w:color w:val="auto"/>
                <w:sz w:val="21"/>
                <w:szCs w:val="21"/>
                <w:highlight w:val="none"/>
                <w:u w:val="none" w:color="auto"/>
              </w:rPr>
            </w:pPr>
          </w:p>
        </w:tc>
      </w:tr>
    </w:tbl>
    <w:p w14:paraId="6B46618C">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43" w:name="_Toc12864303"/>
      <w:bookmarkStart w:id="144" w:name="_Toc531986346"/>
      <w:bookmarkStart w:id="145" w:name="_Toc36619761"/>
      <w:bookmarkStart w:id="146" w:name="_Toc11461"/>
      <w:r>
        <w:rPr>
          <w:rFonts w:hint="default" w:ascii="Times New Roman" w:hAnsi="Times New Roman" w:eastAsia="宋体" w:cs="Times New Roman"/>
          <w:color w:val="auto"/>
          <w:sz w:val="28"/>
          <w:szCs w:val="28"/>
          <w:highlight w:val="none"/>
          <w:u w:val="none" w:color="auto"/>
          <w:lang w:val="en-US" w:eastAsia="zh-CN"/>
        </w:rPr>
        <w:t>12.3</w:t>
      </w:r>
      <w:bookmarkEnd w:id="143"/>
      <w:bookmarkEnd w:id="144"/>
      <w:r>
        <w:rPr>
          <w:rFonts w:hint="default" w:ascii="Times New Roman" w:hAnsi="Times New Roman" w:eastAsia="宋体" w:cs="Times New Roman"/>
          <w:color w:val="auto"/>
          <w:sz w:val="28"/>
          <w:szCs w:val="28"/>
          <w:highlight w:val="none"/>
          <w:u w:val="none" w:color="auto"/>
          <w:lang w:val="en-US" w:eastAsia="zh-CN"/>
        </w:rPr>
        <w:t>排污单位自行监测</w:t>
      </w:r>
      <w:bookmarkEnd w:id="145"/>
      <w:bookmarkEnd w:id="146"/>
    </w:p>
    <w:p w14:paraId="5FFADD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建设单位为掌握本单位的污染物排放状况及其对周边环境质量的影响等情况，需按照相关法律法规和技术规范，组织开展环境监测活动。</w:t>
      </w:r>
    </w:p>
    <w:p w14:paraId="48E8305A">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12.3.1一般要求</w:t>
      </w:r>
    </w:p>
    <w:p w14:paraId="2F60C7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（1）制定监测方案</w:t>
      </w:r>
    </w:p>
    <w:p w14:paraId="190A63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建设单位应查清所有污染源，确定主要污染源及主要监测指标，制定监测方案。建设单位应当在投入生产或使用并产生实际排污行为之前完成自行监测方案的编制及相关准备工作。</w:t>
      </w:r>
    </w:p>
    <w:p w14:paraId="517B9C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（2）开展自行监测</w:t>
      </w:r>
    </w:p>
    <w:p w14:paraId="0947D8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建设单位应按照最新的监测方案开展监测活动，可根据自身条件和能力，利用自有人员、场所和设备自行监测；也可委托其它有资质的检（监）测机构代其开展自行监测。</w:t>
      </w:r>
    </w:p>
    <w:p w14:paraId="5F3D4C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（3）做好监测质量保证与质量控制</w:t>
      </w:r>
    </w:p>
    <w:p w14:paraId="122701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建设单位应建立自行监测质量管理制度，按照相关技术规范要求做好监测质量保证与质量控制。</w:t>
      </w:r>
    </w:p>
    <w:p w14:paraId="2B0CCC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（4）记录和保存监测数据</w:t>
      </w:r>
    </w:p>
    <w:p w14:paraId="7809F0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排污单位应做好与监测相关的数据记录，按照规定进行保存，并依据相关法规向社会公开监测结果。</w:t>
      </w:r>
    </w:p>
    <w:p w14:paraId="7851FB01">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12.3.2污染物排放清单</w:t>
      </w:r>
    </w:p>
    <w:p w14:paraId="02A9CA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auto"/>
          <w:sz w:val="24"/>
          <w:szCs w:val="21"/>
          <w:highlight w:val="none"/>
          <w:u w:val="none" w:color="auto"/>
          <w:lang w:val="en-US" w:eastAsia="zh-CN"/>
        </w:rPr>
        <w:t>项目污染物排放清单以及污染物排放的管理要求详见下表。</w:t>
      </w:r>
    </w:p>
    <w:p w14:paraId="757977B0">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w:t>
      </w:r>
      <w:r>
        <w:rPr>
          <w:rFonts w:hint="default" w:ascii="Times New Roman" w:hAnsi="Times New Roman" w:eastAsia="宋体" w:cs="Times New Roman"/>
          <w:b/>
          <w:color w:val="auto"/>
          <w:sz w:val="21"/>
          <w:szCs w:val="18"/>
          <w:highlight w:val="none"/>
          <w:u w:val="none" w:color="auto"/>
          <w:lang w:val="en-US" w:eastAsia="zh-CN"/>
        </w:rPr>
        <w:t>12.3</w:t>
      </w:r>
      <w:r>
        <w:rPr>
          <w:rFonts w:hint="default" w:ascii="Times New Roman" w:hAnsi="Times New Roman" w:eastAsia="宋体" w:cs="Times New Roman"/>
          <w:b/>
          <w:color w:val="auto"/>
          <w:sz w:val="21"/>
          <w:szCs w:val="18"/>
          <w:highlight w:val="none"/>
          <w:u w:val="none" w:color="auto"/>
        </w:rPr>
        <w:t>-1 本项目污染物排放清单</w:t>
      </w:r>
    </w:p>
    <w:tbl>
      <w:tblPr>
        <w:tblStyle w:val="22"/>
        <w:tblW w:w="146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131"/>
        <w:gridCol w:w="1350"/>
        <w:gridCol w:w="1559"/>
        <w:gridCol w:w="2344"/>
        <w:gridCol w:w="2320"/>
        <w:gridCol w:w="1396"/>
        <w:gridCol w:w="1198"/>
        <w:gridCol w:w="1396"/>
        <w:gridCol w:w="1243"/>
      </w:tblGrid>
      <w:tr w14:paraId="7E900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88" w:type="dxa"/>
            <w:vMerge w:val="restart"/>
            <w:vAlign w:val="center"/>
          </w:tcPr>
          <w:p w14:paraId="50DBCFF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项目</w:t>
            </w:r>
          </w:p>
        </w:tc>
        <w:tc>
          <w:tcPr>
            <w:tcW w:w="2481" w:type="dxa"/>
            <w:gridSpan w:val="2"/>
            <w:vMerge w:val="restart"/>
            <w:vAlign w:val="center"/>
          </w:tcPr>
          <w:p w14:paraId="5885298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污染物类别</w:t>
            </w:r>
          </w:p>
        </w:tc>
        <w:tc>
          <w:tcPr>
            <w:tcW w:w="1559" w:type="dxa"/>
            <w:vMerge w:val="restart"/>
            <w:vAlign w:val="center"/>
          </w:tcPr>
          <w:p w14:paraId="1779B997">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污染物</w:t>
            </w:r>
          </w:p>
        </w:tc>
        <w:tc>
          <w:tcPr>
            <w:tcW w:w="2344" w:type="dxa"/>
            <w:vMerge w:val="restart"/>
            <w:vAlign w:val="center"/>
          </w:tcPr>
          <w:p w14:paraId="5FE4326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处理措施及</w:t>
            </w:r>
            <w:r>
              <w:rPr>
                <w:rFonts w:hint="default" w:ascii="Times New Roman" w:hAnsi="Times New Roman" w:eastAsia="宋体" w:cs="Times New Roman"/>
                <w:color w:val="auto"/>
                <w:sz w:val="21"/>
                <w:szCs w:val="21"/>
                <w:highlight w:val="none"/>
                <w:u w:val="none" w:color="auto"/>
                <w:lang w:eastAsia="zh-CN"/>
              </w:rPr>
              <w:t>风量</w:t>
            </w:r>
          </w:p>
        </w:tc>
        <w:tc>
          <w:tcPr>
            <w:tcW w:w="4914" w:type="dxa"/>
            <w:gridSpan w:val="3"/>
            <w:vAlign w:val="center"/>
          </w:tcPr>
          <w:p w14:paraId="2484CF4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污染物排放情况</w:t>
            </w:r>
          </w:p>
        </w:tc>
        <w:tc>
          <w:tcPr>
            <w:tcW w:w="2639" w:type="dxa"/>
            <w:gridSpan w:val="2"/>
            <w:vAlign w:val="center"/>
          </w:tcPr>
          <w:p w14:paraId="28C267F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排放标准</w:t>
            </w:r>
          </w:p>
        </w:tc>
      </w:tr>
      <w:tr w14:paraId="07568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688" w:type="dxa"/>
            <w:vMerge w:val="continue"/>
            <w:vAlign w:val="center"/>
          </w:tcPr>
          <w:p w14:paraId="366FAC98">
            <w:pPr>
              <w:spacing w:line="240" w:lineRule="auto"/>
              <w:jc w:val="center"/>
              <w:rPr>
                <w:rFonts w:hint="default" w:ascii="Times New Roman" w:hAnsi="Times New Roman" w:eastAsia="宋体" w:cs="Times New Roman"/>
                <w:color w:val="auto"/>
                <w:sz w:val="21"/>
                <w:szCs w:val="21"/>
                <w:highlight w:val="none"/>
                <w:u w:val="none" w:color="auto"/>
              </w:rPr>
            </w:pPr>
          </w:p>
        </w:tc>
        <w:tc>
          <w:tcPr>
            <w:tcW w:w="2481" w:type="dxa"/>
            <w:gridSpan w:val="2"/>
            <w:vMerge w:val="continue"/>
            <w:vAlign w:val="center"/>
          </w:tcPr>
          <w:p w14:paraId="631E395F">
            <w:pPr>
              <w:spacing w:line="240" w:lineRule="auto"/>
              <w:jc w:val="center"/>
              <w:rPr>
                <w:rFonts w:hint="default" w:ascii="Times New Roman" w:hAnsi="Times New Roman" w:eastAsia="宋体" w:cs="Times New Roman"/>
                <w:color w:val="auto"/>
                <w:sz w:val="21"/>
                <w:szCs w:val="21"/>
                <w:highlight w:val="none"/>
                <w:u w:val="none" w:color="auto"/>
              </w:rPr>
            </w:pPr>
          </w:p>
        </w:tc>
        <w:tc>
          <w:tcPr>
            <w:tcW w:w="1559" w:type="dxa"/>
            <w:vMerge w:val="continue"/>
            <w:vAlign w:val="center"/>
          </w:tcPr>
          <w:p w14:paraId="30530ECB">
            <w:pPr>
              <w:spacing w:line="240" w:lineRule="auto"/>
              <w:jc w:val="center"/>
              <w:rPr>
                <w:rFonts w:hint="default" w:ascii="Times New Roman" w:hAnsi="Times New Roman" w:eastAsia="宋体" w:cs="Times New Roman"/>
                <w:color w:val="auto"/>
                <w:sz w:val="21"/>
                <w:szCs w:val="21"/>
                <w:highlight w:val="none"/>
                <w:u w:val="none" w:color="auto"/>
              </w:rPr>
            </w:pPr>
          </w:p>
        </w:tc>
        <w:tc>
          <w:tcPr>
            <w:tcW w:w="2344" w:type="dxa"/>
            <w:vMerge w:val="continue"/>
            <w:vAlign w:val="center"/>
          </w:tcPr>
          <w:p w14:paraId="0D301033">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496D9045">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排放浓度</w:t>
            </w:r>
          </w:p>
          <w:p w14:paraId="102D3C9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w:t>
            </w:r>
          </w:p>
        </w:tc>
        <w:tc>
          <w:tcPr>
            <w:tcW w:w="1396" w:type="dxa"/>
            <w:vAlign w:val="center"/>
          </w:tcPr>
          <w:p w14:paraId="4F9C55C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排放速率</w:t>
            </w:r>
          </w:p>
          <w:p w14:paraId="520CE34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（kg/h）</w:t>
            </w:r>
          </w:p>
        </w:tc>
        <w:tc>
          <w:tcPr>
            <w:tcW w:w="1198" w:type="dxa"/>
            <w:vAlign w:val="center"/>
          </w:tcPr>
          <w:p w14:paraId="2FA8DEA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排放量（t/a）</w:t>
            </w:r>
          </w:p>
        </w:tc>
        <w:tc>
          <w:tcPr>
            <w:tcW w:w="1396" w:type="dxa"/>
            <w:vAlign w:val="center"/>
          </w:tcPr>
          <w:p w14:paraId="16C6707D">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浓度</w:t>
            </w:r>
          </w:p>
          <w:p w14:paraId="3B96384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（mg/m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w:t>
            </w:r>
          </w:p>
        </w:tc>
        <w:tc>
          <w:tcPr>
            <w:tcW w:w="1243" w:type="dxa"/>
            <w:vAlign w:val="center"/>
          </w:tcPr>
          <w:p w14:paraId="5600F266">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速率（kg/h）</w:t>
            </w:r>
          </w:p>
        </w:tc>
      </w:tr>
      <w:tr w14:paraId="2BEF6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88" w:type="dxa"/>
            <w:vMerge w:val="restart"/>
            <w:vAlign w:val="center"/>
          </w:tcPr>
          <w:p w14:paraId="1C7ECDA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废气</w:t>
            </w:r>
          </w:p>
        </w:tc>
        <w:tc>
          <w:tcPr>
            <w:tcW w:w="1131" w:type="dxa"/>
            <w:vAlign w:val="center"/>
          </w:tcPr>
          <w:p w14:paraId="22C91D3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DA001</w:t>
            </w:r>
          </w:p>
        </w:tc>
        <w:tc>
          <w:tcPr>
            <w:tcW w:w="1350" w:type="dxa"/>
            <w:vAlign w:val="center"/>
          </w:tcPr>
          <w:p w14:paraId="7069542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出光槽</w:t>
            </w:r>
          </w:p>
        </w:tc>
        <w:tc>
          <w:tcPr>
            <w:tcW w:w="1559" w:type="dxa"/>
            <w:vAlign w:val="center"/>
          </w:tcPr>
          <w:p w14:paraId="7303F29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氮氧化物</w:t>
            </w:r>
          </w:p>
        </w:tc>
        <w:tc>
          <w:tcPr>
            <w:tcW w:w="2344" w:type="dxa"/>
            <w:vAlign w:val="center"/>
          </w:tcPr>
          <w:p w14:paraId="608742B0">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eastAsia="zh-CN"/>
              </w:rPr>
              <w:t>三级</w:t>
            </w:r>
            <w:r>
              <w:rPr>
                <w:rFonts w:hint="default" w:ascii="Times New Roman" w:hAnsi="Times New Roman" w:eastAsia="宋体" w:cs="Times New Roman"/>
                <w:color w:val="auto"/>
                <w:sz w:val="21"/>
                <w:szCs w:val="21"/>
                <w:highlight w:val="none"/>
                <w:u w:val="none" w:color="auto"/>
                <w:lang w:eastAsia="zh-CN"/>
              </w:rPr>
              <w:t>喷淋塔吸收法</w:t>
            </w:r>
            <w:r>
              <w:rPr>
                <w:rFonts w:hint="default" w:ascii="Times New Roman" w:hAnsi="Times New Roman" w:eastAsia="宋体" w:cs="Times New Roman"/>
                <w:color w:val="auto"/>
                <w:sz w:val="21"/>
                <w:szCs w:val="21"/>
                <w:highlight w:val="none"/>
                <w:u w:val="none" w:color="auto"/>
              </w:rPr>
              <w:t>，设计风量1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2320" w:type="dxa"/>
            <w:vAlign w:val="center"/>
          </w:tcPr>
          <w:p w14:paraId="76C1EC6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0.230</w:t>
            </w:r>
          </w:p>
        </w:tc>
        <w:tc>
          <w:tcPr>
            <w:tcW w:w="1396" w:type="dxa"/>
            <w:vAlign w:val="center"/>
          </w:tcPr>
          <w:p w14:paraId="4768FA6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0.004</w:t>
            </w:r>
          </w:p>
        </w:tc>
        <w:tc>
          <w:tcPr>
            <w:tcW w:w="1198" w:type="dxa"/>
            <w:vAlign w:val="center"/>
          </w:tcPr>
          <w:p w14:paraId="0D1B918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0.030</w:t>
            </w:r>
          </w:p>
        </w:tc>
        <w:tc>
          <w:tcPr>
            <w:tcW w:w="1396" w:type="dxa"/>
            <w:vAlign w:val="center"/>
          </w:tcPr>
          <w:p w14:paraId="5CDD3FA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200</w:t>
            </w:r>
          </w:p>
        </w:tc>
        <w:tc>
          <w:tcPr>
            <w:tcW w:w="1243" w:type="dxa"/>
            <w:vAlign w:val="center"/>
          </w:tcPr>
          <w:p w14:paraId="42EE4E0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rPr>
              <w:t>-</w:t>
            </w:r>
          </w:p>
        </w:tc>
      </w:tr>
      <w:tr w14:paraId="7B5D3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8" w:type="dxa"/>
            <w:vMerge w:val="continue"/>
            <w:vAlign w:val="center"/>
          </w:tcPr>
          <w:p w14:paraId="6969F7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131" w:type="dxa"/>
            <w:vMerge w:val="restart"/>
            <w:vAlign w:val="center"/>
          </w:tcPr>
          <w:p w14:paraId="637AC84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DA002</w:t>
            </w:r>
          </w:p>
        </w:tc>
        <w:tc>
          <w:tcPr>
            <w:tcW w:w="1350" w:type="dxa"/>
            <w:vMerge w:val="restart"/>
            <w:vAlign w:val="center"/>
          </w:tcPr>
          <w:p w14:paraId="0CEB10C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1559" w:type="dxa"/>
            <w:vAlign w:val="center"/>
          </w:tcPr>
          <w:p w14:paraId="5D77C75A">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2344" w:type="dxa"/>
            <w:vMerge w:val="restart"/>
            <w:vAlign w:val="center"/>
          </w:tcPr>
          <w:p w14:paraId="5C60E32D">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eastAsia="zh-CN"/>
              </w:rPr>
              <w:t>三级</w:t>
            </w:r>
            <w:r>
              <w:rPr>
                <w:rFonts w:hint="default" w:ascii="Times New Roman" w:hAnsi="Times New Roman" w:eastAsia="宋体" w:cs="Times New Roman"/>
                <w:color w:val="auto"/>
                <w:sz w:val="21"/>
                <w:szCs w:val="21"/>
                <w:highlight w:val="none"/>
                <w:u w:val="none" w:color="auto"/>
                <w:lang w:eastAsia="zh-CN"/>
              </w:rPr>
              <w:t>喷淋塔吸收法</w:t>
            </w:r>
            <w:r>
              <w:rPr>
                <w:rFonts w:hint="default" w:ascii="Times New Roman" w:hAnsi="Times New Roman" w:eastAsia="宋体" w:cs="Times New Roman"/>
                <w:color w:val="auto"/>
                <w:sz w:val="21"/>
                <w:szCs w:val="21"/>
                <w:highlight w:val="none"/>
                <w:u w:val="none" w:color="auto"/>
              </w:rPr>
              <w:t>，设计风量1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2320" w:type="dxa"/>
            <w:vAlign w:val="center"/>
          </w:tcPr>
          <w:p w14:paraId="091C934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w:t>
            </w:r>
          </w:p>
        </w:tc>
        <w:tc>
          <w:tcPr>
            <w:tcW w:w="1396" w:type="dxa"/>
            <w:vAlign w:val="center"/>
          </w:tcPr>
          <w:p w14:paraId="02384F8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0.0001</w:t>
            </w:r>
          </w:p>
        </w:tc>
        <w:tc>
          <w:tcPr>
            <w:tcW w:w="1198" w:type="dxa"/>
            <w:vAlign w:val="center"/>
          </w:tcPr>
          <w:p w14:paraId="5723EA4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0.0004</w:t>
            </w:r>
          </w:p>
        </w:tc>
        <w:tc>
          <w:tcPr>
            <w:tcW w:w="1396" w:type="dxa"/>
            <w:vAlign w:val="center"/>
          </w:tcPr>
          <w:p w14:paraId="7EC8B5E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1697066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60530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8" w:type="dxa"/>
            <w:vMerge w:val="continue"/>
            <w:vAlign w:val="center"/>
          </w:tcPr>
          <w:p w14:paraId="007BA9E3">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31" w:type="dxa"/>
            <w:vMerge w:val="continue"/>
            <w:vAlign w:val="center"/>
          </w:tcPr>
          <w:p w14:paraId="7208D236">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350" w:type="dxa"/>
            <w:vMerge w:val="continue"/>
            <w:vAlign w:val="center"/>
          </w:tcPr>
          <w:p w14:paraId="79CDFBBB">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7601EDE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2344" w:type="dxa"/>
            <w:vMerge w:val="continue"/>
            <w:vAlign w:val="center"/>
          </w:tcPr>
          <w:p w14:paraId="29EBC322">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3772432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0.383</w:t>
            </w:r>
          </w:p>
        </w:tc>
        <w:tc>
          <w:tcPr>
            <w:tcW w:w="1396" w:type="dxa"/>
            <w:vAlign w:val="center"/>
          </w:tcPr>
          <w:p w14:paraId="6114293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0.007</w:t>
            </w:r>
          </w:p>
        </w:tc>
        <w:tc>
          <w:tcPr>
            <w:tcW w:w="1198" w:type="dxa"/>
            <w:vAlign w:val="center"/>
          </w:tcPr>
          <w:p w14:paraId="3D13AB3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0.050</w:t>
            </w:r>
          </w:p>
        </w:tc>
        <w:tc>
          <w:tcPr>
            <w:tcW w:w="1396" w:type="dxa"/>
            <w:vAlign w:val="center"/>
          </w:tcPr>
          <w:p w14:paraId="189A65A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5E9CA92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3DB87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8" w:type="dxa"/>
            <w:vMerge w:val="continue"/>
            <w:vAlign w:val="center"/>
          </w:tcPr>
          <w:p w14:paraId="41CC69E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131" w:type="dxa"/>
            <w:vMerge w:val="restart"/>
            <w:vAlign w:val="center"/>
          </w:tcPr>
          <w:p w14:paraId="38ABFDD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DA003</w:t>
            </w:r>
          </w:p>
        </w:tc>
        <w:tc>
          <w:tcPr>
            <w:tcW w:w="1350" w:type="dxa"/>
            <w:vMerge w:val="restart"/>
            <w:vAlign w:val="center"/>
          </w:tcPr>
          <w:p w14:paraId="49048F1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1559" w:type="dxa"/>
            <w:vAlign w:val="center"/>
          </w:tcPr>
          <w:p w14:paraId="0984A70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2344" w:type="dxa"/>
            <w:vMerge w:val="restart"/>
            <w:vAlign w:val="center"/>
          </w:tcPr>
          <w:p w14:paraId="68D88BB0">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eastAsia="zh-CN"/>
              </w:rPr>
              <w:t>三级</w:t>
            </w:r>
            <w:r>
              <w:rPr>
                <w:rFonts w:hint="default" w:ascii="Times New Roman" w:hAnsi="Times New Roman" w:eastAsia="宋体" w:cs="Times New Roman"/>
                <w:color w:val="auto"/>
                <w:sz w:val="21"/>
                <w:szCs w:val="21"/>
                <w:highlight w:val="none"/>
                <w:u w:val="none" w:color="auto"/>
                <w:lang w:eastAsia="zh-CN"/>
              </w:rPr>
              <w:t>喷淋塔吸收法</w:t>
            </w:r>
            <w:r>
              <w:rPr>
                <w:rFonts w:hint="default" w:ascii="Times New Roman" w:hAnsi="Times New Roman" w:eastAsia="宋体" w:cs="Times New Roman"/>
                <w:color w:val="auto"/>
                <w:sz w:val="21"/>
                <w:szCs w:val="21"/>
                <w:highlight w:val="none"/>
                <w:u w:val="none" w:color="auto"/>
              </w:rPr>
              <w:t>，设计风量1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2320" w:type="dxa"/>
            <w:vAlign w:val="center"/>
          </w:tcPr>
          <w:p w14:paraId="526D040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w:t>
            </w:r>
          </w:p>
        </w:tc>
        <w:tc>
          <w:tcPr>
            <w:tcW w:w="1396" w:type="dxa"/>
            <w:vAlign w:val="center"/>
          </w:tcPr>
          <w:p w14:paraId="26FBFF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0.00005</w:t>
            </w:r>
          </w:p>
        </w:tc>
        <w:tc>
          <w:tcPr>
            <w:tcW w:w="1198" w:type="dxa"/>
            <w:vAlign w:val="center"/>
          </w:tcPr>
          <w:p w14:paraId="3712BAE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0.0003</w:t>
            </w:r>
          </w:p>
        </w:tc>
        <w:tc>
          <w:tcPr>
            <w:tcW w:w="1396" w:type="dxa"/>
            <w:vAlign w:val="center"/>
          </w:tcPr>
          <w:p w14:paraId="2710EF0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33E4DF7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w:t>
            </w:r>
          </w:p>
        </w:tc>
      </w:tr>
      <w:tr w14:paraId="28C4C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8" w:type="dxa"/>
            <w:vMerge w:val="continue"/>
            <w:vAlign w:val="center"/>
          </w:tcPr>
          <w:p w14:paraId="79315637">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31" w:type="dxa"/>
            <w:vMerge w:val="continue"/>
            <w:vAlign w:val="center"/>
          </w:tcPr>
          <w:p w14:paraId="1FD8905A">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350" w:type="dxa"/>
            <w:vMerge w:val="continue"/>
            <w:vAlign w:val="center"/>
          </w:tcPr>
          <w:p w14:paraId="1FDBF7C6">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7EB7C75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2344" w:type="dxa"/>
            <w:vMerge w:val="continue"/>
            <w:vAlign w:val="center"/>
          </w:tcPr>
          <w:p w14:paraId="0DB85957">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35024E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0.319</w:t>
            </w:r>
          </w:p>
        </w:tc>
        <w:tc>
          <w:tcPr>
            <w:tcW w:w="1396" w:type="dxa"/>
            <w:vAlign w:val="center"/>
          </w:tcPr>
          <w:p w14:paraId="73F19A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w:t>
            </w:r>
          </w:p>
        </w:tc>
        <w:tc>
          <w:tcPr>
            <w:tcW w:w="1198" w:type="dxa"/>
            <w:vAlign w:val="center"/>
          </w:tcPr>
          <w:p w14:paraId="164A7C5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0.041</w:t>
            </w:r>
          </w:p>
        </w:tc>
        <w:tc>
          <w:tcPr>
            <w:tcW w:w="1396" w:type="dxa"/>
            <w:vAlign w:val="center"/>
          </w:tcPr>
          <w:p w14:paraId="78C5E7E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599AC5F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19732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8" w:type="dxa"/>
            <w:vMerge w:val="continue"/>
            <w:vAlign w:val="center"/>
          </w:tcPr>
          <w:p w14:paraId="3A5CAE8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1131" w:type="dxa"/>
            <w:vMerge w:val="restart"/>
            <w:vAlign w:val="center"/>
          </w:tcPr>
          <w:p w14:paraId="54A548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DA004</w:t>
            </w:r>
          </w:p>
        </w:tc>
        <w:tc>
          <w:tcPr>
            <w:tcW w:w="1350" w:type="dxa"/>
            <w:vMerge w:val="restart"/>
            <w:vAlign w:val="center"/>
          </w:tcPr>
          <w:p w14:paraId="74093BB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1559" w:type="dxa"/>
            <w:vAlign w:val="center"/>
          </w:tcPr>
          <w:p w14:paraId="0DA0C8E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2344" w:type="dxa"/>
            <w:vMerge w:val="restart"/>
            <w:vAlign w:val="center"/>
          </w:tcPr>
          <w:p w14:paraId="598B7010">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eastAsia="zh-CN"/>
              </w:rPr>
              <w:t>三级</w:t>
            </w:r>
            <w:r>
              <w:rPr>
                <w:rFonts w:hint="default" w:ascii="Times New Roman" w:hAnsi="Times New Roman" w:eastAsia="宋体" w:cs="Times New Roman"/>
                <w:color w:val="auto"/>
                <w:sz w:val="21"/>
                <w:szCs w:val="21"/>
                <w:highlight w:val="none"/>
                <w:u w:val="none" w:color="auto"/>
                <w:lang w:eastAsia="zh-CN"/>
              </w:rPr>
              <w:t>喷淋塔吸收法</w:t>
            </w:r>
            <w:r>
              <w:rPr>
                <w:rFonts w:hint="default" w:ascii="Times New Roman" w:hAnsi="Times New Roman" w:eastAsia="宋体" w:cs="Times New Roman"/>
                <w:color w:val="auto"/>
                <w:sz w:val="21"/>
                <w:szCs w:val="21"/>
                <w:highlight w:val="none"/>
                <w:u w:val="none" w:color="auto"/>
              </w:rPr>
              <w:t>，设计风量1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2320" w:type="dxa"/>
            <w:vAlign w:val="center"/>
          </w:tcPr>
          <w:p w14:paraId="2E6701B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0.002</w:t>
            </w:r>
          </w:p>
        </w:tc>
        <w:tc>
          <w:tcPr>
            <w:tcW w:w="1396" w:type="dxa"/>
            <w:vAlign w:val="center"/>
          </w:tcPr>
          <w:p w14:paraId="1B3CB9C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0.00003</w:t>
            </w:r>
          </w:p>
        </w:tc>
        <w:tc>
          <w:tcPr>
            <w:tcW w:w="1198" w:type="dxa"/>
            <w:vAlign w:val="center"/>
          </w:tcPr>
          <w:p w14:paraId="385F4F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0.0002</w:t>
            </w:r>
          </w:p>
        </w:tc>
        <w:tc>
          <w:tcPr>
            <w:tcW w:w="1396" w:type="dxa"/>
            <w:vAlign w:val="center"/>
          </w:tcPr>
          <w:p w14:paraId="688B319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5A4399B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7E6EA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88" w:type="dxa"/>
            <w:vMerge w:val="continue"/>
            <w:vAlign w:val="center"/>
          </w:tcPr>
          <w:p w14:paraId="2E0AD9F0">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31" w:type="dxa"/>
            <w:vMerge w:val="continue"/>
            <w:vAlign w:val="center"/>
          </w:tcPr>
          <w:p w14:paraId="5868181B">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350" w:type="dxa"/>
            <w:vMerge w:val="continue"/>
            <w:vAlign w:val="center"/>
          </w:tcPr>
          <w:p w14:paraId="100F7E2A">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595006B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2344" w:type="dxa"/>
            <w:vMerge w:val="continue"/>
            <w:vAlign w:val="center"/>
          </w:tcPr>
          <w:p w14:paraId="237DDD5D">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6A1EA0A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0.213</w:t>
            </w:r>
          </w:p>
        </w:tc>
        <w:tc>
          <w:tcPr>
            <w:tcW w:w="1396" w:type="dxa"/>
            <w:vAlign w:val="center"/>
          </w:tcPr>
          <w:p w14:paraId="00D8E64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0.004</w:t>
            </w:r>
          </w:p>
        </w:tc>
        <w:tc>
          <w:tcPr>
            <w:tcW w:w="1198" w:type="dxa"/>
            <w:vAlign w:val="center"/>
          </w:tcPr>
          <w:p w14:paraId="291D277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0.028</w:t>
            </w:r>
          </w:p>
        </w:tc>
        <w:tc>
          <w:tcPr>
            <w:tcW w:w="1396" w:type="dxa"/>
            <w:vAlign w:val="center"/>
          </w:tcPr>
          <w:p w14:paraId="1EB34453">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0D0A415F">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w:t>
            </w:r>
          </w:p>
        </w:tc>
      </w:tr>
      <w:tr w14:paraId="5E877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88" w:type="dxa"/>
            <w:vMerge w:val="continue"/>
            <w:vAlign w:val="center"/>
          </w:tcPr>
          <w:p w14:paraId="64F264E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131" w:type="dxa"/>
            <w:vMerge w:val="restart"/>
            <w:vAlign w:val="center"/>
          </w:tcPr>
          <w:p w14:paraId="7FC2DB3B">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DA005</w:t>
            </w:r>
          </w:p>
        </w:tc>
        <w:tc>
          <w:tcPr>
            <w:tcW w:w="1350" w:type="dxa"/>
            <w:vMerge w:val="restart"/>
            <w:vAlign w:val="center"/>
          </w:tcPr>
          <w:p w14:paraId="416A5EE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酸洗槽</w:t>
            </w:r>
          </w:p>
        </w:tc>
        <w:tc>
          <w:tcPr>
            <w:tcW w:w="1559" w:type="dxa"/>
            <w:vAlign w:val="center"/>
          </w:tcPr>
          <w:p w14:paraId="4E121373">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2344" w:type="dxa"/>
            <w:vMerge w:val="restart"/>
            <w:vAlign w:val="center"/>
          </w:tcPr>
          <w:p w14:paraId="7CB2A2A1">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eastAsia="zh-CN"/>
              </w:rPr>
              <w:t>三级</w:t>
            </w:r>
            <w:r>
              <w:rPr>
                <w:rFonts w:hint="default" w:ascii="Times New Roman" w:hAnsi="Times New Roman" w:eastAsia="宋体" w:cs="Times New Roman"/>
                <w:color w:val="auto"/>
                <w:sz w:val="21"/>
                <w:szCs w:val="21"/>
                <w:highlight w:val="none"/>
                <w:u w:val="none" w:color="auto"/>
                <w:lang w:eastAsia="zh-CN"/>
              </w:rPr>
              <w:t>喷淋塔吸收法</w:t>
            </w:r>
            <w:r>
              <w:rPr>
                <w:rFonts w:hint="default" w:ascii="Times New Roman" w:hAnsi="Times New Roman" w:eastAsia="宋体" w:cs="Times New Roman"/>
                <w:color w:val="auto"/>
                <w:sz w:val="21"/>
                <w:szCs w:val="21"/>
                <w:highlight w:val="none"/>
                <w:u w:val="none" w:color="auto"/>
              </w:rPr>
              <w:t>，设计风量1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2320" w:type="dxa"/>
            <w:vAlign w:val="center"/>
          </w:tcPr>
          <w:p w14:paraId="5EEA610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0.1426</w:t>
            </w:r>
          </w:p>
        </w:tc>
        <w:tc>
          <w:tcPr>
            <w:tcW w:w="1396" w:type="dxa"/>
            <w:vAlign w:val="center"/>
          </w:tcPr>
          <w:p w14:paraId="300631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0.003</w:t>
            </w:r>
          </w:p>
        </w:tc>
        <w:tc>
          <w:tcPr>
            <w:tcW w:w="1198" w:type="dxa"/>
            <w:vAlign w:val="center"/>
          </w:tcPr>
          <w:p w14:paraId="546A424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0.0051</w:t>
            </w:r>
          </w:p>
        </w:tc>
        <w:tc>
          <w:tcPr>
            <w:tcW w:w="1396" w:type="dxa"/>
            <w:vAlign w:val="center"/>
          </w:tcPr>
          <w:p w14:paraId="521AAE6A">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7B7638E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02166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88" w:type="dxa"/>
            <w:vMerge w:val="continue"/>
            <w:vAlign w:val="center"/>
          </w:tcPr>
          <w:p w14:paraId="4AED94D8">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31" w:type="dxa"/>
            <w:vMerge w:val="continue"/>
            <w:vAlign w:val="center"/>
          </w:tcPr>
          <w:p w14:paraId="3C76FDD9">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350" w:type="dxa"/>
            <w:vMerge w:val="continue"/>
            <w:vAlign w:val="center"/>
          </w:tcPr>
          <w:p w14:paraId="14A88FCB">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48B74BF4">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2344" w:type="dxa"/>
            <w:vMerge w:val="continue"/>
            <w:vAlign w:val="center"/>
          </w:tcPr>
          <w:p w14:paraId="187DAE8B">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24FC70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0.072</w:t>
            </w:r>
          </w:p>
        </w:tc>
        <w:tc>
          <w:tcPr>
            <w:tcW w:w="1396" w:type="dxa"/>
            <w:vAlign w:val="center"/>
          </w:tcPr>
          <w:p w14:paraId="1D8D49F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1198" w:type="dxa"/>
            <w:vAlign w:val="center"/>
          </w:tcPr>
          <w:p w14:paraId="799728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0.009</w:t>
            </w:r>
          </w:p>
        </w:tc>
        <w:tc>
          <w:tcPr>
            <w:tcW w:w="1396" w:type="dxa"/>
            <w:vAlign w:val="center"/>
          </w:tcPr>
          <w:p w14:paraId="7106EEFB">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1096AE8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w:t>
            </w:r>
          </w:p>
        </w:tc>
      </w:tr>
      <w:tr w14:paraId="2CCA9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8" w:type="dxa"/>
            <w:vMerge w:val="continue"/>
            <w:vAlign w:val="center"/>
          </w:tcPr>
          <w:p w14:paraId="232E1A42">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31" w:type="dxa"/>
            <w:vMerge w:val="continue"/>
            <w:vAlign w:val="center"/>
          </w:tcPr>
          <w:p w14:paraId="21083153">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350" w:type="dxa"/>
            <w:vMerge w:val="restart"/>
            <w:vAlign w:val="center"/>
          </w:tcPr>
          <w:p w14:paraId="154F9DD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退镀槽</w:t>
            </w:r>
          </w:p>
        </w:tc>
        <w:tc>
          <w:tcPr>
            <w:tcW w:w="1559" w:type="dxa"/>
            <w:vAlign w:val="center"/>
          </w:tcPr>
          <w:p w14:paraId="3FB5A3E8">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2344" w:type="dxa"/>
            <w:vMerge w:val="continue"/>
            <w:vAlign w:val="center"/>
          </w:tcPr>
          <w:p w14:paraId="153D4BAD">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29C947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1AB714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198" w:type="dxa"/>
            <w:vAlign w:val="center"/>
          </w:tcPr>
          <w:p w14:paraId="7AA85B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26D4147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62831AA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w:t>
            </w:r>
          </w:p>
        </w:tc>
      </w:tr>
      <w:tr w14:paraId="78371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88" w:type="dxa"/>
            <w:vMerge w:val="continue"/>
            <w:vAlign w:val="center"/>
          </w:tcPr>
          <w:p w14:paraId="0B1FAA7C">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31" w:type="dxa"/>
            <w:vMerge w:val="continue"/>
            <w:vAlign w:val="center"/>
          </w:tcPr>
          <w:p w14:paraId="31E6CD6B">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350" w:type="dxa"/>
            <w:vMerge w:val="continue"/>
            <w:vAlign w:val="center"/>
          </w:tcPr>
          <w:p w14:paraId="06A0ACE0">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33A0146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氮氧化物</w:t>
            </w:r>
          </w:p>
        </w:tc>
        <w:tc>
          <w:tcPr>
            <w:tcW w:w="2344" w:type="dxa"/>
            <w:vMerge w:val="continue"/>
            <w:vAlign w:val="center"/>
          </w:tcPr>
          <w:p w14:paraId="4058A477">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183914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0.463</w:t>
            </w:r>
          </w:p>
        </w:tc>
        <w:tc>
          <w:tcPr>
            <w:tcW w:w="1396" w:type="dxa"/>
            <w:vAlign w:val="center"/>
          </w:tcPr>
          <w:p w14:paraId="22C6F0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0.008</w:t>
            </w:r>
          </w:p>
        </w:tc>
        <w:tc>
          <w:tcPr>
            <w:tcW w:w="1198" w:type="dxa"/>
            <w:vAlign w:val="center"/>
          </w:tcPr>
          <w:p w14:paraId="051BB3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0.015</w:t>
            </w:r>
          </w:p>
        </w:tc>
        <w:tc>
          <w:tcPr>
            <w:tcW w:w="1396" w:type="dxa"/>
            <w:vAlign w:val="center"/>
          </w:tcPr>
          <w:p w14:paraId="78FA0A45">
            <w:pPr>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200</w:t>
            </w:r>
          </w:p>
        </w:tc>
        <w:tc>
          <w:tcPr>
            <w:tcW w:w="1243" w:type="dxa"/>
            <w:vAlign w:val="center"/>
          </w:tcPr>
          <w:p w14:paraId="77FCD71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w:t>
            </w:r>
          </w:p>
        </w:tc>
      </w:tr>
      <w:tr w14:paraId="54B7B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88" w:type="dxa"/>
            <w:vMerge w:val="continue"/>
            <w:vAlign w:val="center"/>
          </w:tcPr>
          <w:p w14:paraId="3C37B22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131" w:type="dxa"/>
            <w:vMerge w:val="restart"/>
            <w:vAlign w:val="center"/>
          </w:tcPr>
          <w:p w14:paraId="55E7660D">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DA006</w:t>
            </w:r>
          </w:p>
        </w:tc>
        <w:tc>
          <w:tcPr>
            <w:tcW w:w="1350" w:type="dxa"/>
            <w:vMerge w:val="restart"/>
            <w:vAlign w:val="center"/>
          </w:tcPr>
          <w:p w14:paraId="486E9009">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活化槽</w:t>
            </w:r>
          </w:p>
        </w:tc>
        <w:tc>
          <w:tcPr>
            <w:tcW w:w="1559" w:type="dxa"/>
            <w:vAlign w:val="center"/>
          </w:tcPr>
          <w:p w14:paraId="7348FE11">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2344" w:type="dxa"/>
            <w:vMerge w:val="restart"/>
            <w:vAlign w:val="center"/>
          </w:tcPr>
          <w:p w14:paraId="5FB0EE7A">
            <w:pPr>
              <w:spacing w:line="240" w:lineRule="auto"/>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eastAsia="zh-CN"/>
              </w:rPr>
              <w:t>三级</w:t>
            </w:r>
            <w:r>
              <w:rPr>
                <w:rFonts w:hint="default" w:ascii="Times New Roman" w:hAnsi="Times New Roman" w:eastAsia="宋体" w:cs="Times New Roman"/>
                <w:color w:val="auto"/>
                <w:sz w:val="21"/>
                <w:szCs w:val="21"/>
                <w:highlight w:val="none"/>
                <w:u w:val="none" w:color="auto"/>
                <w:lang w:eastAsia="zh-CN"/>
              </w:rPr>
              <w:t>喷淋塔吸收法</w:t>
            </w:r>
            <w:r>
              <w:rPr>
                <w:rFonts w:hint="default" w:ascii="Times New Roman" w:hAnsi="Times New Roman" w:eastAsia="宋体" w:cs="Times New Roman"/>
                <w:color w:val="auto"/>
                <w:sz w:val="21"/>
                <w:szCs w:val="21"/>
                <w:highlight w:val="none"/>
                <w:u w:val="none" w:color="auto"/>
              </w:rPr>
              <w:t>，设计风量1</w:t>
            </w:r>
            <w:r>
              <w:rPr>
                <w:rFonts w:hint="default" w:ascii="Times New Roman" w:hAnsi="Times New Roman" w:eastAsia="宋体"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rPr>
              <w:t>000m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2320" w:type="dxa"/>
            <w:vAlign w:val="center"/>
          </w:tcPr>
          <w:p w14:paraId="39FDCB6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0.143</w:t>
            </w:r>
          </w:p>
        </w:tc>
        <w:tc>
          <w:tcPr>
            <w:tcW w:w="1396" w:type="dxa"/>
            <w:vAlign w:val="center"/>
          </w:tcPr>
          <w:p w14:paraId="6E87179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0.003</w:t>
            </w:r>
          </w:p>
        </w:tc>
        <w:tc>
          <w:tcPr>
            <w:tcW w:w="1198" w:type="dxa"/>
            <w:vAlign w:val="center"/>
          </w:tcPr>
          <w:p w14:paraId="108C023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0.005</w:t>
            </w:r>
          </w:p>
        </w:tc>
        <w:tc>
          <w:tcPr>
            <w:tcW w:w="1396" w:type="dxa"/>
            <w:vAlign w:val="center"/>
          </w:tcPr>
          <w:p w14:paraId="717C0CB4">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6090AF5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w:t>
            </w:r>
          </w:p>
        </w:tc>
      </w:tr>
      <w:tr w14:paraId="2EBA6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8" w:type="dxa"/>
            <w:vMerge w:val="continue"/>
            <w:vAlign w:val="center"/>
          </w:tcPr>
          <w:p w14:paraId="4C820B38">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31" w:type="dxa"/>
            <w:vMerge w:val="continue"/>
            <w:vAlign w:val="center"/>
          </w:tcPr>
          <w:p w14:paraId="1F2425C5">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350" w:type="dxa"/>
            <w:vMerge w:val="continue"/>
            <w:vAlign w:val="center"/>
          </w:tcPr>
          <w:p w14:paraId="2F10438C">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656018B5">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2344" w:type="dxa"/>
            <w:vMerge w:val="continue"/>
            <w:vAlign w:val="center"/>
          </w:tcPr>
          <w:p w14:paraId="25416AE7">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2AA44F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0.145</w:t>
            </w:r>
          </w:p>
        </w:tc>
        <w:tc>
          <w:tcPr>
            <w:tcW w:w="1396" w:type="dxa"/>
            <w:vAlign w:val="center"/>
          </w:tcPr>
          <w:p w14:paraId="5D60EDA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w:t>
            </w:r>
          </w:p>
        </w:tc>
        <w:tc>
          <w:tcPr>
            <w:tcW w:w="1198" w:type="dxa"/>
            <w:vAlign w:val="center"/>
          </w:tcPr>
          <w:p w14:paraId="72B3441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w:t>
            </w:r>
          </w:p>
        </w:tc>
        <w:tc>
          <w:tcPr>
            <w:tcW w:w="1396" w:type="dxa"/>
            <w:vAlign w:val="center"/>
          </w:tcPr>
          <w:p w14:paraId="5BC7D8A1">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1048494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71FA7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8" w:type="dxa"/>
            <w:vMerge w:val="continue"/>
            <w:vAlign w:val="center"/>
          </w:tcPr>
          <w:p w14:paraId="1F426DE8">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31" w:type="dxa"/>
            <w:vMerge w:val="continue"/>
            <w:vAlign w:val="center"/>
          </w:tcPr>
          <w:p w14:paraId="1608652A">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350" w:type="dxa"/>
            <w:vMerge w:val="restart"/>
            <w:vAlign w:val="center"/>
          </w:tcPr>
          <w:p w14:paraId="2D51DD92">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退镀槽</w:t>
            </w:r>
          </w:p>
        </w:tc>
        <w:tc>
          <w:tcPr>
            <w:tcW w:w="1559" w:type="dxa"/>
            <w:vAlign w:val="center"/>
          </w:tcPr>
          <w:p w14:paraId="2DAA8B8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氯化氢</w:t>
            </w:r>
          </w:p>
        </w:tc>
        <w:tc>
          <w:tcPr>
            <w:tcW w:w="2344" w:type="dxa"/>
            <w:vMerge w:val="continue"/>
            <w:vAlign w:val="center"/>
          </w:tcPr>
          <w:p w14:paraId="5A094AF8">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5E66778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7C234E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198" w:type="dxa"/>
            <w:vAlign w:val="center"/>
          </w:tcPr>
          <w:p w14:paraId="47FE1A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3B15081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w:t>
            </w:r>
          </w:p>
        </w:tc>
        <w:tc>
          <w:tcPr>
            <w:tcW w:w="1243" w:type="dxa"/>
            <w:vAlign w:val="center"/>
          </w:tcPr>
          <w:p w14:paraId="7AC1329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w:t>
            </w:r>
          </w:p>
        </w:tc>
      </w:tr>
      <w:tr w14:paraId="67279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88" w:type="dxa"/>
            <w:vMerge w:val="continue"/>
            <w:vAlign w:val="center"/>
          </w:tcPr>
          <w:p w14:paraId="788CE0D9">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131" w:type="dxa"/>
            <w:vMerge w:val="continue"/>
            <w:vAlign w:val="center"/>
          </w:tcPr>
          <w:p w14:paraId="53A7FCCD">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350" w:type="dxa"/>
            <w:vMerge w:val="continue"/>
            <w:vAlign w:val="center"/>
          </w:tcPr>
          <w:p w14:paraId="2E6A8EA2">
            <w:pPr>
              <w:spacing w:line="240" w:lineRule="auto"/>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0655007C">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氮氧化物</w:t>
            </w:r>
          </w:p>
        </w:tc>
        <w:tc>
          <w:tcPr>
            <w:tcW w:w="2344" w:type="dxa"/>
            <w:vMerge w:val="continue"/>
            <w:vAlign w:val="center"/>
          </w:tcPr>
          <w:p w14:paraId="479B0192">
            <w:pPr>
              <w:spacing w:line="240" w:lineRule="auto"/>
              <w:jc w:val="center"/>
              <w:rPr>
                <w:rFonts w:hint="default" w:ascii="Times New Roman" w:hAnsi="Times New Roman" w:eastAsia="宋体" w:cs="Times New Roman"/>
                <w:color w:val="auto"/>
                <w:sz w:val="21"/>
                <w:szCs w:val="21"/>
                <w:highlight w:val="none"/>
                <w:u w:val="none" w:color="auto"/>
              </w:rPr>
            </w:pPr>
          </w:p>
        </w:tc>
        <w:tc>
          <w:tcPr>
            <w:tcW w:w="2320" w:type="dxa"/>
            <w:vAlign w:val="center"/>
          </w:tcPr>
          <w:p w14:paraId="1E2E2D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0.463</w:t>
            </w:r>
          </w:p>
        </w:tc>
        <w:tc>
          <w:tcPr>
            <w:tcW w:w="1396" w:type="dxa"/>
            <w:vAlign w:val="center"/>
          </w:tcPr>
          <w:p w14:paraId="618A8BD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0.008</w:t>
            </w:r>
          </w:p>
        </w:tc>
        <w:tc>
          <w:tcPr>
            <w:tcW w:w="1198" w:type="dxa"/>
            <w:vAlign w:val="center"/>
          </w:tcPr>
          <w:p w14:paraId="70C15D4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0.015</w:t>
            </w:r>
          </w:p>
        </w:tc>
        <w:tc>
          <w:tcPr>
            <w:tcW w:w="1396" w:type="dxa"/>
            <w:vAlign w:val="center"/>
          </w:tcPr>
          <w:p w14:paraId="2BA925FB">
            <w:pPr>
              <w:spacing w:line="240" w:lineRule="auto"/>
              <w:jc w:val="center"/>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200</w:t>
            </w:r>
          </w:p>
        </w:tc>
        <w:tc>
          <w:tcPr>
            <w:tcW w:w="1243" w:type="dxa"/>
            <w:vAlign w:val="center"/>
          </w:tcPr>
          <w:p w14:paraId="56A79D2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7CED6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88" w:type="dxa"/>
            <w:vMerge w:val="continue"/>
            <w:vAlign w:val="center"/>
          </w:tcPr>
          <w:p w14:paraId="0E655B4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131" w:type="dxa"/>
            <w:vAlign w:val="center"/>
          </w:tcPr>
          <w:p w14:paraId="26242331">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DA007</w:t>
            </w:r>
          </w:p>
        </w:tc>
        <w:tc>
          <w:tcPr>
            <w:tcW w:w="1350" w:type="dxa"/>
            <w:vAlign w:val="center"/>
          </w:tcPr>
          <w:p w14:paraId="37EB16CE">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树脂粉压制、烧结</w:t>
            </w:r>
          </w:p>
        </w:tc>
        <w:tc>
          <w:tcPr>
            <w:tcW w:w="1559" w:type="dxa"/>
            <w:vAlign w:val="center"/>
          </w:tcPr>
          <w:p w14:paraId="317FA96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非甲烷总烃</w:t>
            </w:r>
          </w:p>
        </w:tc>
        <w:tc>
          <w:tcPr>
            <w:tcW w:w="2344" w:type="dxa"/>
            <w:vAlign w:val="center"/>
          </w:tcPr>
          <w:p w14:paraId="1BBFA466">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single" w:color="auto"/>
                <w:lang w:val="en-US" w:eastAsia="zh-CN"/>
              </w:rPr>
              <w:t>冷却塔＋干湿过滤器＋活性炭</w:t>
            </w:r>
            <w:r>
              <w:rPr>
                <w:rFonts w:hint="default" w:ascii="Times New Roman" w:hAnsi="Times New Roman" w:eastAsia="宋体" w:cs="Times New Roman"/>
                <w:color w:val="auto"/>
                <w:sz w:val="21"/>
                <w:szCs w:val="21"/>
                <w:highlight w:val="none"/>
                <w:u w:val="none" w:color="auto"/>
                <w:lang w:eastAsia="zh-CN"/>
              </w:rPr>
              <w:t>吸附装置，设计风量</w:t>
            </w:r>
            <w:r>
              <w:rPr>
                <w:rFonts w:hint="default" w:ascii="Times New Roman" w:hAnsi="Times New Roman" w:eastAsia="宋体"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rPr>
              <w:t>000m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/h</w:t>
            </w:r>
          </w:p>
        </w:tc>
        <w:tc>
          <w:tcPr>
            <w:tcW w:w="2320" w:type="dxa"/>
            <w:vAlign w:val="center"/>
          </w:tcPr>
          <w:p w14:paraId="0FAFF85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3.4</w:t>
            </w:r>
          </w:p>
        </w:tc>
        <w:tc>
          <w:tcPr>
            <w:tcW w:w="1396" w:type="dxa"/>
            <w:vAlign w:val="center"/>
          </w:tcPr>
          <w:p w14:paraId="29F6BB3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0.017</w:t>
            </w:r>
          </w:p>
        </w:tc>
        <w:tc>
          <w:tcPr>
            <w:tcW w:w="1198" w:type="dxa"/>
            <w:vAlign w:val="center"/>
          </w:tcPr>
          <w:p w14:paraId="588F0AC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0.04</w:t>
            </w:r>
          </w:p>
        </w:tc>
        <w:tc>
          <w:tcPr>
            <w:tcW w:w="1396" w:type="dxa"/>
            <w:vAlign w:val="center"/>
          </w:tcPr>
          <w:p w14:paraId="5C43BA3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100</w:t>
            </w:r>
          </w:p>
        </w:tc>
        <w:tc>
          <w:tcPr>
            <w:tcW w:w="1243" w:type="dxa"/>
            <w:vAlign w:val="center"/>
          </w:tcPr>
          <w:p w14:paraId="505A75B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31032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11D25477">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1131" w:type="dxa"/>
            <w:vAlign w:val="center"/>
          </w:tcPr>
          <w:p w14:paraId="38643E6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食堂油烟</w:t>
            </w:r>
          </w:p>
        </w:tc>
        <w:tc>
          <w:tcPr>
            <w:tcW w:w="1350" w:type="dxa"/>
            <w:vAlign w:val="center"/>
          </w:tcPr>
          <w:p w14:paraId="477CB290">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食堂</w:t>
            </w:r>
          </w:p>
        </w:tc>
        <w:tc>
          <w:tcPr>
            <w:tcW w:w="1559" w:type="dxa"/>
            <w:vAlign w:val="center"/>
          </w:tcPr>
          <w:p w14:paraId="4B5A004F">
            <w:pPr>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油烟</w:t>
            </w:r>
          </w:p>
        </w:tc>
        <w:tc>
          <w:tcPr>
            <w:tcW w:w="2344" w:type="dxa"/>
            <w:vAlign w:val="center"/>
          </w:tcPr>
          <w:p w14:paraId="5FF93F7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油烟净化器，风量</w:t>
            </w:r>
            <w:r>
              <w:rPr>
                <w:rFonts w:hint="eastAsia" w:ascii="Times New Roman" w:hAnsi="Times New Roman" w:eastAsia="宋体" w:cs="Times New Roman"/>
                <w:sz w:val="21"/>
                <w:szCs w:val="21"/>
                <w:highlight w:val="none"/>
                <w:u w:val="none" w:color="auto"/>
                <w:lang w:val="en-US" w:eastAsia="zh-CN"/>
              </w:rPr>
              <w:t>3</w:t>
            </w:r>
            <w:r>
              <w:rPr>
                <w:rFonts w:hint="default" w:ascii="Times New Roman" w:hAnsi="Times New Roman" w:eastAsia="宋体" w:cs="Times New Roman"/>
                <w:sz w:val="21"/>
                <w:szCs w:val="21"/>
                <w:highlight w:val="none"/>
                <w:u w:val="none" w:color="auto"/>
              </w:rPr>
              <w:t>000m</w:t>
            </w:r>
            <w:r>
              <w:rPr>
                <w:rFonts w:hint="default" w:ascii="Times New Roman" w:hAnsi="Times New Roman" w:eastAsia="宋体" w:cs="Times New Roman"/>
                <w:sz w:val="21"/>
                <w:szCs w:val="21"/>
                <w:highlight w:val="none"/>
                <w:u w:val="none" w:color="auto"/>
                <w:vertAlign w:val="superscript"/>
              </w:rPr>
              <w:t>3</w:t>
            </w:r>
            <w:r>
              <w:rPr>
                <w:rFonts w:hint="default" w:ascii="Times New Roman" w:hAnsi="Times New Roman" w:eastAsia="宋体" w:cs="Times New Roman"/>
                <w:sz w:val="21"/>
                <w:szCs w:val="21"/>
                <w:highlight w:val="none"/>
                <w:u w:val="none" w:color="auto"/>
              </w:rPr>
              <w:t>/h</w:t>
            </w:r>
          </w:p>
        </w:tc>
        <w:tc>
          <w:tcPr>
            <w:tcW w:w="2320" w:type="dxa"/>
            <w:vAlign w:val="center"/>
          </w:tcPr>
          <w:p w14:paraId="4964D2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highlight w:val="none"/>
                <w:u w:val="single" w:color="auto"/>
                <w:lang w:val="en-US" w:eastAsia="zh-CN" w:bidi="ar"/>
              </w:rPr>
              <w:t>0.75</w:t>
            </w:r>
          </w:p>
        </w:tc>
        <w:tc>
          <w:tcPr>
            <w:tcW w:w="1396" w:type="dxa"/>
            <w:vAlign w:val="center"/>
          </w:tcPr>
          <w:p w14:paraId="6AE8F16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highlight w:val="none"/>
                <w:u w:val="single" w:color="auto"/>
                <w:lang w:val="en-US" w:eastAsia="zh-CN" w:bidi="ar"/>
              </w:rPr>
              <w:t>0.00</w:t>
            </w:r>
            <w:r>
              <w:rPr>
                <w:rFonts w:hint="eastAsia" w:ascii="Times New Roman" w:hAnsi="Times New Roman" w:eastAsia="宋体" w:cs="Times New Roman"/>
                <w:i w:val="0"/>
                <w:iCs w:val="0"/>
                <w:color w:val="000000"/>
                <w:kern w:val="0"/>
                <w:sz w:val="21"/>
                <w:szCs w:val="21"/>
                <w:highlight w:val="none"/>
                <w:u w:val="single" w:color="auto"/>
                <w:lang w:val="en-US" w:eastAsia="zh-CN" w:bidi="ar"/>
              </w:rPr>
              <w:t>45</w:t>
            </w:r>
          </w:p>
        </w:tc>
        <w:tc>
          <w:tcPr>
            <w:tcW w:w="1198" w:type="dxa"/>
            <w:vAlign w:val="center"/>
          </w:tcPr>
          <w:p w14:paraId="66259D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highlight w:val="none"/>
                <w:u w:val="single" w:color="auto"/>
                <w:lang w:val="en-US" w:eastAsia="zh-CN" w:bidi="ar"/>
              </w:rPr>
              <w:t>0.0081</w:t>
            </w:r>
          </w:p>
        </w:tc>
        <w:tc>
          <w:tcPr>
            <w:tcW w:w="1396" w:type="dxa"/>
            <w:vAlign w:val="center"/>
          </w:tcPr>
          <w:p w14:paraId="6052C76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p>
        </w:tc>
        <w:tc>
          <w:tcPr>
            <w:tcW w:w="1243" w:type="dxa"/>
            <w:vAlign w:val="center"/>
          </w:tcPr>
          <w:p w14:paraId="44C70F4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3003F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2A444778">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2481" w:type="dxa"/>
            <w:gridSpan w:val="2"/>
            <w:vMerge w:val="restart"/>
            <w:vAlign w:val="center"/>
          </w:tcPr>
          <w:p w14:paraId="50C3A071">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rPr>
              <w:t>#厂房</w:t>
            </w:r>
          </w:p>
        </w:tc>
        <w:tc>
          <w:tcPr>
            <w:tcW w:w="1559" w:type="dxa"/>
            <w:vAlign w:val="center"/>
          </w:tcPr>
          <w:p w14:paraId="2D17E9A0">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氯化氢</w:t>
            </w:r>
          </w:p>
        </w:tc>
        <w:tc>
          <w:tcPr>
            <w:tcW w:w="2344" w:type="dxa"/>
            <w:vMerge w:val="restart"/>
            <w:vAlign w:val="center"/>
          </w:tcPr>
          <w:p w14:paraId="659BEE9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2320" w:type="dxa"/>
            <w:vAlign w:val="center"/>
          </w:tcPr>
          <w:p w14:paraId="79BF4404">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626C73A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1198" w:type="dxa"/>
            <w:vAlign w:val="center"/>
          </w:tcPr>
          <w:p w14:paraId="428B032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w:t>
            </w:r>
          </w:p>
        </w:tc>
        <w:tc>
          <w:tcPr>
            <w:tcW w:w="1396" w:type="dxa"/>
            <w:vAlign w:val="center"/>
          </w:tcPr>
          <w:p w14:paraId="1FE680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0.2</w:t>
            </w:r>
          </w:p>
        </w:tc>
        <w:tc>
          <w:tcPr>
            <w:tcW w:w="1243" w:type="dxa"/>
            <w:vAlign w:val="center"/>
          </w:tcPr>
          <w:p w14:paraId="1F2C1A1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28B6E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562BC2EC">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6150736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24EA9595">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2344" w:type="dxa"/>
            <w:vMerge w:val="continue"/>
            <w:vAlign w:val="center"/>
          </w:tcPr>
          <w:p w14:paraId="6669FAB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2320" w:type="dxa"/>
            <w:vAlign w:val="center"/>
          </w:tcPr>
          <w:p w14:paraId="203A145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703215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0.006</w:t>
            </w:r>
          </w:p>
        </w:tc>
        <w:tc>
          <w:tcPr>
            <w:tcW w:w="1198" w:type="dxa"/>
            <w:vAlign w:val="center"/>
          </w:tcPr>
          <w:p w14:paraId="1325FB9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0.044</w:t>
            </w:r>
          </w:p>
        </w:tc>
        <w:tc>
          <w:tcPr>
            <w:tcW w:w="1396" w:type="dxa"/>
            <w:vAlign w:val="center"/>
          </w:tcPr>
          <w:p w14:paraId="0C661D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1.2</w:t>
            </w:r>
          </w:p>
        </w:tc>
        <w:tc>
          <w:tcPr>
            <w:tcW w:w="1243" w:type="dxa"/>
            <w:vAlign w:val="center"/>
          </w:tcPr>
          <w:p w14:paraId="6BF2B6B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02122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6DB1C02C">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760D6398">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421DFA31">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氮氧化物</w:t>
            </w:r>
          </w:p>
        </w:tc>
        <w:tc>
          <w:tcPr>
            <w:tcW w:w="2344" w:type="dxa"/>
            <w:vMerge w:val="continue"/>
            <w:vAlign w:val="center"/>
          </w:tcPr>
          <w:p w14:paraId="333F8FC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2320" w:type="dxa"/>
            <w:vAlign w:val="center"/>
          </w:tcPr>
          <w:p w14:paraId="716F34B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740D389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1198" w:type="dxa"/>
            <w:vAlign w:val="center"/>
          </w:tcPr>
          <w:p w14:paraId="7ACB1F0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w:t>
            </w:r>
          </w:p>
        </w:tc>
        <w:tc>
          <w:tcPr>
            <w:tcW w:w="1396" w:type="dxa"/>
            <w:vAlign w:val="center"/>
          </w:tcPr>
          <w:p w14:paraId="7BBF77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0.12</w:t>
            </w:r>
          </w:p>
        </w:tc>
        <w:tc>
          <w:tcPr>
            <w:tcW w:w="1243" w:type="dxa"/>
            <w:vAlign w:val="center"/>
          </w:tcPr>
          <w:p w14:paraId="2132324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5C48E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795149ED">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1B7DFAF3">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302EB32C">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颗粒物</w:t>
            </w:r>
          </w:p>
        </w:tc>
        <w:tc>
          <w:tcPr>
            <w:tcW w:w="2344" w:type="dxa"/>
            <w:vMerge w:val="continue"/>
            <w:vAlign w:val="center"/>
          </w:tcPr>
          <w:p w14:paraId="4D86AE15">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2320" w:type="dxa"/>
            <w:vAlign w:val="center"/>
          </w:tcPr>
          <w:p w14:paraId="2D4F2F9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5A6829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0.115</w:t>
            </w:r>
          </w:p>
        </w:tc>
        <w:tc>
          <w:tcPr>
            <w:tcW w:w="1198" w:type="dxa"/>
            <w:vAlign w:val="center"/>
          </w:tcPr>
          <w:p w14:paraId="4EC932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0.825</w:t>
            </w:r>
          </w:p>
        </w:tc>
        <w:tc>
          <w:tcPr>
            <w:tcW w:w="1396" w:type="dxa"/>
            <w:vAlign w:val="center"/>
          </w:tcPr>
          <w:p w14:paraId="42D65C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w:t>
            </w:r>
          </w:p>
        </w:tc>
        <w:tc>
          <w:tcPr>
            <w:tcW w:w="1243" w:type="dxa"/>
            <w:vAlign w:val="center"/>
          </w:tcPr>
          <w:p w14:paraId="48123EF9">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211D2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217EA73F">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2481" w:type="dxa"/>
            <w:gridSpan w:val="2"/>
            <w:vMerge w:val="restart"/>
            <w:vAlign w:val="center"/>
          </w:tcPr>
          <w:p w14:paraId="7B075CC2">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rPr>
              <w:t>#厂房</w:t>
            </w:r>
          </w:p>
        </w:tc>
        <w:tc>
          <w:tcPr>
            <w:tcW w:w="1559" w:type="dxa"/>
            <w:vAlign w:val="center"/>
          </w:tcPr>
          <w:p w14:paraId="47B3A209">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氯化氢</w:t>
            </w:r>
          </w:p>
        </w:tc>
        <w:tc>
          <w:tcPr>
            <w:tcW w:w="2344" w:type="dxa"/>
            <w:vMerge w:val="restart"/>
            <w:vAlign w:val="center"/>
          </w:tcPr>
          <w:p w14:paraId="6C652EB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2320" w:type="dxa"/>
            <w:vAlign w:val="center"/>
          </w:tcPr>
          <w:p w14:paraId="5AAD2CD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2385A9C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0.001</w:t>
            </w:r>
          </w:p>
        </w:tc>
        <w:tc>
          <w:tcPr>
            <w:tcW w:w="1198" w:type="dxa"/>
            <w:vAlign w:val="center"/>
          </w:tcPr>
          <w:p w14:paraId="686911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0.005</w:t>
            </w:r>
          </w:p>
        </w:tc>
        <w:tc>
          <w:tcPr>
            <w:tcW w:w="1396" w:type="dxa"/>
            <w:vAlign w:val="center"/>
          </w:tcPr>
          <w:p w14:paraId="510346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0.2</w:t>
            </w:r>
          </w:p>
        </w:tc>
        <w:tc>
          <w:tcPr>
            <w:tcW w:w="1243" w:type="dxa"/>
            <w:vAlign w:val="center"/>
          </w:tcPr>
          <w:p w14:paraId="7199AB8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0A4C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68F59911">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768D9CB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7845B590">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硫酸雾</w:t>
            </w:r>
          </w:p>
        </w:tc>
        <w:tc>
          <w:tcPr>
            <w:tcW w:w="2344" w:type="dxa"/>
            <w:vMerge w:val="continue"/>
            <w:vAlign w:val="center"/>
          </w:tcPr>
          <w:p w14:paraId="0CBE3F2C">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2320" w:type="dxa"/>
            <w:vAlign w:val="center"/>
          </w:tcPr>
          <w:p w14:paraId="6BE9ACC0">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2897123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0.004</w:t>
            </w:r>
          </w:p>
        </w:tc>
        <w:tc>
          <w:tcPr>
            <w:tcW w:w="1198" w:type="dxa"/>
            <w:vAlign w:val="center"/>
          </w:tcPr>
          <w:p w14:paraId="6E5708F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0.026</w:t>
            </w:r>
          </w:p>
        </w:tc>
        <w:tc>
          <w:tcPr>
            <w:tcW w:w="1396" w:type="dxa"/>
            <w:vAlign w:val="center"/>
          </w:tcPr>
          <w:p w14:paraId="4206AF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1.2</w:t>
            </w:r>
          </w:p>
        </w:tc>
        <w:tc>
          <w:tcPr>
            <w:tcW w:w="1243" w:type="dxa"/>
            <w:vAlign w:val="center"/>
          </w:tcPr>
          <w:p w14:paraId="7B28BDF3">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61338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75AA9F05">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6DBB015E">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4A6D1453">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氮氧化物</w:t>
            </w:r>
          </w:p>
        </w:tc>
        <w:tc>
          <w:tcPr>
            <w:tcW w:w="2344" w:type="dxa"/>
            <w:vMerge w:val="continue"/>
            <w:vAlign w:val="center"/>
          </w:tcPr>
          <w:p w14:paraId="4C514166">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2320" w:type="dxa"/>
            <w:vAlign w:val="center"/>
          </w:tcPr>
          <w:p w14:paraId="6709FADE">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27E5FCE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0.002</w:t>
            </w:r>
          </w:p>
        </w:tc>
        <w:tc>
          <w:tcPr>
            <w:tcW w:w="1198" w:type="dxa"/>
            <w:vAlign w:val="center"/>
          </w:tcPr>
          <w:p w14:paraId="18F081C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0.016</w:t>
            </w:r>
          </w:p>
        </w:tc>
        <w:tc>
          <w:tcPr>
            <w:tcW w:w="1396" w:type="dxa"/>
            <w:vAlign w:val="center"/>
          </w:tcPr>
          <w:p w14:paraId="61252D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0.12</w:t>
            </w:r>
          </w:p>
        </w:tc>
        <w:tc>
          <w:tcPr>
            <w:tcW w:w="1243" w:type="dxa"/>
            <w:vAlign w:val="center"/>
          </w:tcPr>
          <w:p w14:paraId="16BFBE58">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333D8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4D44AC6E">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2963AF3A">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7881536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非甲烷总烃</w:t>
            </w:r>
          </w:p>
        </w:tc>
        <w:tc>
          <w:tcPr>
            <w:tcW w:w="2344" w:type="dxa"/>
            <w:vMerge w:val="continue"/>
            <w:vAlign w:val="center"/>
          </w:tcPr>
          <w:p w14:paraId="15D8CA4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2320" w:type="dxa"/>
            <w:vAlign w:val="center"/>
          </w:tcPr>
          <w:p w14:paraId="6C5FD98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767956CC">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0.005</w:t>
            </w:r>
          </w:p>
        </w:tc>
        <w:tc>
          <w:tcPr>
            <w:tcW w:w="1198" w:type="dxa"/>
            <w:vAlign w:val="center"/>
          </w:tcPr>
          <w:p w14:paraId="2256D93A">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0.011</w:t>
            </w:r>
          </w:p>
        </w:tc>
        <w:tc>
          <w:tcPr>
            <w:tcW w:w="1396" w:type="dxa"/>
            <w:vAlign w:val="center"/>
          </w:tcPr>
          <w:p w14:paraId="1A004980">
            <w:pPr>
              <w:pStyle w:val="34"/>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4.0</w:t>
            </w:r>
          </w:p>
        </w:tc>
        <w:tc>
          <w:tcPr>
            <w:tcW w:w="1243" w:type="dxa"/>
            <w:vAlign w:val="center"/>
          </w:tcPr>
          <w:p w14:paraId="549A6C8A">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352EE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45A9F918">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7444D0A9">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1559" w:type="dxa"/>
            <w:vAlign w:val="center"/>
          </w:tcPr>
          <w:p w14:paraId="05DAE100">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颗粒物</w:t>
            </w:r>
          </w:p>
        </w:tc>
        <w:tc>
          <w:tcPr>
            <w:tcW w:w="2344" w:type="dxa"/>
            <w:vMerge w:val="continue"/>
            <w:vAlign w:val="center"/>
          </w:tcPr>
          <w:p w14:paraId="4EBF13EB">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p>
        </w:tc>
        <w:tc>
          <w:tcPr>
            <w:tcW w:w="2320" w:type="dxa"/>
            <w:vAlign w:val="center"/>
          </w:tcPr>
          <w:p w14:paraId="5EDBA1C2">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c>
          <w:tcPr>
            <w:tcW w:w="1396" w:type="dxa"/>
            <w:vAlign w:val="center"/>
          </w:tcPr>
          <w:p w14:paraId="00770CC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0.115</w:t>
            </w:r>
          </w:p>
        </w:tc>
        <w:tc>
          <w:tcPr>
            <w:tcW w:w="1198" w:type="dxa"/>
            <w:vAlign w:val="center"/>
          </w:tcPr>
          <w:p w14:paraId="4B1D748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0.825</w:t>
            </w:r>
          </w:p>
        </w:tc>
        <w:tc>
          <w:tcPr>
            <w:tcW w:w="1396" w:type="dxa"/>
            <w:vAlign w:val="center"/>
          </w:tcPr>
          <w:p w14:paraId="5BE48E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w:t>
            </w:r>
          </w:p>
        </w:tc>
        <w:tc>
          <w:tcPr>
            <w:tcW w:w="1243" w:type="dxa"/>
            <w:vAlign w:val="center"/>
          </w:tcPr>
          <w:p w14:paraId="37692BBD">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p>
        </w:tc>
      </w:tr>
      <w:tr w14:paraId="79AD0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restart"/>
            <w:vAlign w:val="center"/>
          </w:tcPr>
          <w:p w14:paraId="54B23AEB">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废水</w:t>
            </w:r>
          </w:p>
        </w:tc>
        <w:tc>
          <w:tcPr>
            <w:tcW w:w="2481" w:type="dxa"/>
            <w:gridSpan w:val="2"/>
            <w:vMerge w:val="restart"/>
            <w:vAlign w:val="center"/>
          </w:tcPr>
          <w:p w14:paraId="27CCE1D5">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b/>
                <w:color w:val="auto"/>
                <w:sz w:val="21"/>
                <w:szCs w:val="21"/>
                <w:highlight w:val="none"/>
              </w:rPr>
              <w:t>污染物类别</w:t>
            </w:r>
          </w:p>
        </w:tc>
        <w:tc>
          <w:tcPr>
            <w:tcW w:w="1559" w:type="dxa"/>
            <w:vMerge w:val="restart"/>
            <w:vAlign w:val="center"/>
          </w:tcPr>
          <w:p w14:paraId="4A193D8F">
            <w:pPr>
              <w:pStyle w:val="19"/>
              <w:spacing w:before="0" w:beforeAutospacing="0" w:after="0" w:afterAutospacing="0"/>
              <w:ind w:firstLine="0" w:firstLineChars="0"/>
              <w:jc w:val="center"/>
              <w:outlineLvl w:val="4"/>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废水量</w:t>
            </w:r>
          </w:p>
          <w:p w14:paraId="1220693F">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/a</w:t>
            </w:r>
          </w:p>
        </w:tc>
        <w:tc>
          <w:tcPr>
            <w:tcW w:w="2344" w:type="dxa"/>
            <w:vMerge w:val="restart"/>
            <w:vAlign w:val="center"/>
          </w:tcPr>
          <w:p w14:paraId="10AF411F">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rPr>
              <w:t>污染物名称</w:t>
            </w:r>
          </w:p>
        </w:tc>
        <w:tc>
          <w:tcPr>
            <w:tcW w:w="3716" w:type="dxa"/>
            <w:gridSpan w:val="2"/>
            <w:vMerge w:val="restart"/>
            <w:vAlign w:val="center"/>
          </w:tcPr>
          <w:p w14:paraId="760DBF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b/>
                <w:bCs/>
                <w:color w:val="auto"/>
                <w:sz w:val="21"/>
                <w:szCs w:val="21"/>
                <w:highlight w:val="none"/>
              </w:rPr>
              <w:t>治理措施</w:t>
            </w:r>
          </w:p>
        </w:tc>
        <w:tc>
          <w:tcPr>
            <w:tcW w:w="2594" w:type="dxa"/>
            <w:gridSpan w:val="2"/>
            <w:vAlign w:val="center"/>
          </w:tcPr>
          <w:p w14:paraId="0C62DE38">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b/>
                <w:bCs/>
                <w:color w:val="auto"/>
                <w:sz w:val="21"/>
                <w:szCs w:val="21"/>
                <w:highlight w:val="none"/>
              </w:rPr>
              <w:t>出厂排放情况</w:t>
            </w:r>
          </w:p>
        </w:tc>
        <w:tc>
          <w:tcPr>
            <w:tcW w:w="1243" w:type="dxa"/>
            <w:vAlign w:val="center"/>
          </w:tcPr>
          <w:p w14:paraId="6C6EB53B">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rPr>
              <w:t>排放标准</w:t>
            </w:r>
          </w:p>
        </w:tc>
      </w:tr>
      <w:tr w14:paraId="7D1ED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179E1D20">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259A1158">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color w:val="auto"/>
                <w:sz w:val="21"/>
                <w:szCs w:val="21"/>
                <w:highlight w:val="none"/>
              </w:rPr>
            </w:pPr>
          </w:p>
        </w:tc>
        <w:tc>
          <w:tcPr>
            <w:tcW w:w="1559" w:type="dxa"/>
            <w:vMerge w:val="continue"/>
            <w:vAlign w:val="center"/>
          </w:tcPr>
          <w:p w14:paraId="16F52F48">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Merge w:val="continue"/>
            <w:vAlign w:val="center"/>
          </w:tcPr>
          <w:p w14:paraId="71A6271E">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3716" w:type="dxa"/>
            <w:gridSpan w:val="2"/>
            <w:vMerge w:val="continue"/>
            <w:vAlign w:val="center"/>
          </w:tcPr>
          <w:p w14:paraId="2D848F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p>
        </w:tc>
        <w:tc>
          <w:tcPr>
            <w:tcW w:w="1198" w:type="dxa"/>
            <w:vAlign w:val="center"/>
          </w:tcPr>
          <w:p w14:paraId="1B684F34">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浓度mg/L</w:t>
            </w:r>
          </w:p>
        </w:tc>
        <w:tc>
          <w:tcPr>
            <w:tcW w:w="1396" w:type="dxa"/>
            <w:vAlign w:val="center"/>
          </w:tcPr>
          <w:p w14:paraId="3F97F42C">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b/>
                <w:bCs/>
                <w:color w:val="auto"/>
                <w:sz w:val="21"/>
                <w:szCs w:val="21"/>
                <w:highlight w:val="none"/>
              </w:rPr>
              <w:t>排放量t/a</w:t>
            </w:r>
          </w:p>
        </w:tc>
        <w:tc>
          <w:tcPr>
            <w:tcW w:w="1243" w:type="dxa"/>
            <w:vAlign w:val="center"/>
          </w:tcPr>
          <w:p w14:paraId="43740246">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浓度mg/L</w:t>
            </w:r>
          </w:p>
        </w:tc>
      </w:tr>
      <w:tr w14:paraId="3082B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21343725">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restart"/>
            <w:vAlign w:val="center"/>
          </w:tcPr>
          <w:p w14:paraId="12D096D2">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生活污水</w:t>
            </w:r>
          </w:p>
        </w:tc>
        <w:tc>
          <w:tcPr>
            <w:tcW w:w="1559" w:type="dxa"/>
            <w:vMerge w:val="restart"/>
            <w:vAlign w:val="center"/>
          </w:tcPr>
          <w:p w14:paraId="2EA3B174">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12000</w:t>
            </w:r>
          </w:p>
        </w:tc>
        <w:tc>
          <w:tcPr>
            <w:tcW w:w="2344" w:type="dxa"/>
            <w:vAlign w:val="center"/>
          </w:tcPr>
          <w:p w14:paraId="08ACF58D">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SS</w:t>
            </w:r>
          </w:p>
        </w:tc>
        <w:tc>
          <w:tcPr>
            <w:tcW w:w="3716" w:type="dxa"/>
            <w:gridSpan w:val="2"/>
            <w:vMerge w:val="restart"/>
            <w:vAlign w:val="center"/>
          </w:tcPr>
          <w:p w14:paraId="6B5493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化粪池</w:t>
            </w:r>
          </w:p>
        </w:tc>
        <w:tc>
          <w:tcPr>
            <w:tcW w:w="1198" w:type="dxa"/>
            <w:vAlign w:val="center"/>
          </w:tcPr>
          <w:p w14:paraId="7DA7C342">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100</w:t>
            </w:r>
          </w:p>
        </w:tc>
        <w:tc>
          <w:tcPr>
            <w:tcW w:w="1396" w:type="dxa"/>
            <w:vAlign w:val="center"/>
          </w:tcPr>
          <w:p w14:paraId="72DCB795">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1.2</w:t>
            </w:r>
          </w:p>
        </w:tc>
        <w:tc>
          <w:tcPr>
            <w:tcW w:w="1243" w:type="dxa"/>
            <w:vAlign w:val="center"/>
          </w:tcPr>
          <w:p w14:paraId="3425A57A">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250</w:t>
            </w:r>
          </w:p>
        </w:tc>
      </w:tr>
      <w:tr w14:paraId="0EC7B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2FD53199">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1320C5CC">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color w:val="auto"/>
                <w:sz w:val="21"/>
                <w:szCs w:val="21"/>
                <w:highlight w:val="none"/>
              </w:rPr>
            </w:pPr>
          </w:p>
        </w:tc>
        <w:tc>
          <w:tcPr>
            <w:tcW w:w="1559" w:type="dxa"/>
            <w:vMerge w:val="continue"/>
            <w:vAlign w:val="center"/>
          </w:tcPr>
          <w:p w14:paraId="695B6195">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1C3AFDC2">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COD</w:t>
            </w:r>
          </w:p>
        </w:tc>
        <w:tc>
          <w:tcPr>
            <w:tcW w:w="3716" w:type="dxa"/>
            <w:gridSpan w:val="2"/>
            <w:vMerge w:val="continue"/>
            <w:vAlign w:val="center"/>
          </w:tcPr>
          <w:p w14:paraId="093A3B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p>
        </w:tc>
        <w:tc>
          <w:tcPr>
            <w:tcW w:w="1198" w:type="dxa"/>
            <w:vAlign w:val="center"/>
          </w:tcPr>
          <w:p w14:paraId="571E9084">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200</w:t>
            </w:r>
          </w:p>
        </w:tc>
        <w:tc>
          <w:tcPr>
            <w:tcW w:w="1396" w:type="dxa"/>
            <w:vAlign w:val="center"/>
          </w:tcPr>
          <w:p w14:paraId="2E3B8CAF">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2.4</w:t>
            </w:r>
          </w:p>
        </w:tc>
        <w:tc>
          <w:tcPr>
            <w:tcW w:w="1243" w:type="dxa"/>
            <w:vAlign w:val="center"/>
          </w:tcPr>
          <w:p w14:paraId="143A7EF6">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300</w:t>
            </w:r>
          </w:p>
        </w:tc>
      </w:tr>
      <w:tr w14:paraId="2F1C5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128B9C6C">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034A47FC">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color w:val="auto"/>
                <w:sz w:val="21"/>
                <w:szCs w:val="21"/>
                <w:highlight w:val="none"/>
              </w:rPr>
            </w:pPr>
          </w:p>
        </w:tc>
        <w:tc>
          <w:tcPr>
            <w:tcW w:w="1559" w:type="dxa"/>
            <w:vMerge w:val="continue"/>
            <w:vAlign w:val="center"/>
          </w:tcPr>
          <w:p w14:paraId="0AF0991F">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3BC1BEA8">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氨氮</w:t>
            </w:r>
          </w:p>
        </w:tc>
        <w:tc>
          <w:tcPr>
            <w:tcW w:w="3716" w:type="dxa"/>
            <w:gridSpan w:val="2"/>
            <w:vMerge w:val="continue"/>
            <w:vAlign w:val="center"/>
          </w:tcPr>
          <w:p w14:paraId="05292C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p>
        </w:tc>
        <w:tc>
          <w:tcPr>
            <w:tcW w:w="1198" w:type="dxa"/>
            <w:vAlign w:val="center"/>
          </w:tcPr>
          <w:p w14:paraId="3FC3144B">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20</w:t>
            </w:r>
          </w:p>
        </w:tc>
        <w:tc>
          <w:tcPr>
            <w:tcW w:w="1396" w:type="dxa"/>
            <w:vAlign w:val="center"/>
          </w:tcPr>
          <w:p w14:paraId="7616C324">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0.24</w:t>
            </w:r>
          </w:p>
        </w:tc>
        <w:tc>
          <w:tcPr>
            <w:tcW w:w="1243" w:type="dxa"/>
            <w:vAlign w:val="center"/>
          </w:tcPr>
          <w:p w14:paraId="4807A255">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25</w:t>
            </w:r>
          </w:p>
        </w:tc>
      </w:tr>
      <w:tr w14:paraId="04F2E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4D39BBCB">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422922FD">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color w:val="auto"/>
                <w:sz w:val="21"/>
                <w:szCs w:val="21"/>
                <w:highlight w:val="none"/>
              </w:rPr>
            </w:pPr>
          </w:p>
        </w:tc>
        <w:tc>
          <w:tcPr>
            <w:tcW w:w="1559" w:type="dxa"/>
            <w:vMerge w:val="continue"/>
            <w:vAlign w:val="center"/>
          </w:tcPr>
          <w:p w14:paraId="09E403DA">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2C226BCB">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eastAsia="zh-CN"/>
              </w:rPr>
              <w:t>总磷</w:t>
            </w:r>
          </w:p>
        </w:tc>
        <w:tc>
          <w:tcPr>
            <w:tcW w:w="3716" w:type="dxa"/>
            <w:gridSpan w:val="2"/>
            <w:vMerge w:val="continue"/>
            <w:vAlign w:val="center"/>
          </w:tcPr>
          <w:p w14:paraId="493D88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p>
        </w:tc>
        <w:tc>
          <w:tcPr>
            <w:tcW w:w="1198" w:type="dxa"/>
            <w:vAlign w:val="center"/>
          </w:tcPr>
          <w:p w14:paraId="2CA953C1">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3</w:t>
            </w:r>
          </w:p>
        </w:tc>
        <w:tc>
          <w:tcPr>
            <w:tcW w:w="1396" w:type="dxa"/>
            <w:vAlign w:val="center"/>
          </w:tcPr>
          <w:p w14:paraId="564E48F3">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u w:val="none" w:color="auto"/>
                <w:lang w:val="en-US" w:eastAsia="zh-CN"/>
              </w:rPr>
              <w:t>0.036</w:t>
            </w:r>
          </w:p>
        </w:tc>
        <w:tc>
          <w:tcPr>
            <w:tcW w:w="1243" w:type="dxa"/>
            <w:vAlign w:val="center"/>
          </w:tcPr>
          <w:p w14:paraId="19535AFB">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4</w:t>
            </w:r>
          </w:p>
        </w:tc>
      </w:tr>
      <w:tr w14:paraId="01F09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4F8860D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restart"/>
            <w:vAlign w:val="center"/>
          </w:tcPr>
          <w:p w14:paraId="0643FBCD">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4"/>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Cs/>
                <w:color w:val="auto"/>
                <w:sz w:val="21"/>
                <w:szCs w:val="21"/>
                <w:highlight w:val="none"/>
                <w:u w:val="none" w:color="auto"/>
                <w:lang w:val="en-US" w:eastAsia="zh-CN"/>
              </w:rPr>
              <w:t>机加工车间卫生废水、容器清洗废水、直接冷却废水</w:t>
            </w:r>
          </w:p>
        </w:tc>
        <w:tc>
          <w:tcPr>
            <w:tcW w:w="1559" w:type="dxa"/>
            <w:vMerge w:val="restart"/>
            <w:vAlign w:val="center"/>
          </w:tcPr>
          <w:p w14:paraId="1A11A123">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2160</w:t>
            </w:r>
          </w:p>
        </w:tc>
        <w:tc>
          <w:tcPr>
            <w:tcW w:w="2344" w:type="dxa"/>
            <w:vAlign w:val="center"/>
          </w:tcPr>
          <w:p w14:paraId="6E15B81D">
            <w:pPr>
              <w:snapToGrid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u w:val="none" w:color="auto"/>
                <w:lang w:val="en-US" w:eastAsia="zh-CN"/>
              </w:rPr>
              <w:t>SS</w:t>
            </w:r>
          </w:p>
        </w:tc>
        <w:tc>
          <w:tcPr>
            <w:tcW w:w="3716" w:type="dxa"/>
            <w:gridSpan w:val="2"/>
            <w:vAlign w:val="center"/>
          </w:tcPr>
          <w:p w14:paraId="1BE1DD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沉淀池</w:t>
            </w:r>
          </w:p>
        </w:tc>
        <w:tc>
          <w:tcPr>
            <w:tcW w:w="1198" w:type="dxa"/>
            <w:vAlign w:val="center"/>
          </w:tcPr>
          <w:p w14:paraId="23F04ED6">
            <w:pPr>
              <w:snapToGrid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80</w:t>
            </w:r>
          </w:p>
        </w:tc>
        <w:tc>
          <w:tcPr>
            <w:tcW w:w="1396" w:type="dxa"/>
            <w:vAlign w:val="center"/>
          </w:tcPr>
          <w:p w14:paraId="49755190">
            <w:pPr>
              <w:snapToGrid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0.172</w:t>
            </w:r>
          </w:p>
        </w:tc>
        <w:tc>
          <w:tcPr>
            <w:tcW w:w="1243" w:type="dxa"/>
            <w:vAlign w:val="center"/>
          </w:tcPr>
          <w:p w14:paraId="6E916F5F">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250</w:t>
            </w:r>
          </w:p>
        </w:tc>
      </w:tr>
      <w:tr w14:paraId="47A0F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422AE885">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Merge w:val="continue"/>
            <w:vAlign w:val="center"/>
          </w:tcPr>
          <w:p w14:paraId="6C33F7C1">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color w:val="auto"/>
                <w:sz w:val="21"/>
                <w:szCs w:val="21"/>
                <w:highlight w:val="none"/>
              </w:rPr>
            </w:pPr>
          </w:p>
        </w:tc>
        <w:tc>
          <w:tcPr>
            <w:tcW w:w="1559" w:type="dxa"/>
            <w:vMerge w:val="continue"/>
            <w:vAlign w:val="center"/>
          </w:tcPr>
          <w:p w14:paraId="2E8B3E39">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00ED6FB0">
            <w:pPr>
              <w:snapToGrid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u w:val="none" w:color="auto"/>
                <w:lang w:val="en-US" w:eastAsia="zh-CN"/>
              </w:rPr>
              <w:t>COD</w:t>
            </w:r>
          </w:p>
        </w:tc>
        <w:tc>
          <w:tcPr>
            <w:tcW w:w="3716" w:type="dxa"/>
            <w:gridSpan w:val="2"/>
            <w:vAlign w:val="center"/>
          </w:tcPr>
          <w:p w14:paraId="2D1BD8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p>
        </w:tc>
        <w:tc>
          <w:tcPr>
            <w:tcW w:w="1198" w:type="dxa"/>
            <w:vAlign w:val="center"/>
          </w:tcPr>
          <w:p w14:paraId="2C181989">
            <w:pPr>
              <w:snapToGrid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50</w:t>
            </w:r>
          </w:p>
        </w:tc>
        <w:tc>
          <w:tcPr>
            <w:tcW w:w="1396" w:type="dxa"/>
            <w:vAlign w:val="center"/>
          </w:tcPr>
          <w:p w14:paraId="70A82363">
            <w:pPr>
              <w:snapToGrid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0.108</w:t>
            </w:r>
          </w:p>
        </w:tc>
        <w:tc>
          <w:tcPr>
            <w:tcW w:w="1243" w:type="dxa"/>
            <w:vAlign w:val="center"/>
          </w:tcPr>
          <w:p w14:paraId="5C533CB4">
            <w:pPr>
              <w:snapToGrid w:val="0"/>
              <w:spacing w:line="240" w:lineRule="auto"/>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eastAsia" w:ascii="Times New Roman" w:hAnsi="Times New Roman" w:eastAsia="宋体" w:cs="Times New Roman"/>
                <w:bCs/>
                <w:color w:val="auto"/>
                <w:sz w:val="21"/>
                <w:szCs w:val="21"/>
                <w:highlight w:val="none"/>
                <w:u w:val="none" w:color="auto"/>
                <w:lang w:val="en-US" w:eastAsia="zh-CN"/>
              </w:rPr>
              <w:t>300</w:t>
            </w:r>
          </w:p>
        </w:tc>
      </w:tr>
      <w:tr w14:paraId="1C9B1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restart"/>
            <w:vAlign w:val="center"/>
          </w:tcPr>
          <w:p w14:paraId="0749D0E5">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噪声</w:t>
            </w:r>
          </w:p>
        </w:tc>
        <w:tc>
          <w:tcPr>
            <w:tcW w:w="2481" w:type="dxa"/>
            <w:gridSpan w:val="2"/>
            <w:vAlign w:val="center"/>
          </w:tcPr>
          <w:p w14:paraId="0A345418">
            <w:pP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污染物类别</w:t>
            </w:r>
          </w:p>
        </w:tc>
        <w:tc>
          <w:tcPr>
            <w:tcW w:w="1559" w:type="dxa"/>
            <w:vAlign w:val="center"/>
          </w:tcPr>
          <w:p w14:paraId="700E0F26">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2344" w:type="dxa"/>
            <w:vAlign w:val="center"/>
          </w:tcPr>
          <w:p w14:paraId="64FD36D5">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源强</w:t>
            </w:r>
          </w:p>
        </w:tc>
        <w:tc>
          <w:tcPr>
            <w:tcW w:w="2320" w:type="dxa"/>
            <w:vAlign w:val="center"/>
          </w:tcPr>
          <w:p w14:paraId="690C4AAB">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2"/>
                <w:sz w:val="21"/>
                <w:szCs w:val="21"/>
                <w:highlight w:val="none"/>
              </w:rPr>
              <w:t>防治措施</w:t>
            </w:r>
          </w:p>
        </w:tc>
        <w:tc>
          <w:tcPr>
            <w:tcW w:w="2594" w:type="dxa"/>
            <w:gridSpan w:val="2"/>
            <w:vAlign w:val="center"/>
          </w:tcPr>
          <w:p w14:paraId="689A828F">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噪声排放量</w:t>
            </w:r>
          </w:p>
        </w:tc>
        <w:tc>
          <w:tcPr>
            <w:tcW w:w="2639" w:type="dxa"/>
            <w:gridSpan w:val="2"/>
            <w:vAlign w:val="center"/>
          </w:tcPr>
          <w:p w14:paraId="5241E488">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r>
      <w:tr w14:paraId="25C09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5E18EE4D">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4F98B8F7">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u w:val="none" w:color="auto"/>
                <w:lang w:eastAsia="zh-CN"/>
              </w:rPr>
              <w:t>车床、磨床、风机、液压机</w:t>
            </w:r>
          </w:p>
        </w:tc>
        <w:tc>
          <w:tcPr>
            <w:tcW w:w="1559" w:type="dxa"/>
            <w:vAlign w:val="center"/>
          </w:tcPr>
          <w:p w14:paraId="2482208F">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rPr>
              <w:t>等效连续A声级</w:t>
            </w:r>
          </w:p>
        </w:tc>
        <w:tc>
          <w:tcPr>
            <w:tcW w:w="2344" w:type="dxa"/>
            <w:vAlign w:val="center"/>
          </w:tcPr>
          <w:p w14:paraId="4BA1ECBE">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80</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rPr>
              <w:t xml:space="preserve"> dB(A)</w:t>
            </w:r>
          </w:p>
        </w:tc>
        <w:tc>
          <w:tcPr>
            <w:tcW w:w="2320" w:type="dxa"/>
            <w:vAlign w:val="center"/>
          </w:tcPr>
          <w:p w14:paraId="5F266EEA">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kern w:val="2"/>
                <w:sz w:val="21"/>
                <w:szCs w:val="21"/>
                <w:highlight w:val="none"/>
              </w:rPr>
              <w:t>基础减振、厂房隔声、消声等</w:t>
            </w:r>
          </w:p>
        </w:tc>
        <w:tc>
          <w:tcPr>
            <w:tcW w:w="2594" w:type="dxa"/>
            <w:gridSpan w:val="2"/>
            <w:vAlign w:val="center"/>
          </w:tcPr>
          <w:p w14:paraId="0B102A90">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rPr>
              <w:t>厂界＜</w:t>
            </w:r>
            <w:r>
              <w:rPr>
                <w:rFonts w:hint="default" w:ascii="Times New Roman" w:hAnsi="Times New Roman" w:eastAsia="宋体" w:cs="Times New Roman"/>
                <w:bCs/>
                <w:color w:val="auto"/>
                <w:sz w:val="21"/>
                <w:szCs w:val="21"/>
                <w:highlight w:val="none"/>
                <w:lang w:val="en-US" w:eastAsia="zh-CN"/>
              </w:rPr>
              <w:t>60</w:t>
            </w:r>
            <w:r>
              <w:rPr>
                <w:rFonts w:hint="default" w:ascii="Times New Roman" w:hAnsi="Times New Roman" w:eastAsia="宋体" w:cs="Times New Roman"/>
                <w:bCs/>
                <w:color w:val="auto"/>
                <w:sz w:val="21"/>
                <w:szCs w:val="21"/>
                <w:highlight w:val="none"/>
              </w:rPr>
              <w:t xml:space="preserve"> dB(A)</w:t>
            </w:r>
          </w:p>
        </w:tc>
        <w:tc>
          <w:tcPr>
            <w:tcW w:w="2639" w:type="dxa"/>
            <w:gridSpan w:val="2"/>
            <w:vAlign w:val="center"/>
          </w:tcPr>
          <w:p w14:paraId="43559D54">
            <w:pPr>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昼间：65 dB(A)</w:t>
            </w:r>
          </w:p>
          <w:p w14:paraId="433EC281">
            <w:pPr>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rPr>
              <w:t>夜间：55dB(A)</w:t>
            </w:r>
          </w:p>
        </w:tc>
      </w:tr>
      <w:tr w14:paraId="5BCEA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restart"/>
            <w:vAlign w:val="center"/>
          </w:tcPr>
          <w:p w14:paraId="5173F658">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固废</w:t>
            </w:r>
          </w:p>
        </w:tc>
        <w:tc>
          <w:tcPr>
            <w:tcW w:w="2481" w:type="dxa"/>
            <w:gridSpan w:val="2"/>
            <w:vAlign w:val="center"/>
          </w:tcPr>
          <w:p w14:paraId="4E9CF17D">
            <w:pPr>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污染物类别</w:t>
            </w:r>
          </w:p>
        </w:tc>
        <w:tc>
          <w:tcPr>
            <w:tcW w:w="1559" w:type="dxa"/>
            <w:vAlign w:val="center"/>
          </w:tcPr>
          <w:p w14:paraId="2B4EC885">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属性</w:t>
            </w:r>
          </w:p>
        </w:tc>
        <w:tc>
          <w:tcPr>
            <w:tcW w:w="2344" w:type="dxa"/>
            <w:vAlign w:val="center"/>
          </w:tcPr>
          <w:p w14:paraId="442717CD">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kern w:val="2"/>
                <w:sz w:val="21"/>
                <w:szCs w:val="21"/>
                <w:highlight w:val="none"/>
              </w:rPr>
              <w:t>产生量</w:t>
            </w:r>
          </w:p>
        </w:tc>
        <w:tc>
          <w:tcPr>
            <w:tcW w:w="2320" w:type="dxa"/>
            <w:vAlign w:val="center"/>
          </w:tcPr>
          <w:p w14:paraId="595C0DEF">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去向</w:t>
            </w:r>
          </w:p>
        </w:tc>
        <w:tc>
          <w:tcPr>
            <w:tcW w:w="5233" w:type="dxa"/>
            <w:gridSpan w:val="4"/>
            <w:vAlign w:val="center"/>
          </w:tcPr>
          <w:p w14:paraId="46481EC9">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sz w:val="21"/>
                <w:szCs w:val="21"/>
                <w:highlight w:val="none"/>
              </w:rPr>
              <w:t>执行标准</w:t>
            </w:r>
          </w:p>
        </w:tc>
      </w:tr>
      <w:tr w14:paraId="042D6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6734BFB1">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760735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电镀槽槽渣</w:t>
            </w:r>
          </w:p>
        </w:tc>
        <w:tc>
          <w:tcPr>
            <w:tcW w:w="1559" w:type="dxa"/>
            <w:vMerge w:val="restart"/>
            <w:vAlign w:val="center"/>
          </w:tcPr>
          <w:p w14:paraId="48962114">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u w:val="none" w:color="auto"/>
                <w:lang w:eastAsia="zh-CN"/>
              </w:rPr>
              <w:t>危险废物</w:t>
            </w:r>
          </w:p>
        </w:tc>
        <w:tc>
          <w:tcPr>
            <w:tcW w:w="2344" w:type="dxa"/>
            <w:vAlign w:val="center"/>
          </w:tcPr>
          <w:p w14:paraId="4DBF9C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2</w:t>
            </w:r>
          </w:p>
        </w:tc>
        <w:tc>
          <w:tcPr>
            <w:tcW w:w="2320" w:type="dxa"/>
            <w:vMerge w:val="restart"/>
            <w:vAlign w:val="center"/>
          </w:tcPr>
          <w:p w14:paraId="79134B1B">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u w:val="none" w:color="auto"/>
              </w:rPr>
              <w:t>委托有资质单位定期清运处置</w:t>
            </w:r>
          </w:p>
        </w:tc>
        <w:tc>
          <w:tcPr>
            <w:tcW w:w="5233" w:type="dxa"/>
            <w:gridSpan w:val="4"/>
            <w:vMerge w:val="restart"/>
            <w:vAlign w:val="center"/>
          </w:tcPr>
          <w:p w14:paraId="119F2AFA">
            <w:pPr>
              <w:spacing w:line="240" w:lineRule="auto"/>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《危险废物贮存污染控制标准》（GB18597-2023）</w:t>
            </w:r>
          </w:p>
        </w:tc>
      </w:tr>
      <w:tr w14:paraId="40821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472FBE83">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2BDA83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电镀废水处理污泥</w:t>
            </w:r>
          </w:p>
        </w:tc>
        <w:tc>
          <w:tcPr>
            <w:tcW w:w="1559" w:type="dxa"/>
            <w:vMerge w:val="continue"/>
            <w:vAlign w:val="center"/>
          </w:tcPr>
          <w:p w14:paraId="6AC3E935">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1730B2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20</w:t>
            </w:r>
          </w:p>
        </w:tc>
        <w:tc>
          <w:tcPr>
            <w:tcW w:w="2320" w:type="dxa"/>
            <w:vMerge w:val="continue"/>
            <w:vAlign w:val="center"/>
          </w:tcPr>
          <w:p w14:paraId="2257B0AA">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631BFE89">
            <w:pPr>
              <w:spacing w:line="240" w:lineRule="auto"/>
              <w:jc w:val="center"/>
              <w:rPr>
                <w:rFonts w:hint="default" w:ascii="Times New Roman" w:hAnsi="Times New Roman" w:eastAsia="宋体" w:cs="Times New Roman"/>
                <w:b/>
                <w:bCs/>
                <w:color w:val="auto"/>
                <w:sz w:val="21"/>
                <w:szCs w:val="21"/>
                <w:highlight w:val="none"/>
              </w:rPr>
            </w:pPr>
          </w:p>
        </w:tc>
      </w:tr>
      <w:tr w14:paraId="58B00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12981898">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40818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三效蒸发器</w:t>
            </w:r>
            <w:r>
              <w:rPr>
                <w:rFonts w:hint="default" w:ascii="Times New Roman" w:hAnsi="Times New Roman" w:eastAsia="宋体" w:cs="Times New Roman"/>
                <w:color w:val="auto"/>
                <w:sz w:val="21"/>
                <w:szCs w:val="21"/>
                <w:highlight w:val="none"/>
                <w:u w:val="none" w:color="auto"/>
              </w:rPr>
              <w:t>蒸</w:t>
            </w:r>
            <w:r>
              <w:rPr>
                <w:rFonts w:hint="eastAsia" w:ascii="Times New Roman" w:hAnsi="Times New Roman" w:eastAsia="宋体" w:cs="Times New Roman"/>
                <w:color w:val="auto"/>
                <w:sz w:val="21"/>
                <w:szCs w:val="21"/>
                <w:highlight w:val="none"/>
                <w:u w:val="none" w:color="auto"/>
                <w:lang w:eastAsia="zh-CN"/>
              </w:rPr>
              <w:t>发</w:t>
            </w:r>
            <w:r>
              <w:rPr>
                <w:rFonts w:hint="default" w:ascii="Times New Roman" w:hAnsi="Times New Roman" w:eastAsia="宋体" w:cs="Times New Roman"/>
                <w:color w:val="auto"/>
                <w:sz w:val="21"/>
                <w:szCs w:val="21"/>
                <w:highlight w:val="none"/>
                <w:u w:val="none" w:color="auto"/>
              </w:rPr>
              <w:t>残渣</w:t>
            </w:r>
          </w:p>
        </w:tc>
        <w:tc>
          <w:tcPr>
            <w:tcW w:w="1559" w:type="dxa"/>
            <w:vMerge w:val="continue"/>
            <w:vAlign w:val="center"/>
          </w:tcPr>
          <w:p w14:paraId="5F62BCEA">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0C17D3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487.35</w:t>
            </w:r>
          </w:p>
        </w:tc>
        <w:tc>
          <w:tcPr>
            <w:tcW w:w="2320" w:type="dxa"/>
            <w:vMerge w:val="continue"/>
            <w:vAlign w:val="center"/>
          </w:tcPr>
          <w:p w14:paraId="054BD21A">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19F81B77">
            <w:pPr>
              <w:spacing w:line="240" w:lineRule="auto"/>
              <w:jc w:val="center"/>
              <w:rPr>
                <w:rFonts w:hint="default" w:ascii="Times New Roman" w:hAnsi="Times New Roman" w:eastAsia="宋体" w:cs="Times New Roman"/>
                <w:b/>
                <w:bCs/>
                <w:color w:val="auto"/>
                <w:sz w:val="21"/>
                <w:szCs w:val="21"/>
                <w:highlight w:val="none"/>
              </w:rPr>
            </w:pPr>
          </w:p>
        </w:tc>
      </w:tr>
      <w:tr w14:paraId="1FBEE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7E5B6273">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15482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危险化学品包装材料</w:t>
            </w:r>
          </w:p>
        </w:tc>
        <w:tc>
          <w:tcPr>
            <w:tcW w:w="1559" w:type="dxa"/>
            <w:vMerge w:val="continue"/>
            <w:vAlign w:val="center"/>
          </w:tcPr>
          <w:p w14:paraId="06C3903E">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12EAAB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2</w:t>
            </w:r>
          </w:p>
        </w:tc>
        <w:tc>
          <w:tcPr>
            <w:tcW w:w="2320" w:type="dxa"/>
            <w:vMerge w:val="continue"/>
            <w:vAlign w:val="center"/>
          </w:tcPr>
          <w:p w14:paraId="3DF9CA62">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27AA216A">
            <w:pPr>
              <w:spacing w:line="240" w:lineRule="auto"/>
              <w:jc w:val="center"/>
              <w:rPr>
                <w:rFonts w:hint="default" w:ascii="Times New Roman" w:hAnsi="Times New Roman" w:eastAsia="宋体" w:cs="Times New Roman"/>
                <w:b/>
                <w:bCs/>
                <w:color w:val="auto"/>
                <w:sz w:val="21"/>
                <w:szCs w:val="21"/>
                <w:highlight w:val="none"/>
              </w:rPr>
            </w:pPr>
          </w:p>
        </w:tc>
      </w:tr>
      <w:tr w14:paraId="38C5B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50B8BB1B">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04518B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废水处理站及生产过程废过滤材料</w:t>
            </w:r>
          </w:p>
        </w:tc>
        <w:tc>
          <w:tcPr>
            <w:tcW w:w="1559" w:type="dxa"/>
            <w:vMerge w:val="continue"/>
            <w:vAlign w:val="center"/>
          </w:tcPr>
          <w:p w14:paraId="69242B51">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174AEB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0.5</w:t>
            </w:r>
          </w:p>
        </w:tc>
        <w:tc>
          <w:tcPr>
            <w:tcW w:w="2320" w:type="dxa"/>
            <w:vMerge w:val="continue"/>
            <w:vAlign w:val="center"/>
          </w:tcPr>
          <w:p w14:paraId="7F2B935E">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7364CC35">
            <w:pPr>
              <w:spacing w:line="240" w:lineRule="auto"/>
              <w:jc w:val="center"/>
              <w:rPr>
                <w:rFonts w:hint="default" w:ascii="Times New Roman" w:hAnsi="Times New Roman" w:eastAsia="宋体" w:cs="Times New Roman"/>
                <w:b/>
                <w:bCs/>
                <w:color w:val="auto"/>
                <w:sz w:val="21"/>
                <w:szCs w:val="21"/>
                <w:highlight w:val="none"/>
              </w:rPr>
            </w:pPr>
          </w:p>
        </w:tc>
      </w:tr>
      <w:tr w14:paraId="6BF25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53DE3126">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3C0F1E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废切削液</w:t>
            </w:r>
          </w:p>
        </w:tc>
        <w:tc>
          <w:tcPr>
            <w:tcW w:w="1559" w:type="dxa"/>
            <w:vMerge w:val="continue"/>
            <w:vAlign w:val="center"/>
          </w:tcPr>
          <w:p w14:paraId="5B49BA83">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65F661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0.5</w:t>
            </w:r>
          </w:p>
        </w:tc>
        <w:tc>
          <w:tcPr>
            <w:tcW w:w="2320" w:type="dxa"/>
            <w:vMerge w:val="continue"/>
            <w:vAlign w:val="center"/>
          </w:tcPr>
          <w:p w14:paraId="12DF8CFC">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1CA34306">
            <w:pPr>
              <w:spacing w:line="240" w:lineRule="auto"/>
              <w:jc w:val="center"/>
              <w:rPr>
                <w:rFonts w:hint="default" w:ascii="Times New Roman" w:hAnsi="Times New Roman" w:eastAsia="宋体" w:cs="Times New Roman"/>
                <w:b/>
                <w:bCs/>
                <w:color w:val="auto"/>
                <w:sz w:val="21"/>
                <w:szCs w:val="21"/>
                <w:highlight w:val="none"/>
              </w:rPr>
            </w:pPr>
          </w:p>
        </w:tc>
      </w:tr>
      <w:tr w14:paraId="50F71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41888F1E">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52E5E4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eastAsia="zh-CN"/>
              </w:rPr>
              <w:t>废活性炭</w:t>
            </w:r>
          </w:p>
        </w:tc>
        <w:tc>
          <w:tcPr>
            <w:tcW w:w="1559" w:type="dxa"/>
            <w:vMerge w:val="continue"/>
            <w:vAlign w:val="center"/>
          </w:tcPr>
          <w:p w14:paraId="4B1C5638">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32E58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8</w:t>
            </w:r>
          </w:p>
        </w:tc>
        <w:tc>
          <w:tcPr>
            <w:tcW w:w="2320" w:type="dxa"/>
            <w:vMerge w:val="continue"/>
            <w:vAlign w:val="center"/>
          </w:tcPr>
          <w:p w14:paraId="262708BF">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756C42D7">
            <w:pPr>
              <w:spacing w:line="240" w:lineRule="auto"/>
              <w:jc w:val="center"/>
              <w:rPr>
                <w:rFonts w:hint="default" w:ascii="Times New Roman" w:hAnsi="Times New Roman" w:eastAsia="宋体" w:cs="Times New Roman"/>
                <w:b/>
                <w:bCs/>
                <w:color w:val="auto"/>
                <w:sz w:val="21"/>
                <w:szCs w:val="21"/>
                <w:highlight w:val="none"/>
              </w:rPr>
            </w:pPr>
          </w:p>
        </w:tc>
      </w:tr>
      <w:tr w14:paraId="6855F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44DF899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4A2A86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废矿物油</w:t>
            </w:r>
          </w:p>
        </w:tc>
        <w:tc>
          <w:tcPr>
            <w:tcW w:w="1559" w:type="dxa"/>
            <w:vMerge w:val="continue"/>
            <w:vAlign w:val="center"/>
          </w:tcPr>
          <w:p w14:paraId="3824D78D">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46F1C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2</w:t>
            </w:r>
          </w:p>
        </w:tc>
        <w:tc>
          <w:tcPr>
            <w:tcW w:w="2320" w:type="dxa"/>
            <w:vMerge w:val="continue"/>
            <w:vAlign w:val="center"/>
          </w:tcPr>
          <w:p w14:paraId="08DC72BF">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5D5A8C4B">
            <w:pPr>
              <w:spacing w:line="240" w:lineRule="auto"/>
              <w:jc w:val="center"/>
              <w:rPr>
                <w:rFonts w:hint="default" w:ascii="Times New Roman" w:hAnsi="Times New Roman" w:eastAsia="宋体" w:cs="Times New Roman"/>
                <w:b/>
                <w:bCs/>
                <w:color w:val="auto"/>
                <w:sz w:val="21"/>
                <w:szCs w:val="21"/>
                <w:highlight w:val="none"/>
              </w:rPr>
            </w:pPr>
          </w:p>
        </w:tc>
      </w:tr>
      <w:tr w14:paraId="44ADD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747D35CD">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0B42A7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含油抹布</w:t>
            </w:r>
          </w:p>
        </w:tc>
        <w:tc>
          <w:tcPr>
            <w:tcW w:w="1559" w:type="dxa"/>
            <w:vMerge w:val="continue"/>
            <w:vAlign w:val="center"/>
          </w:tcPr>
          <w:p w14:paraId="41D17964">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6454B6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0.5</w:t>
            </w:r>
          </w:p>
        </w:tc>
        <w:tc>
          <w:tcPr>
            <w:tcW w:w="2320" w:type="dxa"/>
            <w:vMerge w:val="continue"/>
            <w:vAlign w:val="center"/>
          </w:tcPr>
          <w:p w14:paraId="76D03B42">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238C1CF6">
            <w:pPr>
              <w:spacing w:line="240" w:lineRule="auto"/>
              <w:jc w:val="center"/>
              <w:rPr>
                <w:rFonts w:hint="default" w:ascii="Times New Roman" w:hAnsi="Times New Roman" w:eastAsia="宋体" w:cs="Times New Roman"/>
                <w:b/>
                <w:bCs/>
                <w:color w:val="auto"/>
                <w:sz w:val="21"/>
                <w:szCs w:val="21"/>
                <w:highlight w:val="none"/>
              </w:rPr>
            </w:pPr>
          </w:p>
        </w:tc>
      </w:tr>
      <w:tr w14:paraId="62C56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46EF2CF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2B7BEE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u w:val="none" w:color="auto"/>
              </w:rPr>
              <w:t>一般化学品废包装材料</w:t>
            </w:r>
          </w:p>
        </w:tc>
        <w:tc>
          <w:tcPr>
            <w:tcW w:w="1559" w:type="dxa"/>
            <w:vMerge w:val="restart"/>
            <w:vAlign w:val="center"/>
          </w:tcPr>
          <w:p w14:paraId="45C9BB0B">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u w:val="none" w:color="auto"/>
              </w:rPr>
              <w:t>一般工业固体废物</w:t>
            </w:r>
          </w:p>
        </w:tc>
        <w:tc>
          <w:tcPr>
            <w:tcW w:w="2344" w:type="dxa"/>
            <w:vAlign w:val="center"/>
          </w:tcPr>
          <w:p w14:paraId="286D91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1.0</w:t>
            </w:r>
          </w:p>
        </w:tc>
        <w:tc>
          <w:tcPr>
            <w:tcW w:w="2320" w:type="dxa"/>
            <w:vMerge w:val="restart"/>
            <w:vAlign w:val="center"/>
          </w:tcPr>
          <w:p w14:paraId="7A7CD233">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u w:val="none" w:color="auto"/>
              </w:rPr>
              <w:t>收集暂存后定期外售综合利用</w:t>
            </w:r>
          </w:p>
        </w:tc>
        <w:tc>
          <w:tcPr>
            <w:tcW w:w="5233" w:type="dxa"/>
            <w:gridSpan w:val="4"/>
            <w:vMerge w:val="restart"/>
            <w:vAlign w:val="center"/>
          </w:tcPr>
          <w:p w14:paraId="78C660E0">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Cs/>
                <w:color w:val="auto"/>
                <w:sz w:val="21"/>
                <w:szCs w:val="21"/>
                <w:highlight w:val="none"/>
              </w:rPr>
              <w:t>《一般工业固体废物贮存和填埋污染控制标准》（GB18599-2020）</w:t>
            </w:r>
          </w:p>
        </w:tc>
      </w:tr>
      <w:tr w14:paraId="1EE69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6DB9B107">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78C8C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u w:val="none" w:color="auto"/>
                <w:lang w:eastAsia="zh-CN"/>
              </w:rPr>
              <w:t>不合格产品及边角料</w:t>
            </w:r>
          </w:p>
        </w:tc>
        <w:tc>
          <w:tcPr>
            <w:tcW w:w="1559" w:type="dxa"/>
            <w:vMerge w:val="continue"/>
            <w:vAlign w:val="center"/>
          </w:tcPr>
          <w:p w14:paraId="788C4E46">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495DF3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20</w:t>
            </w:r>
          </w:p>
        </w:tc>
        <w:tc>
          <w:tcPr>
            <w:tcW w:w="2320" w:type="dxa"/>
            <w:vMerge w:val="continue"/>
            <w:vAlign w:val="center"/>
          </w:tcPr>
          <w:p w14:paraId="2C9D5728">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6892DAFA">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Cs/>
                <w:color w:val="auto"/>
                <w:sz w:val="21"/>
                <w:szCs w:val="21"/>
                <w:highlight w:val="none"/>
              </w:rPr>
            </w:pPr>
          </w:p>
        </w:tc>
      </w:tr>
      <w:tr w14:paraId="2A771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17208FF0">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472ADD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纯水站废过滤材料</w:t>
            </w:r>
          </w:p>
        </w:tc>
        <w:tc>
          <w:tcPr>
            <w:tcW w:w="1559" w:type="dxa"/>
            <w:vMerge w:val="continue"/>
            <w:vAlign w:val="center"/>
          </w:tcPr>
          <w:p w14:paraId="14CFA366">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6F881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w:t>
            </w:r>
          </w:p>
        </w:tc>
        <w:tc>
          <w:tcPr>
            <w:tcW w:w="2320" w:type="dxa"/>
            <w:vMerge w:val="continue"/>
            <w:vAlign w:val="center"/>
          </w:tcPr>
          <w:p w14:paraId="6E410639">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6E1AB0FC">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Cs/>
                <w:color w:val="auto"/>
                <w:sz w:val="21"/>
                <w:szCs w:val="21"/>
                <w:highlight w:val="none"/>
              </w:rPr>
            </w:pPr>
          </w:p>
        </w:tc>
      </w:tr>
      <w:tr w14:paraId="10D43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3F2C73D2">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249A5F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u w:val="none" w:color="auto"/>
                <w:lang w:eastAsia="zh-CN"/>
              </w:rPr>
              <w:t>铝材前处理槽渣</w:t>
            </w:r>
          </w:p>
        </w:tc>
        <w:tc>
          <w:tcPr>
            <w:tcW w:w="1559" w:type="dxa"/>
            <w:vMerge w:val="continue"/>
            <w:vAlign w:val="center"/>
          </w:tcPr>
          <w:p w14:paraId="66691292">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1DF8BF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1</w:t>
            </w:r>
          </w:p>
        </w:tc>
        <w:tc>
          <w:tcPr>
            <w:tcW w:w="2320" w:type="dxa"/>
            <w:vMerge w:val="continue"/>
            <w:vAlign w:val="center"/>
          </w:tcPr>
          <w:p w14:paraId="5DBC7FC1">
            <w:pPr>
              <w:spacing w:line="240" w:lineRule="auto"/>
              <w:jc w:val="center"/>
              <w:rPr>
                <w:rFonts w:hint="default" w:ascii="Times New Roman" w:hAnsi="Times New Roman" w:eastAsia="宋体" w:cs="Times New Roman"/>
                <w:b/>
                <w:bCs/>
                <w:color w:val="auto"/>
                <w:sz w:val="21"/>
                <w:szCs w:val="21"/>
                <w:highlight w:val="none"/>
              </w:rPr>
            </w:pPr>
          </w:p>
        </w:tc>
        <w:tc>
          <w:tcPr>
            <w:tcW w:w="5233" w:type="dxa"/>
            <w:gridSpan w:val="4"/>
            <w:vMerge w:val="continue"/>
            <w:vAlign w:val="center"/>
          </w:tcPr>
          <w:p w14:paraId="2E19D613">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r>
      <w:tr w14:paraId="7EF14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54CECF99">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6EE971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机加工车间冲洗废水沉淀池污泥</w:t>
            </w:r>
          </w:p>
        </w:tc>
        <w:tc>
          <w:tcPr>
            <w:tcW w:w="1559" w:type="dxa"/>
            <w:vMerge w:val="continue"/>
            <w:vAlign w:val="center"/>
          </w:tcPr>
          <w:p w14:paraId="4F07033F">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c>
          <w:tcPr>
            <w:tcW w:w="2344" w:type="dxa"/>
            <w:vAlign w:val="center"/>
          </w:tcPr>
          <w:p w14:paraId="28BAA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w:t>
            </w:r>
          </w:p>
        </w:tc>
        <w:tc>
          <w:tcPr>
            <w:tcW w:w="2320" w:type="dxa"/>
            <w:vAlign w:val="center"/>
          </w:tcPr>
          <w:p w14:paraId="34834E1A">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送至填埋场处理</w:t>
            </w:r>
          </w:p>
        </w:tc>
        <w:tc>
          <w:tcPr>
            <w:tcW w:w="5233" w:type="dxa"/>
            <w:gridSpan w:val="4"/>
            <w:vMerge w:val="continue"/>
            <w:vAlign w:val="center"/>
          </w:tcPr>
          <w:p w14:paraId="5D19945E">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p>
        </w:tc>
      </w:tr>
      <w:tr w14:paraId="24C86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8" w:type="dxa"/>
            <w:vMerge w:val="continue"/>
            <w:vAlign w:val="center"/>
          </w:tcPr>
          <w:p w14:paraId="606A7899">
            <w:pPr>
              <w:pStyle w:val="34"/>
              <w:spacing w:line="240" w:lineRule="auto"/>
              <w:ind w:firstLine="0" w:firstLineChars="0"/>
              <w:jc w:val="center"/>
              <w:rPr>
                <w:rFonts w:hint="default" w:ascii="Times New Roman" w:hAnsi="Times New Roman" w:eastAsia="宋体" w:cs="Times New Roman"/>
                <w:color w:val="auto"/>
                <w:sz w:val="21"/>
                <w:szCs w:val="21"/>
                <w:highlight w:val="none"/>
                <w:u w:val="none" w:color="auto"/>
                <w:lang w:eastAsia="zh-CN"/>
              </w:rPr>
            </w:pPr>
          </w:p>
        </w:tc>
        <w:tc>
          <w:tcPr>
            <w:tcW w:w="2481" w:type="dxa"/>
            <w:gridSpan w:val="2"/>
            <w:vAlign w:val="center"/>
          </w:tcPr>
          <w:p w14:paraId="017953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生活垃圾</w:t>
            </w:r>
          </w:p>
        </w:tc>
        <w:tc>
          <w:tcPr>
            <w:tcW w:w="1559" w:type="dxa"/>
            <w:vAlign w:val="center"/>
          </w:tcPr>
          <w:p w14:paraId="3556F854">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u w:val="none" w:color="auto"/>
                <w:lang w:eastAsia="zh-CN"/>
              </w:rPr>
              <w:t>生活垃圾</w:t>
            </w:r>
          </w:p>
        </w:tc>
        <w:tc>
          <w:tcPr>
            <w:tcW w:w="2344" w:type="dxa"/>
            <w:vAlign w:val="center"/>
          </w:tcPr>
          <w:p w14:paraId="6E509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71.25</w:t>
            </w:r>
          </w:p>
        </w:tc>
        <w:tc>
          <w:tcPr>
            <w:tcW w:w="2320" w:type="dxa"/>
            <w:vAlign w:val="center"/>
          </w:tcPr>
          <w:p w14:paraId="39225908">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u w:val="none" w:color="auto"/>
                <w:lang w:eastAsia="zh-CN"/>
              </w:rPr>
              <w:t>交由环卫部门处置</w:t>
            </w:r>
          </w:p>
        </w:tc>
        <w:tc>
          <w:tcPr>
            <w:tcW w:w="5233" w:type="dxa"/>
            <w:gridSpan w:val="4"/>
            <w:vAlign w:val="center"/>
          </w:tcPr>
          <w:p w14:paraId="1897EAEA">
            <w:pPr>
              <w:pStyle w:val="19"/>
              <w:spacing w:before="0" w:beforeAutospacing="0" w:after="0" w:afterAutospacing="0"/>
              <w:ind w:left="0" w:leftChars="0" w:right="0" w:rightChars="0" w:firstLine="0" w:firstLineChars="0"/>
              <w:jc w:val="center"/>
              <w:outlineLvl w:val="4"/>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r>
    </w:tbl>
    <w:p w14:paraId="179681A4">
      <w:pPr>
        <w:rPr>
          <w:rFonts w:hint="default" w:ascii="Times New Roman" w:hAnsi="Times New Roman" w:cs="Times New Roman"/>
          <w:color w:val="auto"/>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3EF321E2">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12.3.3监测方案</w:t>
      </w:r>
    </w:p>
    <w:p w14:paraId="646930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zh-CN"/>
        </w:rPr>
      </w:pPr>
      <w:r>
        <w:rPr>
          <w:rFonts w:hint="default" w:ascii="Times New Roman" w:hAnsi="Times New Roman" w:eastAsia="宋体" w:cs="Times New Roman"/>
          <w:color w:val="auto"/>
          <w:sz w:val="24"/>
          <w:szCs w:val="21"/>
          <w:highlight w:val="none"/>
          <w:u w:val="none" w:color="auto"/>
          <w:lang w:val="zh-CN"/>
        </w:rPr>
        <w:t>监测内容主要包括污染物排放监测和周边环境质量影响监测。</w:t>
      </w:r>
    </w:p>
    <w:p w14:paraId="7404D8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zh-CN"/>
        </w:rPr>
      </w:pPr>
      <w:r>
        <w:rPr>
          <w:rFonts w:hint="default" w:ascii="Times New Roman" w:hAnsi="Times New Roman" w:eastAsia="宋体" w:cs="Times New Roman"/>
          <w:color w:val="auto"/>
          <w:sz w:val="24"/>
          <w:szCs w:val="21"/>
          <w:highlight w:val="none"/>
          <w:u w:val="none" w:color="auto"/>
          <w:lang w:val="zh-CN"/>
        </w:rPr>
        <w:t>（1）污染物排放监测</w:t>
      </w:r>
    </w:p>
    <w:p w14:paraId="1BBFF6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lang w:val="zh-CN"/>
        </w:rPr>
      </w:pPr>
      <w:r>
        <w:rPr>
          <w:rFonts w:hint="default" w:ascii="Times New Roman" w:hAnsi="Times New Roman" w:eastAsia="宋体" w:cs="Times New Roman"/>
          <w:color w:val="auto"/>
          <w:sz w:val="24"/>
          <w:szCs w:val="21"/>
          <w:highlight w:val="none"/>
          <w:u w:val="none" w:color="auto"/>
        </w:rPr>
        <w:t>监测项目针对行业的生产特点、污染物排放特征及污染物测试手段的可靠性进行确定。</w:t>
      </w:r>
      <w:r>
        <w:rPr>
          <w:rFonts w:hint="default" w:ascii="Times New Roman" w:hAnsi="Times New Roman" w:eastAsia="宋体" w:cs="Times New Roman"/>
          <w:color w:val="auto"/>
          <w:sz w:val="24"/>
          <w:szCs w:val="21"/>
          <w:highlight w:val="none"/>
          <w:u w:val="none" w:color="auto"/>
          <w:lang w:val="zh-CN"/>
        </w:rPr>
        <w:t>对监测结果应及时统计汇总，并上报有关领导和主管部门，如发现监测结果有异常，应及时反馈生产管理部门，并迅速查找原因，及时、妥善解决。本项目污染源监测计划详见下表：</w:t>
      </w:r>
    </w:p>
    <w:p w14:paraId="76D411F4">
      <w:pPr>
        <w:jc w:val="center"/>
        <w:rPr>
          <w:rFonts w:hint="default" w:ascii="Times New Roman" w:hAnsi="Times New Roman" w:eastAsia="宋体" w:cs="Times New Roman"/>
          <w:b/>
          <w:color w:val="auto"/>
          <w:sz w:val="21"/>
          <w:szCs w:val="18"/>
          <w:highlight w:val="none"/>
          <w:u w:val="single" w:color="auto"/>
        </w:rPr>
      </w:pPr>
      <w:r>
        <w:rPr>
          <w:rFonts w:hint="default" w:ascii="Times New Roman" w:hAnsi="Times New Roman" w:eastAsia="宋体" w:cs="Times New Roman"/>
          <w:b/>
          <w:color w:val="auto"/>
          <w:sz w:val="21"/>
          <w:szCs w:val="18"/>
          <w:highlight w:val="none"/>
          <w:u w:val="single" w:color="auto"/>
        </w:rPr>
        <w:t>表1</w:t>
      </w:r>
      <w:r>
        <w:rPr>
          <w:rFonts w:hint="default" w:ascii="Times New Roman" w:hAnsi="Times New Roman" w:eastAsia="宋体" w:cs="Times New Roman"/>
          <w:b/>
          <w:color w:val="auto"/>
          <w:sz w:val="21"/>
          <w:szCs w:val="18"/>
          <w:highlight w:val="none"/>
          <w:u w:val="single" w:color="auto"/>
          <w:lang w:val="en-US" w:eastAsia="zh-CN"/>
        </w:rPr>
        <w:t>2</w:t>
      </w:r>
      <w:r>
        <w:rPr>
          <w:rFonts w:hint="default" w:ascii="Times New Roman" w:hAnsi="Times New Roman" w:eastAsia="宋体" w:cs="Times New Roman"/>
          <w:b/>
          <w:color w:val="auto"/>
          <w:sz w:val="21"/>
          <w:szCs w:val="18"/>
          <w:highlight w:val="none"/>
          <w:u w:val="single" w:color="auto"/>
        </w:rPr>
        <w:t>.3-</w:t>
      </w:r>
      <w:r>
        <w:rPr>
          <w:rFonts w:hint="default" w:ascii="Times New Roman" w:hAnsi="Times New Roman" w:eastAsia="宋体" w:cs="Times New Roman"/>
          <w:b/>
          <w:color w:val="auto"/>
          <w:sz w:val="21"/>
          <w:szCs w:val="18"/>
          <w:highlight w:val="none"/>
          <w:u w:val="single" w:color="auto"/>
          <w:lang w:val="en-US" w:eastAsia="zh-CN"/>
        </w:rPr>
        <w:t>2</w:t>
      </w:r>
      <w:r>
        <w:rPr>
          <w:rFonts w:hint="default" w:ascii="Times New Roman" w:hAnsi="Times New Roman" w:eastAsia="宋体" w:cs="Times New Roman"/>
          <w:b/>
          <w:color w:val="auto"/>
          <w:sz w:val="21"/>
          <w:szCs w:val="18"/>
          <w:highlight w:val="none"/>
          <w:u w:val="single" w:color="auto"/>
        </w:rPr>
        <w:t>项目污染源监测计划一览表</w:t>
      </w:r>
    </w:p>
    <w:tbl>
      <w:tblPr>
        <w:tblStyle w:val="22"/>
        <w:tblW w:w="532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4"/>
        <w:gridCol w:w="1523"/>
        <w:gridCol w:w="1778"/>
        <w:gridCol w:w="1888"/>
        <w:gridCol w:w="3140"/>
      </w:tblGrid>
      <w:tr w14:paraId="4E3B6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Align w:val="center"/>
          </w:tcPr>
          <w:p w14:paraId="1A70F83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污染源</w:t>
            </w:r>
          </w:p>
        </w:tc>
        <w:tc>
          <w:tcPr>
            <w:tcW w:w="838" w:type="pct"/>
            <w:vAlign w:val="center"/>
          </w:tcPr>
          <w:p w14:paraId="7646357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监测位置</w:t>
            </w:r>
          </w:p>
        </w:tc>
        <w:tc>
          <w:tcPr>
            <w:tcW w:w="978" w:type="pct"/>
            <w:vAlign w:val="center"/>
          </w:tcPr>
          <w:p w14:paraId="4653CF75">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监测内容</w:t>
            </w:r>
          </w:p>
        </w:tc>
        <w:tc>
          <w:tcPr>
            <w:tcW w:w="1039" w:type="pct"/>
            <w:vAlign w:val="center"/>
          </w:tcPr>
          <w:p w14:paraId="77B43D6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监测</w:t>
            </w:r>
          </w:p>
          <w:p w14:paraId="7E14BEF2">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频率</w:t>
            </w:r>
          </w:p>
        </w:tc>
        <w:tc>
          <w:tcPr>
            <w:tcW w:w="1727" w:type="pct"/>
            <w:vAlign w:val="center"/>
          </w:tcPr>
          <w:p w14:paraId="6A170F5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执行标准</w:t>
            </w:r>
          </w:p>
        </w:tc>
      </w:tr>
      <w:tr w14:paraId="6F83B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Merge w:val="restart"/>
            <w:vAlign w:val="center"/>
          </w:tcPr>
          <w:p w14:paraId="3E91991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废气</w:t>
            </w:r>
          </w:p>
        </w:tc>
        <w:tc>
          <w:tcPr>
            <w:tcW w:w="838" w:type="pct"/>
            <w:vAlign w:val="center"/>
          </w:tcPr>
          <w:p w14:paraId="69EA2B06">
            <w:pPr>
              <w:pStyle w:val="54"/>
              <w:snapToGrid w:val="0"/>
              <w:spacing w:line="240" w:lineRule="auto"/>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DA001</w:t>
            </w:r>
          </w:p>
        </w:tc>
        <w:tc>
          <w:tcPr>
            <w:tcW w:w="978" w:type="pct"/>
            <w:vAlign w:val="center"/>
          </w:tcPr>
          <w:p w14:paraId="25215725">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val="en-US" w:eastAsia="zh-CN"/>
              </w:rPr>
              <w:t>氮氧化物</w:t>
            </w:r>
          </w:p>
        </w:tc>
        <w:tc>
          <w:tcPr>
            <w:tcW w:w="1039" w:type="pct"/>
            <w:vMerge w:val="restart"/>
            <w:vAlign w:val="center"/>
          </w:tcPr>
          <w:p w14:paraId="23F2A87D">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eastAsia="zh-CN"/>
              </w:rPr>
              <w:t>半年</w:t>
            </w:r>
            <w:r>
              <w:rPr>
                <w:rFonts w:hint="default" w:ascii="Times New Roman" w:hAnsi="Times New Roman" w:eastAsia="宋体" w:cs="Times New Roman"/>
                <w:bCs/>
                <w:color w:val="auto"/>
                <w:sz w:val="21"/>
                <w:szCs w:val="21"/>
                <w:highlight w:val="none"/>
                <w:u w:val="single" w:color="auto"/>
                <w:lang w:val="en-US" w:eastAsia="zh-CN"/>
              </w:rPr>
              <w:t>1次</w:t>
            </w:r>
          </w:p>
        </w:tc>
        <w:tc>
          <w:tcPr>
            <w:tcW w:w="1727" w:type="pct"/>
            <w:vMerge w:val="restart"/>
            <w:vAlign w:val="center"/>
          </w:tcPr>
          <w:p w14:paraId="59DEA27E">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《电镀污染物排放标准》（GB21900-2008）表2、</w:t>
            </w:r>
            <w:r>
              <w:rPr>
                <w:rFonts w:hint="default" w:ascii="Times New Roman" w:hAnsi="Times New Roman" w:eastAsia="宋体" w:cs="Times New Roman"/>
                <w:bCs/>
                <w:color w:val="auto"/>
                <w:sz w:val="21"/>
                <w:szCs w:val="21"/>
                <w:highlight w:val="none"/>
                <w:u w:val="single" w:color="auto"/>
                <w:lang w:val="en-US" w:eastAsia="zh-CN"/>
              </w:rPr>
              <w:t>《合成树脂工业污染物排放标准》（GB31572-2015</w:t>
            </w:r>
            <w:r>
              <w:rPr>
                <w:rFonts w:hint="default" w:ascii="Times New Roman" w:hAnsi="Times New Roman" w:eastAsia="宋体" w:cs="Times New Roman"/>
                <w:bCs/>
                <w:color w:val="auto"/>
                <w:sz w:val="21"/>
                <w:szCs w:val="21"/>
                <w:highlight w:val="none"/>
                <w:u w:val="single" w:color="auto"/>
              </w:rPr>
              <w:t>）</w:t>
            </w:r>
          </w:p>
        </w:tc>
      </w:tr>
      <w:tr w14:paraId="46807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Merge w:val="continue"/>
            <w:vAlign w:val="center"/>
          </w:tcPr>
          <w:p w14:paraId="412B3032">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838" w:type="pct"/>
            <w:vAlign w:val="center"/>
          </w:tcPr>
          <w:p w14:paraId="48BBB5B9">
            <w:pPr>
              <w:pStyle w:val="54"/>
              <w:snapToGrid w:val="0"/>
              <w:spacing w:line="240" w:lineRule="auto"/>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DA002-DA004</w:t>
            </w:r>
          </w:p>
        </w:tc>
        <w:tc>
          <w:tcPr>
            <w:tcW w:w="978" w:type="pct"/>
            <w:vAlign w:val="center"/>
          </w:tcPr>
          <w:p w14:paraId="0ECC63A7">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rPr>
              <w:t>氯化氢</w:t>
            </w:r>
            <w:r>
              <w:rPr>
                <w:rFonts w:hint="default" w:ascii="Times New Roman" w:hAnsi="Times New Roman" w:eastAsia="宋体" w:cs="Times New Roman"/>
                <w:bCs/>
                <w:color w:val="auto"/>
                <w:sz w:val="21"/>
                <w:szCs w:val="21"/>
                <w:highlight w:val="none"/>
                <w:u w:val="single" w:color="auto"/>
                <w:lang w:eastAsia="zh-CN"/>
              </w:rPr>
              <w:t>、硫酸雾</w:t>
            </w:r>
          </w:p>
        </w:tc>
        <w:tc>
          <w:tcPr>
            <w:tcW w:w="1039" w:type="pct"/>
            <w:vMerge w:val="continue"/>
            <w:vAlign w:val="center"/>
          </w:tcPr>
          <w:p w14:paraId="11C1CB99">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1727" w:type="pct"/>
            <w:vMerge w:val="continue"/>
            <w:vAlign w:val="center"/>
          </w:tcPr>
          <w:p w14:paraId="145835E3">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r>
      <w:tr w14:paraId="75818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Merge w:val="continue"/>
            <w:vAlign w:val="center"/>
          </w:tcPr>
          <w:p w14:paraId="4CA6A34A">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838" w:type="pct"/>
            <w:vAlign w:val="center"/>
          </w:tcPr>
          <w:p w14:paraId="5638E694">
            <w:pPr>
              <w:pStyle w:val="54"/>
              <w:snapToGrid w:val="0"/>
              <w:spacing w:line="240" w:lineRule="auto"/>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cs="Times New Roman"/>
                <w:bCs/>
                <w:color w:val="auto"/>
                <w:sz w:val="21"/>
                <w:szCs w:val="21"/>
                <w:highlight w:val="none"/>
                <w:u w:val="single" w:color="auto"/>
                <w:lang w:val="en-US" w:eastAsia="zh-CN"/>
              </w:rPr>
              <w:t>DA005、DA006</w:t>
            </w:r>
          </w:p>
        </w:tc>
        <w:tc>
          <w:tcPr>
            <w:tcW w:w="978" w:type="pct"/>
            <w:vAlign w:val="center"/>
          </w:tcPr>
          <w:p w14:paraId="141F2463">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氯化氢、</w:t>
            </w:r>
            <w:r>
              <w:rPr>
                <w:rFonts w:hint="default" w:ascii="Times New Roman" w:hAnsi="Times New Roman" w:eastAsia="宋体" w:cs="Times New Roman"/>
                <w:bCs/>
                <w:color w:val="auto"/>
                <w:sz w:val="21"/>
                <w:szCs w:val="21"/>
                <w:highlight w:val="none"/>
                <w:u w:val="single" w:color="auto"/>
                <w:lang w:eastAsia="zh-CN"/>
              </w:rPr>
              <w:t>硫酸雾</w:t>
            </w:r>
            <w:r>
              <w:rPr>
                <w:rFonts w:hint="default" w:ascii="Times New Roman" w:hAnsi="Times New Roman" w:eastAsia="宋体" w:cs="Times New Roman"/>
                <w:bCs/>
                <w:color w:val="auto"/>
                <w:sz w:val="21"/>
                <w:szCs w:val="21"/>
                <w:highlight w:val="none"/>
                <w:u w:val="single" w:color="auto"/>
              </w:rPr>
              <w:t>、氮氧化物</w:t>
            </w:r>
          </w:p>
        </w:tc>
        <w:tc>
          <w:tcPr>
            <w:tcW w:w="1039" w:type="pct"/>
            <w:vMerge w:val="continue"/>
            <w:vAlign w:val="center"/>
          </w:tcPr>
          <w:p w14:paraId="5D33B8B4">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1727" w:type="pct"/>
            <w:vMerge w:val="continue"/>
            <w:vAlign w:val="center"/>
          </w:tcPr>
          <w:p w14:paraId="27374F7E">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r>
      <w:tr w14:paraId="118E6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Merge w:val="continue"/>
            <w:vAlign w:val="center"/>
          </w:tcPr>
          <w:p w14:paraId="06CEF462">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838" w:type="pct"/>
            <w:vAlign w:val="center"/>
          </w:tcPr>
          <w:p w14:paraId="76CC49AA">
            <w:pPr>
              <w:pStyle w:val="54"/>
              <w:snapToGrid w:val="0"/>
              <w:spacing w:line="240" w:lineRule="auto"/>
              <w:rPr>
                <w:rFonts w:hint="default" w:ascii="Times New Roman" w:hAnsi="Times New Roman" w:cs="Times New Roman"/>
                <w:bCs/>
                <w:color w:val="auto"/>
                <w:sz w:val="21"/>
                <w:szCs w:val="21"/>
                <w:highlight w:val="none"/>
                <w:u w:val="single" w:color="auto"/>
                <w:lang w:val="en-US"/>
              </w:rPr>
            </w:pPr>
            <w:r>
              <w:rPr>
                <w:rFonts w:hint="default" w:ascii="Times New Roman" w:hAnsi="Times New Roman" w:cs="Times New Roman"/>
                <w:bCs/>
                <w:color w:val="auto"/>
                <w:sz w:val="21"/>
                <w:szCs w:val="21"/>
                <w:highlight w:val="none"/>
                <w:u w:val="single" w:color="auto"/>
                <w:lang w:val="en-US" w:eastAsia="zh-CN"/>
              </w:rPr>
              <w:t>DA007</w:t>
            </w:r>
          </w:p>
        </w:tc>
        <w:tc>
          <w:tcPr>
            <w:tcW w:w="978" w:type="pct"/>
            <w:vAlign w:val="center"/>
          </w:tcPr>
          <w:p w14:paraId="375A67EC">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非甲烷总烃</w:t>
            </w:r>
            <w:r>
              <w:rPr>
                <w:rFonts w:hint="default" w:ascii="Times New Roman" w:hAnsi="Times New Roman" w:eastAsia="宋体" w:cs="Times New Roman"/>
                <w:bCs/>
                <w:color w:val="auto"/>
                <w:sz w:val="21"/>
                <w:szCs w:val="21"/>
                <w:highlight w:val="none"/>
                <w:u w:val="single" w:color="auto"/>
                <w:lang w:eastAsia="zh-CN"/>
              </w:rPr>
              <w:t>、臭气浓度</w:t>
            </w:r>
          </w:p>
        </w:tc>
        <w:tc>
          <w:tcPr>
            <w:tcW w:w="1039" w:type="pct"/>
            <w:vMerge w:val="continue"/>
            <w:tcBorders>
              <w:bottom w:val="single" w:color="auto" w:sz="4" w:space="0"/>
            </w:tcBorders>
            <w:vAlign w:val="center"/>
          </w:tcPr>
          <w:p w14:paraId="430F51CC">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1727" w:type="pct"/>
            <w:vMerge w:val="continue"/>
            <w:vAlign w:val="center"/>
          </w:tcPr>
          <w:p w14:paraId="20215B01">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r>
      <w:tr w14:paraId="69BF3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Merge w:val="continue"/>
            <w:vAlign w:val="center"/>
          </w:tcPr>
          <w:p w14:paraId="03C5BD48">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838" w:type="pct"/>
            <w:vAlign w:val="center"/>
          </w:tcPr>
          <w:p w14:paraId="58D653F2">
            <w:pPr>
              <w:pStyle w:val="54"/>
              <w:snapToGrid w:val="0"/>
              <w:spacing w:line="240" w:lineRule="auto"/>
              <w:rPr>
                <w:rFonts w:hint="default" w:ascii="Times New Roman" w:hAnsi="Times New Roman" w:cs="Times New Roman"/>
                <w:bCs/>
                <w:color w:val="auto"/>
                <w:sz w:val="21"/>
                <w:szCs w:val="21"/>
                <w:highlight w:val="none"/>
                <w:u w:val="single" w:color="auto"/>
              </w:rPr>
            </w:pPr>
            <w:r>
              <w:rPr>
                <w:rFonts w:hint="default" w:ascii="Times New Roman" w:hAnsi="Times New Roman" w:cs="Times New Roman"/>
                <w:bCs/>
                <w:color w:val="auto"/>
                <w:sz w:val="21"/>
                <w:szCs w:val="21"/>
                <w:highlight w:val="none"/>
                <w:u w:val="single" w:color="auto"/>
              </w:rPr>
              <w:t>厂界无组织</w:t>
            </w:r>
          </w:p>
        </w:tc>
        <w:tc>
          <w:tcPr>
            <w:tcW w:w="978" w:type="pct"/>
            <w:vAlign w:val="center"/>
          </w:tcPr>
          <w:p w14:paraId="557A742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硫酸雾、氯化氢、</w:t>
            </w:r>
            <w:r>
              <w:rPr>
                <w:rFonts w:hint="default" w:ascii="Times New Roman" w:hAnsi="Times New Roman" w:eastAsia="宋体" w:cs="Times New Roman"/>
                <w:bCs/>
                <w:color w:val="auto"/>
                <w:sz w:val="21"/>
                <w:szCs w:val="21"/>
                <w:highlight w:val="none"/>
                <w:u w:val="single" w:color="auto"/>
                <w:lang w:eastAsia="zh-CN"/>
              </w:rPr>
              <w:t>颗粒物</w:t>
            </w:r>
            <w:r>
              <w:rPr>
                <w:rFonts w:hint="default" w:ascii="Times New Roman" w:hAnsi="Times New Roman" w:eastAsia="宋体" w:cs="Times New Roman"/>
                <w:bCs/>
                <w:color w:val="auto"/>
                <w:sz w:val="21"/>
                <w:szCs w:val="21"/>
                <w:highlight w:val="none"/>
                <w:u w:val="single" w:color="auto"/>
              </w:rPr>
              <w:t>、臭气浓度、</w:t>
            </w:r>
            <w:r>
              <w:rPr>
                <w:rFonts w:hint="default" w:ascii="Times New Roman" w:hAnsi="Times New Roman" w:eastAsia="宋体" w:cs="Times New Roman"/>
                <w:color w:val="auto"/>
                <w:sz w:val="21"/>
                <w:szCs w:val="21"/>
                <w:highlight w:val="none"/>
                <w:u w:val="single" w:color="auto"/>
                <w:lang w:eastAsia="zh-CN"/>
              </w:rPr>
              <w:t>非甲烷总烃</w:t>
            </w:r>
          </w:p>
        </w:tc>
        <w:tc>
          <w:tcPr>
            <w:tcW w:w="1039" w:type="pct"/>
            <w:tcBorders>
              <w:top w:val="single" w:color="auto" w:sz="4" w:space="0"/>
            </w:tcBorders>
            <w:vAlign w:val="center"/>
          </w:tcPr>
          <w:p w14:paraId="797B4A48">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每年</w:t>
            </w:r>
          </w:p>
          <w:p w14:paraId="6DD40D3D">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lang w:val="en-US" w:eastAsia="zh-CN"/>
              </w:rPr>
              <w:t>1</w:t>
            </w:r>
            <w:r>
              <w:rPr>
                <w:rFonts w:hint="default" w:ascii="Times New Roman" w:hAnsi="Times New Roman" w:eastAsia="宋体" w:cs="Times New Roman"/>
                <w:bCs/>
                <w:color w:val="auto"/>
                <w:sz w:val="21"/>
                <w:szCs w:val="21"/>
                <w:highlight w:val="none"/>
                <w:u w:val="single" w:color="auto"/>
              </w:rPr>
              <w:t>次</w:t>
            </w:r>
          </w:p>
        </w:tc>
        <w:tc>
          <w:tcPr>
            <w:tcW w:w="1727" w:type="pct"/>
            <w:vAlign w:val="center"/>
          </w:tcPr>
          <w:p w14:paraId="131FCB39">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《大气污染物综合排放标准》（GB16297-1996）、《恶臭污染物排放标准》（GB14554-93）、</w:t>
            </w:r>
            <w:r>
              <w:rPr>
                <w:rFonts w:hint="default" w:ascii="Times New Roman" w:hAnsi="Times New Roman" w:eastAsia="宋体" w:cs="Times New Roman"/>
                <w:color w:val="auto"/>
                <w:kern w:val="2"/>
                <w:sz w:val="21"/>
                <w:szCs w:val="21"/>
                <w:highlight w:val="none"/>
                <w:u w:val="single" w:color="auto"/>
                <w:lang w:val="en-US" w:eastAsia="zh-CN" w:bidi="ar-SA"/>
              </w:rPr>
              <w:t>《合成树脂工业污染物排放标准》（GB31572-2015）、</w:t>
            </w:r>
            <w:r>
              <w:rPr>
                <w:rFonts w:hint="default" w:ascii="Times New Roman" w:hAnsi="Times New Roman" w:eastAsia="宋体" w:cs="Times New Roman"/>
                <w:bCs/>
                <w:color w:val="auto"/>
                <w:sz w:val="21"/>
                <w:szCs w:val="21"/>
                <w:highlight w:val="none"/>
                <w:u w:val="single" w:color="auto"/>
              </w:rPr>
              <w:t>《挥发性有机物无组织排放控制标准》（GB37822-2019）</w:t>
            </w:r>
          </w:p>
        </w:tc>
      </w:tr>
      <w:tr w14:paraId="560C3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Merge w:val="restart"/>
            <w:vAlign w:val="center"/>
          </w:tcPr>
          <w:p w14:paraId="016FD08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废水</w:t>
            </w:r>
          </w:p>
        </w:tc>
        <w:tc>
          <w:tcPr>
            <w:tcW w:w="838" w:type="pct"/>
            <w:vAlign w:val="center"/>
          </w:tcPr>
          <w:p w14:paraId="4107739E">
            <w:pPr>
              <w:pStyle w:val="54"/>
              <w:snapToGrid w:val="0"/>
              <w:spacing w:line="240" w:lineRule="auto"/>
              <w:rPr>
                <w:rFonts w:hint="default" w:ascii="Times New Roman" w:hAnsi="Times New Roman" w:cs="Times New Roman"/>
                <w:bCs/>
                <w:color w:val="auto"/>
                <w:sz w:val="21"/>
                <w:szCs w:val="21"/>
                <w:highlight w:val="none"/>
                <w:u w:val="single" w:color="auto"/>
              </w:rPr>
            </w:pPr>
            <w:r>
              <w:rPr>
                <w:rFonts w:hint="default" w:ascii="Times New Roman" w:hAnsi="Times New Roman" w:cs="Times New Roman"/>
                <w:bCs/>
                <w:color w:val="auto"/>
                <w:sz w:val="21"/>
                <w:szCs w:val="21"/>
                <w:highlight w:val="none"/>
                <w:u w:val="single" w:color="auto"/>
                <w:lang w:eastAsia="zh-CN"/>
              </w:rPr>
              <w:t>生活污水排放口</w:t>
            </w:r>
          </w:p>
        </w:tc>
        <w:tc>
          <w:tcPr>
            <w:tcW w:w="978" w:type="pct"/>
            <w:vAlign w:val="center"/>
          </w:tcPr>
          <w:p w14:paraId="7AC30625">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lang w:eastAsia="zh-CN"/>
              </w:rPr>
              <w:t>pH</w:t>
            </w:r>
            <w:r>
              <w:rPr>
                <w:rFonts w:hint="default" w:ascii="Times New Roman" w:hAnsi="Times New Roman" w:eastAsia="宋体" w:cs="Times New Roman"/>
                <w:bCs/>
                <w:color w:val="auto"/>
                <w:sz w:val="21"/>
                <w:szCs w:val="21"/>
                <w:highlight w:val="none"/>
                <w:u w:val="single" w:color="auto"/>
              </w:rPr>
              <w:t>、SS、COD、氨氮、总磷</w:t>
            </w:r>
            <w:r>
              <w:rPr>
                <w:rFonts w:hint="default" w:ascii="Times New Roman" w:hAnsi="Times New Roman" w:eastAsia="宋体" w:cs="Times New Roman"/>
                <w:bCs/>
                <w:color w:val="auto"/>
                <w:sz w:val="21"/>
                <w:szCs w:val="21"/>
                <w:highlight w:val="none"/>
                <w:u w:val="single" w:color="auto"/>
                <w:lang w:eastAsia="zh-CN"/>
              </w:rPr>
              <w:t>、</w:t>
            </w:r>
            <w:r>
              <w:rPr>
                <w:rFonts w:hint="default" w:ascii="Times New Roman" w:hAnsi="Times New Roman" w:eastAsia="宋体" w:cs="Times New Roman"/>
                <w:color w:val="auto"/>
                <w:sz w:val="21"/>
                <w:szCs w:val="21"/>
                <w:highlight w:val="none"/>
                <w:u w:val="single" w:color="auto"/>
              </w:rPr>
              <w:t>铜、锌、镍</w:t>
            </w:r>
          </w:p>
        </w:tc>
        <w:tc>
          <w:tcPr>
            <w:tcW w:w="1039" w:type="pct"/>
            <w:vAlign w:val="center"/>
          </w:tcPr>
          <w:p w14:paraId="62D409C9">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lang w:eastAsia="zh-CN"/>
              </w:rPr>
              <w:t>半年</w:t>
            </w:r>
            <w:r>
              <w:rPr>
                <w:rFonts w:hint="default" w:ascii="Times New Roman" w:hAnsi="Times New Roman" w:eastAsia="宋体" w:cs="Times New Roman"/>
                <w:bCs/>
                <w:color w:val="auto"/>
                <w:sz w:val="21"/>
                <w:szCs w:val="21"/>
                <w:highlight w:val="none"/>
                <w:u w:val="single" w:color="auto"/>
                <w:lang w:val="en-US" w:eastAsia="zh-CN"/>
              </w:rPr>
              <w:t>1</w:t>
            </w:r>
            <w:r>
              <w:rPr>
                <w:rFonts w:hint="default" w:ascii="Times New Roman" w:hAnsi="Times New Roman" w:eastAsia="宋体" w:cs="Times New Roman"/>
                <w:bCs/>
                <w:color w:val="auto"/>
                <w:sz w:val="21"/>
                <w:szCs w:val="21"/>
                <w:highlight w:val="none"/>
                <w:u w:val="single" w:color="auto"/>
                <w:lang w:eastAsia="zh-CN"/>
              </w:rPr>
              <w:t>次</w:t>
            </w:r>
          </w:p>
        </w:tc>
        <w:tc>
          <w:tcPr>
            <w:tcW w:w="1727" w:type="pct"/>
            <w:vAlign w:val="center"/>
          </w:tcPr>
          <w:p w14:paraId="20DCADE6">
            <w:pPr>
              <w:snapToGrid w:val="0"/>
              <w:spacing w:line="240" w:lineRule="auto"/>
              <w:jc w:val="center"/>
              <w:rPr>
                <w:rFonts w:hint="default" w:ascii="Times New Roman" w:hAnsi="Times New Roman" w:eastAsia="宋体" w:cs="Times New Roman"/>
                <w:bCs/>
                <w:color w:val="auto"/>
                <w:sz w:val="21"/>
                <w:szCs w:val="21"/>
                <w:highlight w:val="none"/>
                <w:u w:val="single" w:color="auto"/>
                <w:lang w:val="en-US" w:eastAsia="zh-CN"/>
              </w:rPr>
            </w:pPr>
            <w:r>
              <w:rPr>
                <w:rFonts w:hint="default" w:ascii="Times New Roman" w:hAnsi="Times New Roman" w:eastAsia="宋体" w:cs="Times New Roman"/>
                <w:bCs/>
                <w:color w:val="auto"/>
                <w:sz w:val="21"/>
                <w:szCs w:val="21"/>
                <w:highlight w:val="none"/>
                <w:u w:val="single" w:color="auto"/>
                <w:lang w:bidi="en-US"/>
              </w:rPr>
              <w:t>《污水综合排放标准》（GB8978-1996）表4 三级标准、《污水排入城镇下水道水质标准》（GB/T31962-2015）B等级标准，同时满足</w:t>
            </w:r>
            <w:r>
              <w:rPr>
                <w:rFonts w:hint="default" w:ascii="Times New Roman" w:hAnsi="Times New Roman" w:eastAsia="宋体" w:cs="Times New Roman"/>
                <w:bCs/>
                <w:color w:val="auto"/>
                <w:sz w:val="21"/>
                <w:szCs w:val="21"/>
                <w:highlight w:val="none"/>
                <w:u w:val="single" w:color="auto"/>
                <w:lang w:eastAsia="zh-CN" w:bidi="en-US"/>
              </w:rPr>
              <w:t>松木经开区</w:t>
            </w:r>
            <w:r>
              <w:rPr>
                <w:rFonts w:hint="default" w:ascii="Times New Roman" w:hAnsi="Times New Roman" w:eastAsia="宋体" w:cs="Times New Roman"/>
                <w:bCs/>
                <w:color w:val="auto"/>
                <w:sz w:val="21"/>
                <w:szCs w:val="21"/>
                <w:highlight w:val="none"/>
                <w:u w:val="single" w:color="auto"/>
                <w:lang w:bidi="en-US"/>
              </w:rPr>
              <w:t>污水处理进水水质要求</w:t>
            </w:r>
            <w:r>
              <w:rPr>
                <w:rFonts w:hint="default" w:ascii="Times New Roman" w:hAnsi="Times New Roman" w:eastAsia="宋体" w:cs="Times New Roman"/>
                <w:bCs/>
                <w:color w:val="auto"/>
                <w:sz w:val="21"/>
                <w:szCs w:val="21"/>
                <w:highlight w:val="none"/>
                <w:u w:val="single" w:color="auto"/>
                <w:lang w:eastAsia="zh-CN" w:bidi="en-US"/>
              </w:rPr>
              <w:t>；重金属不得检出</w:t>
            </w:r>
            <w:r>
              <w:rPr>
                <w:rFonts w:hint="eastAsia" w:ascii="Times New Roman" w:hAnsi="Times New Roman" w:eastAsia="宋体" w:cs="Times New Roman"/>
                <w:bCs/>
                <w:color w:val="auto"/>
                <w:sz w:val="21"/>
                <w:szCs w:val="21"/>
                <w:highlight w:val="none"/>
                <w:u w:val="single" w:color="auto"/>
                <w:lang w:eastAsia="zh-CN" w:bidi="en-US"/>
              </w:rPr>
              <w:t>，同时设置</w:t>
            </w:r>
            <w:r>
              <w:rPr>
                <w:rFonts w:hint="eastAsia" w:ascii="Times New Roman" w:hAnsi="Times New Roman" w:eastAsia="宋体" w:cs="Times New Roman"/>
                <w:bCs/>
                <w:color w:val="auto"/>
                <w:sz w:val="21"/>
                <w:szCs w:val="21"/>
                <w:highlight w:val="none"/>
                <w:u w:val="single" w:color="auto"/>
                <w:lang w:val="en-US" w:eastAsia="zh-CN" w:bidi="en-US"/>
              </w:rPr>
              <w:t>Ni在线监测装置，并与生态环境部门联网</w:t>
            </w:r>
          </w:p>
        </w:tc>
      </w:tr>
      <w:tr w14:paraId="2BCCD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Merge w:val="continue"/>
            <w:vAlign w:val="center"/>
          </w:tcPr>
          <w:p w14:paraId="7106EAD6">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838" w:type="pct"/>
            <w:vAlign w:val="center"/>
          </w:tcPr>
          <w:p w14:paraId="3010DF92">
            <w:pPr>
              <w:pStyle w:val="54"/>
              <w:snapToGrid w:val="0"/>
              <w:spacing w:line="240" w:lineRule="auto"/>
              <w:rPr>
                <w:rFonts w:hint="default" w:ascii="Times New Roman" w:hAnsi="Times New Roman" w:cs="Times New Roman"/>
                <w:bCs/>
                <w:color w:val="auto"/>
                <w:sz w:val="21"/>
                <w:szCs w:val="21"/>
                <w:highlight w:val="none"/>
                <w:u w:val="single" w:color="auto"/>
                <w:lang w:val="en-US" w:eastAsia="zh-CN"/>
              </w:rPr>
            </w:pPr>
            <w:r>
              <w:rPr>
                <w:rFonts w:hint="eastAsia" w:cs="Times New Roman"/>
                <w:bCs/>
                <w:color w:val="auto"/>
                <w:sz w:val="21"/>
                <w:szCs w:val="21"/>
                <w:highlight w:val="none"/>
                <w:u w:val="single" w:color="auto"/>
                <w:lang w:val="en-US" w:eastAsia="zh-CN"/>
              </w:rPr>
              <w:t>沉淀池排放口</w:t>
            </w:r>
          </w:p>
        </w:tc>
        <w:tc>
          <w:tcPr>
            <w:tcW w:w="978" w:type="pct"/>
            <w:vAlign w:val="center"/>
          </w:tcPr>
          <w:p w14:paraId="570A0B1E">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rPr>
              <w:t>SS、COD</w:t>
            </w:r>
            <w:r>
              <w:rPr>
                <w:rFonts w:hint="default" w:ascii="Times New Roman" w:hAnsi="Times New Roman" w:eastAsia="宋体" w:cs="Times New Roman"/>
                <w:color w:val="auto"/>
                <w:sz w:val="21"/>
                <w:szCs w:val="21"/>
                <w:highlight w:val="none"/>
                <w:u w:val="single" w:color="auto"/>
              </w:rPr>
              <w:t>、铜、锌、镍</w:t>
            </w:r>
          </w:p>
        </w:tc>
        <w:tc>
          <w:tcPr>
            <w:tcW w:w="1039" w:type="pct"/>
            <w:vAlign w:val="center"/>
          </w:tcPr>
          <w:p w14:paraId="679FEFB7">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lang w:eastAsia="zh-CN"/>
              </w:rPr>
              <w:t>半年</w:t>
            </w:r>
            <w:r>
              <w:rPr>
                <w:rFonts w:hint="default" w:ascii="Times New Roman" w:hAnsi="Times New Roman" w:eastAsia="宋体" w:cs="Times New Roman"/>
                <w:bCs/>
                <w:color w:val="auto"/>
                <w:sz w:val="21"/>
                <w:szCs w:val="21"/>
                <w:highlight w:val="none"/>
                <w:u w:val="single" w:color="auto"/>
                <w:lang w:val="en-US" w:eastAsia="zh-CN"/>
              </w:rPr>
              <w:t>1</w:t>
            </w:r>
            <w:r>
              <w:rPr>
                <w:rFonts w:hint="default" w:ascii="Times New Roman" w:hAnsi="Times New Roman" w:eastAsia="宋体" w:cs="Times New Roman"/>
                <w:bCs/>
                <w:color w:val="auto"/>
                <w:sz w:val="21"/>
                <w:szCs w:val="21"/>
                <w:highlight w:val="none"/>
                <w:u w:val="single" w:color="auto"/>
                <w:lang w:eastAsia="zh-CN"/>
              </w:rPr>
              <w:t>次</w:t>
            </w:r>
          </w:p>
        </w:tc>
        <w:tc>
          <w:tcPr>
            <w:tcW w:w="1727" w:type="pct"/>
            <w:vAlign w:val="center"/>
          </w:tcPr>
          <w:p w14:paraId="7FD7D4D5">
            <w:pPr>
              <w:snapToGrid w:val="0"/>
              <w:spacing w:line="240" w:lineRule="auto"/>
              <w:jc w:val="center"/>
              <w:rPr>
                <w:rFonts w:hint="default" w:ascii="Times New Roman" w:hAnsi="Times New Roman" w:eastAsia="宋体" w:cs="Times New Roman"/>
                <w:bCs/>
                <w:color w:val="auto"/>
                <w:sz w:val="21"/>
                <w:szCs w:val="21"/>
                <w:highlight w:val="none"/>
                <w:u w:val="single" w:color="auto"/>
                <w:lang w:bidi="en-US"/>
              </w:rPr>
            </w:pPr>
            <w:r>
              <w:rPr>
                <w:rFonts w:hint="default" w:ascii="Times New Roman" w:hAnsi="Times New Roman" w:eastAsia="宋体" w:cs="Times New Roman"/>
                <w:bCs/>
                <w:color w:val="auto"/>
                <w:sz w:val="21"/>
                <w:szCs w:val="21"/>
                <w:highlight w:val="none"/>
                <w:u w:val="single" w:color="auto"/>
                <w:lang w:bidi="en-US"/>
              </w:rPr>
              <w:t>《污水综合排放标准》（GB8978-1996）表4 三级标准、《污水排入城镇下水道水质标准》（GB/T31962-2015）B等级标准，同时满足</w:t>
            </w:r>
            <w:r>
              <w:rPr>
                <w:rFonts w:hint="default" w:ascii="Times New Roman" w:hAnsi="Times New Roman" w:eastAsia="宋体" w:cs="Times New Roman"/>
                <w:bCs/>
                <w:color w:val="auto"/>
                <w:sz w:val="21"/>
                <w:szCs w:val="21"/>
                <w:highlight w:val="none"/>
                <w:u w:val="single" w:color="auto"/>
                <w:lang w:eastAsia="zh-CN" w:bidi="en-US"/>
              </w:rPr>
              <w:t>松木经开区</w:t>
            </w:r>
            <w:r>
              <w:rPr>
                <w:rFonts w:hint="default" w:ascii="Times New Roman" w:hAnsi="Times New Roman" w:eastAsia="宋体" w:cs="Times New Roman"/>
                <w:bCs/>
                <w:color w:val="auto"/>
                <w:sz w:val="21"/>
                <w:szCs w:val="21"/>
                <w:highlight w:val="none"/>
                <w:u w:val="single" w:color="auto"/>
                <w:lang w:bidi="en-US"/>
              </w:rPr>
              <w:t>污水处理进水水质要求</w:t>
            </w:r>
            <w:r>
              <w:rPr>
                <w:rFonts w:hint="default" w:ascii="Times New Roman" w:hAnsi="Times New Roman" w:eastAsia="宋体" w:cs="Times New Roman"/>
                <w:bCs/>
                <w:color w:val="auto"/>
                <w:sz w:val="21"/>
                <w:szCs w:val="21"/>
                <w:highlight w:val="none"/>
                <w:u w:val="single" w:color="auto"/>
                <w:lang w:eastAsia="zh-CN" w:bidi="en-US"/>
              </w:rPr>
              <w:t>；重金属不得检出</w:t>
            </w:r>
            <w:r>
              <w:rPr>
                <w:rFonts w:hint="eastAsia" w:ascii="Times New Roman" w:hAnsi="Times New Roman" w:eastAsia="宋体" w:cs="Times New Roman"/>
                <w:bCs/>
                <w:color w:val="auto"/>
                <w:sz w:val="21"/>
                <w:szCs w:val="21"/>
                <w:highlight w:val="none"/>
                <w:u w:val="single" w:color="auto"/>
                <w:lang w:eastAsia="zh-CN" w:bidi="en-US"/>
              </w:rPr>
              <w:t>，同时设置</w:t>
            </w:r>
            <w:r>
              <w:rPr>
                <w:rFonts w:hint="eastAsia" w:ascii="Times New Roman" w:hAnsi="Times New Roman" w:eastAsia="宋体" w:cs="Times New Roman"/>
                <w:bCs/>
                <w:color w:val="auto"/>
                <w:sz w:val="21"/>
                <w:szCs w:val="21"/>
                <w:highlight w:val="none"/>
                <w:u w:val="single" w:color="auto"/>
                <w:lang w:val="en-US" w:eastAsia="zh-CN" w:bidi="en-US"/>
              </w:rPr>
              <w:t>Ni在线监测装置，并与生态环境部门联网</w:t>
            </w:r>
          </w:p>
        </w:tc>
      </w:tr>
      <w:tr w14:paraId="50ECA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Merge w:val="continue"/>
            <w:vAlign w:val="center"/>
          </w:tcPr>
          <w:p w14:paraId="1554C381">
            <w:pPr>
              <w:snapToGrid w:val="0"/>
              <w:spacing w:line="240" w:lineRule="auto"/>
              <w:jc w:val="center"/>
              <w:rPr>
                <w:rFonts w:hint="default" w:ascii="Times New Roman" w:hAnsi="Times New Roman" w:eastAsia="宋体" w:cs="Times New Roman"/>
                <w:bCs/>
                <w:color w:val="auto"/>
                <w:sz w:val="21"/>
                <w:szCs w:val="21"/>
                <w:highlight w:val="none"/>
                <w:u w:val="single" w:color="auto"/>
              </w:rPr>
            </w:pPr>
          </w:p>
        </w:tc>
        <w:tc>
          <w:tcPr>
            <w:tcW w:w="838" w:type="pct"/>
            <w:vAlign w:val="center"/>
          </w:tcPr>
          <w:p w14:paraId="243BCB71">
            <w:pPr>
              <w:pStyle w:val="54"/>
              <w:snapToGrid w:val="0"/>
              <w:spacing w:line="240" w:lineRule="auto"/>
              <w:rPr>
                <w:rFonts w:hint="default" w:ascii="Times New Roman" w:hAnsi="Times New Roman" w:cs="Times New Roman"/>
                <w:bCs/>
                <w:color w:val="auto"/>
                <w:sz w:val="21"/>
                <w:szCs w:val="21"/>
                <w:highlight w:val="none"/>
                <w:u w:val="single" w:color="auto"/>
                <w:lang w:eastAsia="zh-CN"/>
              </w:rPr>
            </w:pPr>
            <w:r>
              <w:rPr>
                <w:rFonts w:hint="default" w:ascii="Times New Roman" w:hAnsi="Times New Roman" w:cs="Times New Roman"/>
                <w:bCs/>
                <w:color w:val="auto"/>
                <w:sz w:val="21"/>
                <w:szCs w:val="21"/>
                <w:highlight w:val="none"/>
                <w:u w:val="single" w:color="auto"/>
                <w:lang w:eastAsia="zh-CN"/>
              </w:rPr>
              <w:t>雨水排放口</w:t>
            </w:r>
          </w:p>
        </w:tc>
        <w:tc>
          <w:tcPr>
            <w:tcW w:w="978" w:type="pct"/>
            <w:vAlign w:val="center"/>
          </w:tcPr>
          <w:p w14:paraId="21AE481F">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pH</w:t>
            </w:r>
            <w:r>
              <w:rPr>
                <w:rFonts w:hint="default" w:ascii="Times New Roman" w:hAnsi="Times New Roman" w:eastAsia="宋体" w:cs="Times New Roman"/>
                <w:color w:val="auto"/>
                <w:sz w:val="21"/>
                <w:szCs w:val="21"/>
                <w:highlight w:val="none"/>
                <w:u w:val="single" w:color="auto"/>
              </w:rPr>
              <w:t>值、</w:t>
            </w:r>
            <w:r>
              <w:rPr>
                <w:rFonts w:hint="default" w:ascii="Times New Roman" w:hAnsi="Times New Roman" w:eastAsia="宋体" w:cs="Times New Roman"/>
                <w:color w:val="auto"/>
                <w:sz w:val="21"/>
                <w:szCs w:val="21"/>
                <w:highlight w:val="none"/>
                <w:u w:val="single" w:color="auto"/>
                <w:lang w:val="en-US" w:eastAsia="zh-CN"/>
              </w:rPr>
              <w:t>COD、SS、</w:t>
            </w:r>
            <w:r>
              <w:rPr>
                <w:rFonts w:hint="default" w:ascii="Times New Roman" w:hAnsi="Times New Roman" w:eastAsia="宋体" w:cs="Times New Roman"/>
                <w:color w:val="auto"/>
                <w:sz w:val="21"/>
                <w:szCs w:val="21"/>
                <w:highlight w:val="none"/>
                <w:u w:val="single" w:color="auto"/>
              </w:rPr>
              <w:t>铜、锌、镍</w:t>
            </w:r>
          </w:p>
        </w:tc>
        <w:tc>
          <w:tcPr>
            <w:tcW w:w="1039" w:type="pct"/>
            <w:vAlign w:val="center"/>
          </w:tcPr>
          <w:p w14:paraId="515CFD43">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 w:val="0"/>
                <w:bCs w:val="0"/>
                <w:color w:val="auto"/>
                <w:sz w:val="21"/>
                <w:szCs w:val="21"/>
                <w:lang w:val="en-US" w:eastAsia="zh-CN"/>
              </w:rPr>
              <w:t>有流动水排放时开展监测，排放期间按日监测，如监测一年无异常情况，每季度第一次有流水排放时开展按日监测</w:t>
            </w:r>
          </w:p>
        </w:tc>
        <w:tc>
          <w:tcPr>
            <w:tcW w:w="1727" w:type="pct"/>
            <w:vAlign w:val="center"/>
          </w:tcPr>
          <w:p w14:paraId="199DE014">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bidi="en-US"/>
              </w:rPr>
            </w:pPr>
            <w:r>
              <w:rPr>
                <w:rFonts w:hint="default" w:ascii="Times New Roman" w:hAnsi="Times New Roman" w:eastAsia="宋体" w:cs="Times New Roman"/>
                <w:bCs/>
                <w:color w:val="auto"/>
                <w:sz w:val="21"/>
                <w:szCs w:val="21"/>
                <w:highlight w:val="none"/>
                <w:u w:val="single" w:color="auto"/>
                <w:lang w:eastAsia="zh-CN" w:bidi="en-US"/>
              </w:rPr>
              <w:t>重金属不得检出</w:t>
            </w:r>
            <w:r>
              <w:rPr>
                <w:rFonts w:hint="eastAsia" w:ascii="Times New Roman" w:hAnsi="Times New Roman" w:eastAsia="宋体" w:cs="Times New Roman"/>
                <w:bCs/>
                <w:color w:val="auto"/>
                <w:sz w:val="21"/>
                <w:szCs w:val="21"/>
                <w:highlight w:val="none"/>
                <w:u w:val="single" w:color="auto"/>
                <w:lang w:eastAsia="zh-CN" w:bidi="en-US"/>
              </w:rPr>
              <w:t>，同时设置</w:t>
            </w:r>
            <w:r>
              <w:rPr>
                <w:rFonts w:hint="eastAsia" w:ascii="Times New Roman" w:hAnsi="Times New Roman" w:eastAsia="宋体" w:cs="Times New Roman"/>
                <w:bCs/>
                <w:color w:val="auto"/>
                <w:sz w:val="21"/>
                <w:szCs w:val="21"/>
                <w:highlight w:val="none"/>
                <w:u w:val="single" w:color="auto"/>
                <w:lang w:val="en-US" w:eastAsia="zh-CN" w:bidi="en-US"/>
              </w:rPr>
              <w:t>Ni在线监测装置，并与生态环境部门联网</w:t>
            </w:r>
          </w:p>
        </w:tc>
      </w:tr>
      <w:tr w14:paraId="0C0D1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vAlign w:val="center"/>
          </w:tcPr>
          <w:p w14:paraId="2DE0DDEF">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噪声</w:t>
            </w:r>
          </w:p>
        </w:tc>
        <w:tc>
          <w:tcPr>
            <w:tcW w:w="838" w:type="pct"/>
            <w:vAlign w:val="center"/>
          </w:tcPr>
          <w:p w14:paraId="3E8CD5F7">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东、南、西、北厂界</w:t>
            </w:r>
          </w:p>
        </w:tc>
        <w:tc>
          <w:tcPr>
            <w:tcW w:w="978" w:type="pct"/>
            <w:vAlign w:val="center"/>
          </w:tcPr>
          <w:p w14:paraId="6DA72F40">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等效连续A声级</w:t>
            </w:r>
          </w:p>
        </w:tc>
        <w:tc>
          <w:tcPr>
            <w:tcW w:w="1039" w:type="pct"/>
            <w:vAlign w:val="center"/>
          </w:tcPr>
          <w:p w14:paraId="713281F8">
            <w:pPr>
              <w:snapToGrid w:val="0"/>
              <w:spacing w:line="240" w:lineRule="auto"/>
              <w:jc w:val="center"/>
              <w:rPr>
                <w:rFonts w:hint="default" w:ascii="Times New Roman" w:hAnsi="Times New Roman" w:eastAsia="宋体" w:cs="Times New Roman"/>
                <w:bCs/>
                <w:color w:val="auto"/>
                <w:sz w:val="21"/>
                <w:szCs w:val="21"/>
                <w:highlight w:val="none"/>
                <w:u w:val="single" w:color="auto"/>
                <w:lang w:eastAsia="zh-CN"/>
              </w:rPr>
            </w:pPr>
            <w:r>
              <w:rPr>
                <w:rFonts w:hint="default" w:ascii="Times New Roman" w:hAnsi="Times New Roman" w:eastAsia="宋体" w:cs="Times New Roman"/>
                <w:bCs/>
                <w:color w:val="auto"/>
                <w:sz w:val="21"/>
                <w:szCs w:val="21"/>
                <w:highlight w:val="none"/>
                <w:u w:val="single" w:color="auto"/>
              </w:rPr>
              <w:t>每</w:t>
            </w:r>
            <w:r>
              <w:rPr>
                <w:rFonts w:hint="default" w:ascii="Times New Roman" w:hAnsi="Times New Roman" w:eastAsia="宋体" w:cs="Times New Roman"/>
                <w:bCs/>
                <w:color w:val="auto"/>
                <w:sz w:val="21"/>
                <w:szCs w:val="21"/>
                <w:highlight w:val="none"/>
                <w:u w:val="single" w:color="auto"/>
                <w:lang w:eastAsia="zh-CN"/>
              </w:rPr>
              <w:t>季度</w:t>
            </w:r>
          </w:p>
          <w:p w14:paraId="141C7CE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1次</w:t>
            </w:r>
          </w:p>
        </w:tc>
        <w:tc>
          <w:tcPr>
            <w:tcW w:w="1727" w:type="pct"/>
            <w:vAlign w:val="center"/>
          </w:tcPr>
          <w:p w14:paraId="3E69BC4C">
            <w:pPr>
              <w:snapToGrid w:val="0"/>
              <w:spacing w:line="240" w:lineRule="auto"/>
              <w:jc w:val="center"/>
              <w:rPr>
                <w:rFonts w:hint="default" w:ascii="Times New Roman" w:hAnsi="Times New Roman" w:eastAsia="宋体" w:cs="Times New Roman"/>
                <w:bCs/>
                <w:color w:val="auto"/>
                <w:sz w:val="21"/>
                <w:szCs w:val="21"/>
                <w:highlight w:val="none"/>
                <w:u w:val="single" w:color="auto"/>
              </w:rPr>
            </w:pPr>
            <w:r>
              <w:rPr>
                <w:rFonts w:hint="default" w:ascii="Times New Roman" w:hAnsi="Times New Roman" w:eastAsia="宋体" w:cs="Times New Roman"/>
                <w:bCs/>
                <w:color w:val="auto"/>
                <w:sz w:val="21"/>
                <w:szCs w:val="21"/>
                <w:highlight w:val="none"/>
                <w:u w:val="single" w:color="auto"/>
              </w:rPr>
              <w:t>《工业企业厂界环境噪声排放标准》（GB12348-2008）中的3类标准</w:t>
            </w:r>
          </w:p>
        </w:tc>
      </w:tr>
    </w:tbl>
    <w:p w14:paraId="516DFA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none" w:color="auto"/>
        </w:rPr>
      </w:pPr>
      <w:r>
        <w:rPr>
          <w:rFonts w:hint="default" w:ascii="Times New Roman" w:hAnsi="Times New Roman" w:eastAsia="宋体" w:cs="Times New Roman"/>
          <w:color w:val="auto"/>
          <w:sz w:val="24"/>
          <w:szCs w:val="21"/>
          <w:highlight w:val="none"/>
          <w:u w:val="none" w:color="auto"/>
        </w:rPr>
        <w:t>（2）周边环境质量影响监测</w:t>
      </w:r>
    </w:p>
    <w:p w14:paraId="469D1E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1"/>
          <w:highlight w:val="none"/>
          <w:u w:val="single" w:color="auto"/>
        </w:rPr>
      </w:pPr>
      <w:r>
        <w:rPr>
          <w:rFonts w:hint="default" w:ascii="Times New Roman" w:hAnsi="Times New Roman" w:eastAsia="宋体" w:cs="Times New Roman"/>
          <w:color w:val="auto"/>
          <w:sz w:val="24"/>
          <w:szCs w:val="21"/>
          <w:highlight w:val="none"/>
          <w:u w:val="single" w:color="auto"/>
        </w:rPr>
        <w:t>项目周边环境质量影响监测详见下表。</w:t>
      </w:r>
    </w:p>
    <w:p w14:paraId="3E5C93C5">
      <w:pPr>
        <w:jc w:val="center"/>
        <w:rPr>
          <w:rFonts w:hint="default" w:ascii="Times New Roman" w:hAnsi="Times New Roman" w:eastAsia="宋体" w:cs="Times New Roman"/>
          <w:b/>
          <w:color w:val="auto"/>
          <w:sz w:val="21"/>
          <w:szCs w:val="18"/>
          <w:highlight w:val="none"/>
          <w:u w:val="single" w:color="auto"/>
          <w:lang w:val="zh-CN"/>
        </w:rPr>
      </w:pPr>
      <w:r>
        <w:rPr>
          <w:rFonts w:hint="default" w:ascii="Times New Roman" w:hAnsi="Times New Roman" w:eastAsia="宋体" w:cs="Times New Roman"/>
          <w:b/>
          <w:color w:val="auto"/>
          <w:sz w:val="21"/>
          <w:szCs w:val="18"/>
          <w:highlight w:val="none"/>
          <w:u w:val="single" w:color="auto"/>
          <w:lang w:val="zh-CN"/>
        </w:rPr>
        <w:t>表1</w:t>
      </w:r>
      <w:r>
        <w:rPr>
          <w:rFonts w:hint="default" w:ascii="Times New Roman" w:hAnsi="Times New Roman" w:eastAsia="宋体" w:cs="Times New Roman"/>
          <w:b/>
          <w:color w:val="auto"/>
          <w:sz w:val="21"/>
          <w:szCs w:val="18"/>
          <w:highlight w:val="none"/>
          <w:u w:val="single" w:color="auto"/>
          <w:lang w:val="en-US" w:eastAsia="zh-CN"/>
        </w:rPr>
        <w:t>2</w:t>
      </w:r>
      <w:r>
        <w:rPr>
          <w:rFonts w:hint="default" w:ascii="Times New Roman" w:hAnsi="Times New Roman" w:eastAsia="宋体" w:cs="Times New Roman"/>
          <w:b/>
          <w:color w:val="auto"/>
          <w:sz w:val="21"/>
          <w:szCs w:val="18"/>
          <w:highlight w:val="none"/>
          <w:u w:val="single" w:color="auto"/>
          <w:lang w:val="zh-CN"/>
        </w:rPr>
        <w:t>.3</w:t>
      </w:r>
      <w:r>
        <w:rPr>
          <w:rFonts w:hint="default" w:ascii="Times New Roman" w:hAnsi="Times New Roman" w:eastAsia="宋体" w:cs="Times New Roman"/>
          <w:b/>
          <w:color w:val="auto"/>
          <w:sz w:val="21"/>
          <w:szCs w:val="18"/>
          <w:highlight w:val="none"/>
          <w:u w:val="single" w:color="auto"/>
          <w:lang w:val="en-US" w:eastAsia="zh-CN"/>
        </w:rPr>
        <w:t>-3</w:t>
      </w:r>
      <w:r>
        <w:rPr>
          <w:rFonts w:hint="default" w:ascii="Times New Roman" w:hAnsi="Times New Roman" w:eastAsia="宋体" w:cs="Times New Roman"/>
          <w:b/>
          <w:color w:val="auto"/>
          <w:sz w:val="21"/>
          <w:szCs w:val="18"/>
          <w:highlight w:val="none"/>
          <w:u w:val="single" w:color="auto"/>
          <w:lang w:val="zh-CN"/>
        </w:rPr>
        <w:t>项目周边环境质量影响监测</w:t>
      </w:r>
    </w:p>
    <w:tbl>
      <w:tblPr>
        <w:tblStyle w:val="22"/>
        <w:tblW w:w="5425" w:type="pct"/>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91"/>
        <w:gridCol w:w="2413"/>
        <w:gridCol w:w="1984"/>
        <w:gridCol w:w="706"/>
        <w:gridCol w:w="710"/>
        <w:gridCol w:w="993"/>
        <w:gridCol w:w="1276"/>
      </w:tblGrid>
      <w:tr w14:paraId="43B00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546" w:type="pct"/>
            <w:vAlign w:val="center"/>
          </w:tcPr>
          <w:p w14:paraId="0BEB5DDC">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环境</w:t>
            </w:r>
          </w:p>
          <w:p w14:paraId="64EFC015">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要素</w:t>
            </w:r>
          </w:p>
        </w:tc>
        <w:tc>
          <w:tcPr>
            <w:tcW w:w="1329" w:type="pct"/>
            <w:vAlign w:val="center"/>
          </w:tcPr>
          <w:p w14:paraId="135F68D9">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监测点位</w:t>
            </w:r>
          </w:p>
        </w:tc>
        <w:tc>
          <w:tcPr>
            <w:tcW w:w="1093" w:type="pct"/>
            <w:vAlign w:val="center"/>
          </w:tcPr>
          <w:p w14:paraId="0156B54F">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监测项目</w:t>
            </w:r>
          </w:p>
        </w:tc>
        <w:tc>
          <w:tcPr>
            <w:tcW w:w="389" w:type="pct"/>
            <w:vAlign w:val="center"/>
          </w:tcPr>
          <w:p w14:paraId="3AEC3D20">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监测</w:t>
            </w:r>
          </w:p>
          <w:p w14:paraId="0F270DA5">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频率</w:t>
            </w:r>
          </w:p>
        </w:tc>
        <w:tc>
          <w:tcPr>
            <w:tcW w:w="391" w:type="pct"/>
            <w:vAlign w:val="center"/>
          </w:tcPr>
          <w:p w14:paraId="633F70C9">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监测</w:t>
            </w:r>
          </w:p>
          <w:p w14:paraId="2FFAD9D6">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结构</w:t>
            </w:r>
          </w:p>
        </w:tc>
        <w:tc>
          <w:tcPr>
            <w:tcW w:w="547" w:type="pct"/>
            <w:vAlign w:val="center"/>
          </w:tcPr>
          <w:p w14:paraId="70FA0CA5">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负责</w:t>
            </w:r>
          </w:p>
          <w:p w14:paraId="6BBFB5BB">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机构</w:t>
            </w:r>
          </w:p>
        </w:tc>
        <w:tc>
          <w:tcPr>
            <w:tcW w:w="703" w:type="pct"/>
            <w:vAlign w:val="center"/>
          </w:tcPr>
          <w:p w14:paraId="303E1E07">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监督</w:t>
            </w:r>
          </w:p>
          <w:p w14:paraId="37B6993F">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机构</w:t>
            </w:r>
          </w:p>
        </w:tc>
      </w:tr>
      <w:tr w14:paraId="72828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546" w:type="pct"/>
            <w:vMerge w:val="restart"/>
            <w:vAlign w:val="center"/>
          </w:tcPr>
          <w:p w14:paraId="09858D84">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土壤</w:t>
            </w:r>
          </w:p>
          <w:p w14:paraId="1313448C">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环境</w:t>
            </w:r>
          </w:p>
        </w:tc>
        <w:tc>
          <w:tcPr>
            <w:tcW w:w="1329" w:type="pct"/>
            <w:vAlign w:val="center"/>
          </w:tcPr>
          <w:p w14:paraId="626FFEC7">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T1：</w:t>
            </w:r>
            <w:r>
              <w:rPr>
                <w:rFonts w:hint="default" w:ascii="Times New Roman" w:hAnsi="Times New Roman" w:eastAsia="宋体" w:cs="Times New Roman"/>
                <w:color w:val="auto"/>
                <w:kern w:val="0"/>
                <w:sz w:val="21"/>
                <w:szCs w:val="21"/>
                <w:highlight w:val="none"/>
                <w:u w:val="single" w:color="auto"/>
              </w:rPr>
              <w:t>项目用地北侧土壤</w:t>
            </w:r>
          </w:p>
        </w:tc>
        <w:tc>
          <w:tcPr>
            <w:tcW w:w="1093" w:type="pct"/>
            <w:vMerge w:val="restart"/>
            <w:vAlign w:val="center"/>
          </w:tcPr>
          <w:p w14:paraId="7CD5FA3C">
            <w:pPr>
              <w:spacing w:line="240" w:lineRule="auto"/>
              <w:jc w:val="center"/>
              <w:rPr>
                <w:rFonts w:hint="default" w:ascii="Times New Roman" w:hAnsi="Times New Roman" w:eastAsia="宋体" w:cs="Times New Roman"/>
                <w:color w:val="auto"/>
                <w:sz w:val="21"/>
                <w:szCs w:val="24"/>
                <w:highlight w:val="none"/>
                <w:u w:val="single" w:color="auto"/>
              </w:rPr>
            </w:pPr>
            <w:bookmarkStart w:id="147" w:name="OLE_LINK5"/>
            <w:bookmarkStart w:id="148" w:name="OLE_LINK4"/>
            <w:r>
              <w:rPr>
                <w:rFonts w:hint="default" w:ascii="Times New Roman" w:hAnsi="Times New Roman" w:eastAsia="宋体" w:cs="Times New Roman"/>
                <w:color w:val="auto"/>
                <w:sz w:val="21"/>
                <w:szCs w:val="21"/>
                <w:highlight w:val="none"/>
                <w:u w:val="single" w:color="auto"/>
                <w:lang w:eastAsia="zh-CN"/>
              </w:rPr>
              <w:t>pH</w:t>
            </w:r>
            <w:r>
              <w:rPr>
                <w:rFonts w:hint="default" w:ascii="Times New Roman" w:hAnsi="Times New Roman" w:eastAsia="宋体" w:cs="Times New Roman"/>
                <w:color w:val="auto"/>
                <w:sz w:val="21"/>
                <w:szCs w:val="21"/>
                <w:highlight w:val="none"/>
                <w:u w:val="single" w:color="auto"/>
              </w:rPr>
              <w:t>值、铜、铅、锌、镉、六价铬、砷、汞、镍</w:t>
            </w:r>
            <w:bookmarkEnd w:id="147"/>
            <w:bookmarkEnd w:id="148"/>
          </w:p>
        </w:tc>
        <w:tc>
          <w:tcPr>
            <w:tcW w:w="389" w:type="pct"/>
            <w:vMerge w:val="restart"/>
            <w:vAlign w:val="center"/>
          </w:tcPr>
          <w:p w14:paraId="3516AB9C">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五年</w:t>
            </w:r>
          </w:p>
          <w:p w14:paraId="56DFC7E9">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一次</w:t>
            </w:r>
          </w:p>
        </w:tc>
        <w:tc>
          <w:tcPr>
            <w:tcW w:w="391" w:type="pct"/>
            <w:vMerge w:val="restart"/>
            <w:vAlign w:val="center"/>
          </w:tcPr>
          <w:p w14:paraId="0BFD04D8">
            <w:pPr>
              <w:spacing w:line="240" w:lineRule="auto"/>
              <w:jc w:val="center"/>
              <w:rPr>
                <w:rFonts w:hint="default" w:ascii="Times New Roman" w:hAnsi="Times New Roman" w:eastAsia="宋体" w:cs="Times New Roman"/>
                <w:color w:val="auto"/>
                <w:sz w:val="21"/>
                <w:szCs w:val="21"/>
                <w:highlight w:val="none"/>
                <w:u w:val="single" w:color="auto"/>
              </w:rPr>
            </w:pPr>
          </w:p>
        </w:tc>
        <w:tc>
          <w:tcPr>
            <w:tcW w:w="547" w:type="pct"/>
            <w:vMerge w:val="restart"/>
            <w:vAlign w:val="center"/>
          </w:tcPr>
          <w:p w14:paraId="239EADE3">
            <w:pPr>
              <w:spacing w:line="240" w:lineRule="auto"/>
              <w:jc w:val="center"/>
              <w:rPr>
                <w:rFonts w:hint="default" w:ascii="Times New Roman" w:hAnsi="Times New Roman" w:eastAsia="宋体" w:cs="Times New Roman"/>
                <w:color w:val="auto"/>
                <w:sz w:val="21"/>
                <w:szCs w:val="24"/>
                <w:highlight w:val="none"/>
                <w:u w:val="single" w:color="auto"/>
              </w:rPr>
            </w:pPr>
          </w:p>
        </w:tc>
        <w:tc>
          <w:tcPr>
            <w:tcW w:w="703" w:type="pct"/>
            <w:vMerge w:val="restart"/>
            <w:vAlign w:val="center"/>
          </w:tcPr>
          <w:p w14:paraId="091DA325">
            <w:pPr>
              <w:spacing w:line="240" w:lineRule="auto"/>
              <w:jc w:val="center"/>
              <w:rPr>
                <w:rFonts w:hint="default" w:ascii="Times New Roman" w:hAnsi="Times New Roman" w:eastAsia="宋体" w:cs="Times New Roman"/>
                <w:color w:val="auto"/>
                <w:sz w:val="21"/>
                <w:szCs w:val="24"/>
                <w:highlight w:val="none"/>
                <w:u w:val="single" w:color="auto"/>
              </w:rPr>
            </w:pPr>
          </w:p>
        </w:tc>
      </w:tr>
      <w:tr w14:paraId="325864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546" w:type="pct"/>
            <w:vMerge w:val="continue"/>
            <w:vAlign w:val="center"/>
          </w:tcPr>
          <w:p w14:paraId="3A84AF8E">
            <w:pPr>
              <w:spacing w:line="240" w:lineRule="auto"/>
              <w:jc w:val="center"/>
              <w:rPr>
                <w:rFonts w:hint="default" w:ascii="Times New Roman" w:hAnsi="Times New Roman" w:eastAsia="宋体" w:cs="Times New Roman"/>
                <w:color w:val="auto"/>
                <w:sz w:val="21"/>
                <w:szCs w:val="24"/>
                <w:highlight w:val="none"/>
                <w:u w:val="single" w:color="auto"/>
              </w:rPr>
            </w:pPr>
          </w:p>
        </w:tc>
        <w:tc>
          <w:tcPr>
            <w:tcW w:w="1329" w:type="pct"/>
            <w:vAlign w:val="center"/>
          </w:tcPr>
          <w:p w14:paraId="69F2C3A5">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T2：</w:t>
            </w:r>
            <w:r>
              <w:rPr>
                <w:rFonts w:hint="default" w:ascii="Times New Roman" w:hAnsi="Times New Roman" w:eastAsia="宋体" w:cs="Times New Roman"/>
                <w:color w:val="auto"/>
                <w:kern w:val="0"/>
                <w:sz w:val="21"/>
                <w:szCs w:val="21"/>
                <w:highlight w:val="none"/>
                <w:u w:val="single" w:color="auto"/>
                <w:lang w:val="en-US" w:eastAsia="zh-CN"/>
              </w:rPr>
              <w:t>2</w:t>
            </w:r>
            <w:r>
              <w:rPr>
                <w:rFonts w:hint="default" w:ascii="Times New Roman" w:hAnsi="Times New Roman" w:eastAsia="宋体" w:cs="Times New Roman"/>
                <w:color w:val="auto"/>
                <w:kern w:val="0"/>
                <w:sz w:val="21"/>
                <w:szCs w:val="21"/>
                <w:highlight w:val="none"/>
                <w:u w:val="single" w:color="auto"/>
              </w:rPr>
              <w:t>#厂房附近土壤</w:t>
            </w:r>
          </w:p>
        </w:tc>
        <w:tc>
          <w:tcPr>
            <w:tcW w:w="1093" w:type="pct"/>
            <w:vMerge w:val="continue"/>
            <w:vAlign w:val="center"/>
          </w:tcPr>
          <w:p w14:paraId="3577431B">
            <w:pPr>
              <w:spacing w:line="240" w:lineRule="auto"/>
              <w:jc w:val="center"/>
              <w:rPr>
                <w:rFonts w:hint="default" w:ascii="Times New Roman" w:hAnsi="Times New Roman" w:eastAsia="宋体" w:cs="Times New Roman"/>
                <w:color w:val="auto"/>
                <w:sz w:val="21"/>
                <w:szCs w:val="24"/>
                <w:highlight w:val="none"/>
                <w:u w:val="single" w:color="auto"/>
              </w:rPr>
            </w:pPr>
          </w:p>
        </w:tc>
        <w:tc>
          <w:tcPr>
            <w:tcW w:w="389" w:type="pct"/>
            <w:vMerge w:val="continue"/>
            <w:vAlign w:val="center"/>
          </w:tcPr>
          <w:p w14:paraId="1CC9BB28">
            <w:pPr>
              <w:spacing w:line="240" w:lineRule="auto"/>
              <w:jc w:val="center"/>
              <w:rPr>
                <w:rFonts w:hint="default" w:ascii="Times New Roman" w:hAnsi="Times New Roman" w:eastAsia="宋体" w:cs="Times New Roman"/>
                <w:color w:val="auto"/>
                <w:sz w:val="21"/>
                <w:szCs w:val="24"/>
                <w:highlight w:val="none"/>
                <w:u w:val="single" w:color="auto"/>
              </w:rPr>
            </w:pPr>
          </w:p>
        </w:tc>
        <w:tc>
          <w:tcPr>
            <w:tcW w:w="391" w:type="pct"/>
            <w:vMerge w:val="continue"/>
            <w:vAlign w:val="center"/>
          </w:tcPr>
          <w:p w14:paraId="5AF3F3C3">
            <w:pPr>
              <w:spacing w:line="240" w:lineRule="auto"/>
              <w:jc w:val="center"/>
              <w:rPr>
                <w:rFonts w:hint="default" w:ascii="Times New Roman" w:hAnsi="Times New Roman" w:eastAsia="宋体" w:cs="Times New Roman"/>
                <w:color w:val="auto"/>
                <w:sz w:val="21"/>
                <w:szCs w:val="21"/>
                <w:highlight w:val="none"/>
                <w:u w:val="single" w:color="auto"/>
              </w:rPr>
            </w:pPr>
          </w:p>
        </w:tc>
        <w:tc>
          <w:tcPr>
            <w:tcW w:w="547" w:type="pct"/>
            <w:vMerge w:val="continue"/>
            <w:vAlign w:val="center"/>
          </w:tcPr>
          <w:p w14:paraId="759C8702">
            <w:pPr>
              <w:spacing w:line="240" w:lineRule="auto"/>
              <w:jc w:val="center"/>
              <w:rPr>
                <w:rFonts w:hint="default" w:ascii="Times New Roman" w:hAnsi="Times New Roman" w:eastAsia="宋体" w:cs="Times New Roman"/>
                <w:color w:val="auto"/>
                <w:sz w:val="21"/>
                <w:szCs w:val="24"/>
                <w:highlight w:val="none"/>
                <w:u w:val="single" w:color="auto"/>
              </w:rPr>
            </w:pPr>
          </w:p>
        </w:tc>
        <w:tc>
          <w:tcPr>
            <w:tcW w:w="703" w:type="pct"/>
            <w:vMerge w:val="continue"/>
            <w:vAlign w:val="center"/>
          </w:tcPr>
          <w:p w14:paraId="7344C258">
            <w:pPr>
              <w:spacing w:line="240" w:lineRule="auto"/>
              <w:jc w:val="center"/>
              <w:rPr>
                <w:rFonts w:hint="default" w:ascii="Times New Roman" w:hAnsi="Times New Roman" w:eastAsia="宋体" w:cs="Times New Roman"/>
                <w:color w:val="auto"/>
                <w:sz w:val="21"/>
                <w:szCs w:val="24"/>
                <w:highlight w:val="none"/>
                <w:u w:val="single" w:color="auto"/>
              </w:rPr>
            </w:pPr>
          </w:p>
        </w:tc>
      </w:tr>
      <w:tr w14:paraId="45A0E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546" w:type="pct"/>
            <w:vMerge w:val="continue"/>
            <w:vAlign w:val="center"/>
          </w:tcPr>
          <w:p w14:paraId="60A72A83">
            <w:pPr>
              <w:spacing w:line="240" w:lineRule="auto"/>
              <w:jc w:val="center"/>
              <w:rPr>
                <w:rFonts w:hint="default" w:ascii="Times New Roman" w:hAnsi="Times New Roman" w:eastAsia="宋体" w:cs="Times New Roman"/>
                <w:color w:val="auto"/>
                <w:sz w:val="21"/>
                <w:szCs w:val="24"/>
                <w:highlight w:val="none"/>
                <w:u w:val="single" w:color="auto"/>
              </w:rPr>
            </w:pPr>
          </w:p>
        </w:tc>
        <w:tc>
          <w:tcPr>
            <w:tcW w:w="1329" w:type="pct"/>
            <w:vAlign w:val="center"/>
          </w:tcPr>
          <w:p w14:paraId="776BABD9">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T3：</w:t>
            </w:r>
            <w:r>
              <w:rPr>
                <w:rFonts w:hint="default" w:ascii="Times New Roman" w:hAnsi="Times New Roman" w:eastAsia="宋体" w:cs="Times New Roman"/>
                <w:color w:val="auto"/>
                <w:sz w:val="21"/>
                <w:szCs w:val="24"/>
                <w:highlight w:val="none"/>
                <w:u w:val="single" w:color="auto"/>
                <w:lang w:val="en-US" w:eastAsia="zh-CN"/>
              </w:rPr>
              <w:t>1</w:t>
            </w:r>
            <w:r>
              <w:rPr>
                <w:rFonts w:hint="default" w:ascii="Times New Roman" w:hAnsi="Times New Roman" w:eastAsia="宋体" w:cs="Times New Roman"/>
                <w:color w:val="auto"/>
                <w:sz w:val="21"/>
                <w:szCs w:val="24"/>
                <w:highlight w:val="none"/>
                <w:u w:val="single" w:color="auto"/>
              </w:rPr>
              <w:t>#厂房附近土壤</w:t>
            </w:r>
          </w:p>
        </w:tc>
        <w:tc>
          <w:tcPr>
            <w:tcW w:w="1093" w:type="pct"/>
            <w:vMerge w:val="continue"/>
            <w:vAlign w:val="center"/>
          </w:tcPr>
          <w:p w14:paraId="4DD1586F">
            <w:pPr>
              <w:spacing w:line="240" w:lineRule="auto"/>
              <w:jc w:val="center"/>
              <w:rPr>
                <w:rFonts w:hint="default" w:ascii="Times New Roman" w:hAnsi="Times New Roman" w:eastAsia="宋体" w:cs="Times New Roman"/>
                <w:color w:val="auto"/>
                <w:sz w:val="21"/>
                <w:szCs w:val="24"/>
                <w:highlight w:val="none"/>
                <w:u w:val="single" w:color="auto"/>
              </w:rPr>
            </w:pPr>
          </w:p>
        </w:tc>
        <w:tc>
          <w:tcPr>
            <w:tcW w:w="389" w:type="pct"/>
            <w:vMerge w:val="continue"/>
            <w:vAlign w:val="center"/>
          </w:tcPr>
          <w:p w14:paraId="451146DA">
            <w:pPr>
              <w:spacing w:line="240" w:lineRule="auto"/>
              <w:jc w:val="center"/>
              <w:rPr>
                <w:rFonts w:hint="default" w:ascii="Times New Roman" w:hAnsi="Times New Roman" w:eastAsia="宋体" w:cs="Times New Roman"/>
                <w:color w:val="auto"/>
                <w:sz w:val="21"/>
                <w:szCs w:val="24"/>
                <w:highlight w:val="none"/>
                <w:u w:val="single" w:color="auto"/>
              </w:rPr>
            </w:pPr>
          </w:p>
        </w:tc>
        <w:tc>
          <w:tcPr>
            <w:tcW w:w="391" w:type="pct"/>
            <w:vMerge w:val="continue"/>
            <w:vAlign w:val="center"/>
          </w:tcPr>
          <w:p w14:paraId="3EAC5583">
            <w:pPr>
              <w:spacing w:line="240" w:lineRule="auto"/>
              <w:jc w:val="center"/>
              <w:rPr>
                <w:rFonts w:hint="default" w:ascii="Times New Roman" w:hAnsi="Times New Roman" w:eastAsia="宋体" w:cs="Times New Roman"/>
                <w:color w:val="auto"/>
                <w:sz w:val="21"/>
                <w:szCs w:val="21"/>
                <w:highlight w:val="none"/>
                <w:u w:val="single" w:color="auto"/>
              </w:rPr>
            </w:pPr>
          </w:p>
        </w:tc>
        <w:tc>
          <w:tcPr>
            <w:tcW w:w="547" w:type="pct"/>
            <w:vMerge w:val="continue"/>
            <w:vAlign w:val="center"/>
          </w:tcPr>
          <w:p w14:paraId="7C5568FF">
            <w:pPr>
              <w:spacing w:line="240" w:lineRule="auto"/>
              <w:jc w:val="center"/>
              <w:rPr>
                <w:rFonts w:hint="default" w:ascii="Times New Roman" w:hAnsi="Times New Roman" w:eastAsia="宋体" w:cs="Times New Roman"/>
                <w:color w:val="auto"/>
                <w:sz w:val="21"/>
                <w:szCs w:val="24"/>
                <w:highlight w:val="none"/>
                <w:u w:val="single" w:color="auto"/>
              </w:rPr>
            </w:pPr>
          </w:p>
        </w:tc>
        <w:tc>
          <w:tcPr>
            <w:tcW w:w="703" w:type="pct"/>
            <w:vMerge w:val="continue"/>
            <w:vAlign w:val="center"/>
          </w:tcPr>
          <w:p w14:paraId="3A8CC7A6">
            <w:pPr>
              <w:spacing w:line="240" w:lineRule="auto"/>
              <w:jc w:val="center"/>
              <w:rPr>
                <w:rFonts w:hint="default" w:ascii="Times New Roman" w:hAnsi="Times New Roman" w:eastAsia="宋体" w:cs="Times New Roman"/>
                <w:color w:val="auto"/>
                <w:sz w:val="21"/>
                <w:szCs w:val="24"/>
                <w:highlight w:val="none"/>
                <w:u w:val="single" w:color="auto"/>
              </w:rPr>
            </w:pPr>
          </w:p>
        </w:tc>
      </w:tr>
      <w:tr w14:paraId="33921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546" w:type="pct"/>
            <w:vMerge w:val="restart"/>
            <w:vAlign w:val="center"/>
          </w:tcPr>
          <w:p w14:paraId="5DADCB6A">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地下水</w:t>
            </w:r>
          </w:p>
        </w:tc>
        <w:tc>
          <w:tcPr>
            <w:tcW w:w="1329" w:type="pct"/>
            <w:vAlign w:val="center"/>
          </w:tcPr>
          <w:p w14:paraId="51F50EC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D1：场区污水处理车间</w:t>
            </w:r>
            <w:r>
              <w:rPr>
                <w:rFonts w:hint="default" w:ascii="Times New Roman" w:hAnsi="Times New Roman" w:eastAsia="宋体" w:cs="Times New Roman"/>
                <w:color w:val="auto"/>
                <w:sz w:val="21"/>
                <w:szCs w:val="21"/>
                <w:highlight w:val="none"/>
                <w:u w:val="single" w:color="auto"/>
                <w:lang w:eastAsia="zh-CN"/>
              </w:rPr>
              <w:t>西</w:t>
            </w:r>
            <w:r>
              <w:rPr>
                <w:rFonts w:hint="default" w:ascii="Times New Roman" w:hAnsi="Times New Roman" w:eastAsia="宋体" w:cs="Times New Roman"/>
                <w:color w:val="auto"/>
                <w:sz w:val="21"/>
                <w:szCs w:val="21"/>
                <w:highlight w:val="none"/>
                <w:u w:val="single" w:color="auto"/>
              </w:rPr>
              <w:t>侧（厂区内）</w:t>
            </w:r>
          </w:p>
        </w:tc>
        <w:tc>
          <w:tcPr>
            <w:tcW w:w="1093" w:type="pct"/>
            <w:vMerge w:val="restart"/>
            <w:vAlign w:val="center"/>
          </w:tcPr>
          <w:p w14:paraId="79E7BD47">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lang w:eastAsia="zh-CN" w:bidi="en-US"/>
              </w:rPr>
              <w:t>pH</w:t>
            </w:r>
            <w:r>
              <w:rPr>
                <w:rFonts w:hint="default" w:ascii="Times New Roman" w:hAnsi="Times New Roman" w:eastAsia="宋体" w:cs="Times New Roman"/>
                <w:color w:val="auto"/>
                <w:sz w:val="21"/>
                <w:szCs w:val="24"/>
                <w:highlight w:val="none"/>
                <w:u w:val="single" w:color="auto"/>
                <w:lang w:bidi="en-US"/>
              </w:rPr>
              <w:t>、耗氧量、氨氮、铬、铜、铅、锌、镉、砷、镍、硫酸盐、氯化物、TDS</w:t>
            </w:r>
          </w:p>
        </w:tc>
        <w:tc>
          <w:tcPr>
            <w:tcW w:w="389" w:type="pct"/>
            <w:vMerge w:val="restart"/>
            <w:vAlign w:val="center"/>
          </w:tcPr>
          <w:p w14:paraId="2815B0F1">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一年</w:t>
            </w:r>
          </w:p>
          <w:p w14:paraId="649B9472">
            <w:pPr>
              <w:spacing w:line="240" w:lineRule="auto"/>
              <w:jc w:val="center"/>
              <w:rPr>
                <w:rFonts w:hint="default" w:ascii="Times New Roman" w:hAnsi="Times New Roman" w:eastAsia="宋体" w:cs="Times New Roman"/>
                <w:color w:val="auto"/>
                <w:sz w:val="21"/>
                <w:szCs w:val="24"/>
                <w:highlight w:val="none"/>
                <w:u w:val="single" w:color="auto"/>
              </w:rPr>
            </w:pPr>
            <w:r>
              <w:rPr>
                <w:rFonts w:hint="default" w:ascii="Times New Roman" w:hAnsi="Times New Roman" w:eastAsia="宋体" w:cs="Times New Roman"/>
                <w:color w:val="auto"/>
                <w:sz w:val="21"/>
                <w:szCs w:val="24"/>
                <w:highlight w:val="none"/>
                <w:u w:val="single" w:color="auto"/>
              </w:rPr>
              <w:t>一次</w:t>
            </w:r>
          </w:p>
        </w:tc>
        <w:tc>
          <w:tcPr>
            <w:tcW w:w="391" w:type="pct"/>
            <w:vMerge w:val="continue"/>
            <w:vAlign w:val="center"/>
          </w:tcPr>
          <w:p w14:paraId="4CD35C14">
            <w:pPr>
              <w:spacing w:line="240" w:lineRule="auto"/>
              <w:jc w:val="center"/>
              <w:rPr>
                <w:rFonts w:hint="default" w:ascii="Times New Roman" w:hAnsi="Times New Roman" w:eastAsia="宋体" w:cs="Times New Roman"/>
                <w:color w:val="auto"/>
                <w:sz w:val="21"/>
                <w:szCs w:val="21"/>
                <w:highlight w:val="none"/>
                <w:u w:val="single" w:color="auto"/>
              </w:rPr>
            </w:pPr>
          </w:p>
        </w:tc>
        <w:tc>
          <w:tcPr>
            <w:tcW w:w="547" w:type="pct"/>
            <w:vMerge w:val="continue"/>
            <w:vAlign w:val="center"/>
          </w:tcPr>
          <w:p w14:paraId="44CAA09C">
            <w:pPr>
              <w:spacing w:line="240" w:lineRule="auto"/>
              <w:jc w:val="center"/>
              <w:rPr>
                <w:rFonts w:hint="default" w:ascii="Times New Roman" w:hAnsi="Times New Roman" w:eastAsia="宋体" w:cs="Times New Roman"/>
                <w:color w:val="auto"/>
                <w:sz w:val="21"/>
                <w:szCs w:val="24"/>
                <w:highlight w:val="none"/>
                <w:u w:val="single" w:color="auto"/>
              </w:rPr>
            </w:pPr>
          </w:p>
        </w:tc>
        <w:tc>
          <w:tcPr>
            <w:tcW w:w="703" w:type="pct"/>
            <w:vMerge w:val="continue"/>
            <w:vAlign w:val="center"/>
          </w:tcPr>
          <w:p w14:paraId="1B8D9FF3">
            <w:pPr>
              <w:spacing w:line="240" w:lineRule="auto"/>
              <w:jc w:val="center"/>
              <w:rPr>
                <w:rFonts w:hint="default" w:ascii="Times New Roman" w:hAnsi="Times New Roman" w:eastAsia="宋体" w:cs="Times New Roman"/>
                <w:color w:val="auto"/>
                <w:sz w:val="21"/>
                <w:szCs w:val="24"/>
                <w:highlight w:val="none"/>
                <w:u w:val="single" w:color="auto"/>
              </w:rPr>
            </w:pPr>
          </w:p>
        </w:tc>
      </w:tr>
      <w:tr w14:paraId="74ADF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546" w:type="pct"/>
            <w:vMerge w:val="continue"/>
            <w:vAlign w:val="center"/>
          </w:tcPr>
          <w:p w14:paraId="1D543891">
            <w:pPr>
              <w:spacing w:line="240" w:lineRule="auto"/>
              <w:jc w:val="center"/>
              <w:rPr>
                <w:rFonts w:hint="default" w:ascii="Times New Roman" w:hAnsi="Times New Roman" w:eastAsia="宋体" w:cs="Times New Roman"/>
                <w:color w:val="auto"/>
                <w:sz w:val="21"/>
                <w:szCs w:val="24"/>
                <w:highlight w:val="none"/>
                <w:u w:val="single" w:color="auto"/>
              </w:rPr>
            </w:pPr>
          </w:p>
        </w:tc>
        <w:tc>
          <w:tcPr>
            <w:tcW w:w="1329" w:type="pct"/>
            <w:vAlign w:val="center"/>
          </w:tcPr>
          <w:p w14:paraId="58485FA2">
            <w:pPr>
              <w:spacing w:line="240" w:lineRule="auto"/>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D2：场区地下水流向下游（厂区东侧）</w:t>
            </w:r>
          </w:p>
        </w:tc>
        <w:tc>
          <w:tcPr>
            <w:tcW w:w="1093" w:type="pct"/>
            <w:vMerge w:val="continue"/>
            <w:vAlign w:val="center"/>
          </w:tcPr>
          <w:p w14:paraId="0139FB12">
            <w:pPr>
              <w:spacing w:line="240" w:lineRule="auto"/>
              <w:jc w:val="center"/>
              <w:rPr>
                <w:rFonts w:hint="default" w:ascii="Times New Roman" w:hAnsi="Times New Roman" w:eastAsia="宋体" w:cs="Times New Roman"/>
                <w:color w:val="auto"/>
                <w:sz w:val="21"/>
                <w:szCs w:val="24"/>
                <w:highlight w:val="none"/>
                <w:u w:val="single" w:color="auto"/>
              </w:rPr>
            </w:pPr>
          </w:p>
        </w:tc>
        <w:tc>
          <w:tcPr>
            <w:tcW w:w="389" w:type="pct"/>
            <w:vMerge w:val="continue"/>
            <w:vAlign w:val="center"/>
          </w:tcPr>
          <w:p w14:paraId="54D935FA">
            <w:pPr>
              <w:spacing w:line="240" w:lineRule="auto"/>
              <w:jc w:val="center"/>
              <w:rPr>
                <w:rFonts w:hint="default" w:ascii="Times New Roman" w:hAnsi="Times New Roman" w:eastAsia="宋体" w:cs="Times New Roman"/>
                <w:color w:val="auto"/>
                <w:sz w:val="21"/>
                <w:szCs w:val="24"/>
                <w:highlight w:val="none"/>
                <w:u w:val="single" w:color="auto"/>
              </w:rPr>
            </w:pPr>
          </w:p>
        </w:tc>
        <w:tc>
          <w:tcPr>
            <w:tcW w:w="391" w:type="pct"/>
            <w:vMerge w:val="continue"/>
            <w:vAlign w:val="center"/>
          </w:tcPr>
          <w:p w14:paraId="4BB0366D">
            <w:pPr>
              <w:spacing w:line="240" w:lineRule="auto"/>
              <w:jc w:val="center"/>
              <w:rPr>
                <w:rFonts w:hint="default" w:ascii="Times New Roman" w:hAnsi="Times New Roman" w:eastAsia="宋体" w:cs="Times New Roman"/>
                <w:color w:val="auto"/>
                <w:sz w:val="21"/>
                <w:szCs w:val="21"/>
                <w:highlight w:val="none"/>
                <w:u w:val="single" w:color="auto"/>
              </w:rPr>
            </w:pPr>
          </w:p>
        </w:tc>
        <w:tc>
          <w:tcPr>
            <w:tcW w:w="547" w:type="pct"/>
            <w:vMerge w:val="continue"/>
            <w:vAlign w:val="center"/>
          </w:tcPr>
          <w:p w14:paraId="55FF910C">
            <w:pPr>
              <w:spacing w:line="240" w:lineRule="auto"/>
              <w:jc w:val="center"/>
              <w:rPr>
                <w:rFonts w:hint="default" w:ascii="Times New Roman" w:hAnsi="Times New Roman" w:eastAsia="宋体" w:cs="Times New Roman"/>
                <w:color w:val="auto"/>
                <w:sz w:val="21"/>
                <w:szCs w:val="24"/>
                <w:highlight w:val="none"/>
                <w:u w:val="single" w:color="auto"/>
              </w:rPr>
            </w:pPr>
          </w:p>
        </w:tc>
        <w:tc>
          <w:tcPr>
            <w:tcW w:w="703" w:type="pct"/>
            <w:vMerge w:val="continue"/>
            <w:vAlign w:val="center"/>
          </w:tcPr>
          <w:p w14:paraId="369B6ED4">
            <w:pPr>
              <w:spacing w:line="240" w:lineRule="auto"/>
              <w:jc w:val="center"/>
              <w:rPr>
                <w:rFonts w:hint="default" w:ascii="Times New Roman" w:hAnsi="Times New Roman" w:eastAsia="宋体" w:cs="Times New Roman"/>
                <w:color w:val="auto"/>
                <w:sz w:val="21"/>
                <w:szCs w:val="24"/>
                <w:highlight w:val="none"/>
                <w:u w:val="single" w:color="auto"/>
              </w:rPr>
            </w:pPr>
          </w:p>
        </w:tc>
      </w:tr>
    </w:tbl>
    <w:p w14:paraId="609D33AB">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12.3.4监测质量保证与质量控制</w:t>
      </w:r>
    </w:p>
    <w:p w14:paraId="212EC1A0">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kern w:val="0"/>
          <w:sz w:val="24"/>
          <w:szCs w:val="24"/>
          <w:highlight w:val="none"/>
          <w:u w:val="none" w:color="auto"/>
          <w:lang w:val="zh-CN" w:eastAsia="zh-CN" w:bidi="ar"/>
        </w:rPr>
      </w:pPr>
      <w:r>
        <w:rPr>
          <w:rFonts w:hint="default" w:ascii="Times New Roman" w:hAnsi="Times New Roman" w:eastAsia="宋体" w:cs="Times New Roman"/>
          <w:strike w:val="0"/>
          <w:dstrike w:val="0"/>
          <w:color w:val="auto"/>
          <w:kern w:val="0"/>
          <w:sz w:val="24"/>
          <w:szCs w:val="24"/>
          <w:highlight w:val="none"/>
          <w:u w:val="none" w:color="auto"/>
          <w:lang w:val="zh-CN" w:eastAsia="zh-CN" w:bidi="ar"/>
        </w:rPr>
        <w:t>（1）建立质量体系</w:t>
      </w:r>
    </w:p>
    <w:p w14:paraId="03097730">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kern w:val="0"/>
          <w:sz w:val="24"/>
          <w:szCs w:val="24"/>
          <w:highlight w:val="none"/>
          <w:u w:val="none" w:color="auto"/>
          <w:lang w:val="zh-CN" w:eastAsia="zh-CN" w:bidi="ar"/>
        </w:rPr>
      </w:pPr>
      <w:r>
        <w:rPr>
          <w:rFonts w:hint="default" w:ascii="Times New Roman" w:hAnsi="Times New Roman" w:eastAsia="宋体" w:cs="Times New Roman"/>
          <w:strike w:val="0"/>
          <w:dstrike w:val="0"/>
          <w:color w:val="auto"/>
          <w:kern w:val="0"/>
          <w:sz w:val="24"/>
          <w:szCs w:val="24"/>
          <w:highlight w:val="none"/>
          <w:u w:val="none" w:color="auto"/>
          <w:lang w:val="zh-CN" w:eastAsia="zh-CN" w:bidi="ar"/>
        </w:rPr>
        <w:t>排污单位应根据本单位自行监测的工作需求，设置监测机构，梳理监测方案制定、样品采集、样品分析、监测结果报出、相关记录的保存等监测的各个环节中，为保证监测工作质量应制定工作流程、管理措施和监督措施，建立自行监测质量体系。</w:t>
      </w:r>
    </w:p>
    <w:p w14:paraId="381D3C1F">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kern w:val="0"/>
          <w:sz w:val="24"/>
          <w:szCs w:val="24"/>
          <w:highlight w:val="none"/>
          <w:u w:val="none" w:color="auto"/>
          <w:lang w:val="zh-CN" w:eastAsia="zh-CN" w:bidi="ar"/>
        </w:rPr>
      </w:pPr>
      <w:r>
        <w:rPr>
          <w:rFonts w:hint="default" w:ascii="Times New Roman" w:hAnsi="Times New Roman" w:eastAsia="宋体" w:cs="Times New Roman"/>
          <w:strike w:val="0"/>
          <w:dstrike w:val="0"/>
          <w:color w:val="auto"/>
          <w:kern w:val="0"/>
          <w:sz w:val="24"/>
          <w:szCs w:val="24"/>
          <w:highlight w:val="none"/>
          <w:u w:val="none" w:color="auto"/>
          <w:lang w:val="zh-CN" w:eastAsia="zh-CN" w:bidi="ar"/>
        </w:rPr>
        <w:t>委托其它有资质的检（监）测机构代其开展自行监测的，建设单位不用建立监测质量体系，但应对监测机构的资质进行确认。</w:t>
      </w:r>
    </w:p>
    <w:p w14:paraId="3D48C643">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kern w:val="0"/>
          <w:sz w:val="24"/>
          <w:szCs w:val="24"/>
          <w:highlight w:val="none"/>
          <w:u w:val="none" w:color="auto"/>
          <w:lang w:val="zh-CN" w:eastAsia="zh-CN" w:bidi="ar"/>
        </w:rPr>
      </w:pPr>
      <w:r>
        <w:rPr>
          <w:rFonts w:hint="default" w:ascii="Times New Roman" w:hAnsi="Times New Roman" w:eastAsia="宋体" w:cs="Times New Roman"/>
          <w:strike w:val="0"/>
          <w:dstrike w:val="0"/>
          <w:color w:val="auto"/>
          <w:kern w:val="0"/>
          <w:sz w:val="24"/>
          <w:szCs w:val="24"/>
          <w:highlight w:val="none"/>
          <w:u w:val="none" w:color="auto"/>
          <w:lang w:val="zh-CN" w:eastAsia="zh-CN" w:bidi="ar"/>
        </w:rPr>
        <w:t>（2）监测质量控制</w:t>
      </w:r>
    </w:p>
    <w:p w14:paraId="41D87B54">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kern w:val="0"/>
          <w:sz w:val="24"/>
          <w:szCs w:val="24"/>
          <w:highlight w:val="none"/>
          <w:u w:val="none" w:color="auto"/>
          <w:lang w:val="zh-CN" w:eastAsia="zh-CN" w:bidi="ar"/>
        </w:rPr>
      </w:pPr>
      <w:r>
        <w:rPr>
          <w:rFonts w:hint="default" w:ascii="Times New Roman" w:hAnsi="Times New Roman" w:eastAsia="宋体" w:cs="Times New Roman"/>
          <w:strike w:val="0"/>
          <w:dstrike w:val="0"/>
          <w:color w:val="auto"/>
          <w:kern w:val="0"/>
          <w:sz w:val="24"/>
          <w:szCs w:val="24"/>
          <w:highlight w:val="none"/>
          <w:u w:val="none" w:color="auto"/>
          <w:lang w:val="zh-CN" w:eastAsia="zh-CN" w:bidi="ar"/>
        </w:rPr>
        <w:t>编制监测工作质量控制计划，选择与监测活动类型和工作量适应的质控方法，包括使用标准物质、采用空白试验，平行样测定等，定期进行质控数据分析。</w:t>
      </w:r>
    </w:p>
    <w:p w14:paraId="52C5D7F8">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kern w:val="0"/>
          <w:sz w:val="24"/>
          <w:szCs w:val="24"/>
          <w:highlight w:val="none"/>
          <w:u w:val="none" w:color="auto"/>
          <w:lang w:val="zh-CN" w:eastAsia="zh-CN" w:bidi="ar"/>
        </w:rPr>
      </w:pPr>
      <w:r>
        <w:rPr>
          <w:rFonts w:hint="default" w:ascii="Times New Roman" w:hAnsi="Times New Roman" w:eastAsia="宋体" w:cs="Times New Roman"/>
          <w:strike w:val="0"/>
          <w:dstrike w:val="0"/>
          <w:color w:val="auto"/>
          <w:kern w:val="0"/>
          <w:sz w:val="24"/>
          <w:szCs w:val="24"/>
          <w:highlight w:val="none"/>
          <w:u w:val="none" w:color="auto"/>
          <w:lang w:val="zh-CN" w:eastAsia="zh-CN" w:bidi="ar"/>
        </w:rPr>
        <w:t>（3）监测质量保证</w:t>
      </w:r>
    </w:p>
    <w:p w14:paraId="79049DE8">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kern w:val="0"/>
          <w:sz w:val="24"/>
          <w:szCs w:val="24"/>
          <w:highlight w:val="none"/>
          <w:u w:val="none" w:color="auto"/>
          <w:lang w:val="zh-CN" w:eastAsia="zh-CN" w:bidi="ar"/>
        </w:rPr>
      </w:pPr>
      <w:r>
        <w:rPr>
          <w:rFonts w:hint="default" w:ascii="Times New Roman" w:hAnsi="Times New Roman" w:eastAsia="宋体" w:cs="Times New Roman"/>
          <w:strike w:val="0"/>
          <w:dstrike w:val="0"/>
          <w:color w:val="auto"/>
          <w:kern w:val="0"/>
          <w:sz w:val="24"/>
          <w:szCs w:val="24"/>
          <w:highlight w:val="none"/>
          <w:u w:val="none" w:color="auto"/>
          <w:lang w:val="zh-CN" w:eastAsia="zh-CN" w:bidi="ar"/>
        </w:rPr>
        <w:t>定期对自行监测工作开展的时效性、自行监测数据的代表性和准确性、管理部门检查结论和公众对自行监测数据的反馈等情况进行评估，识别自行监测存在的问题，及时采取纠正措施。管理部门执法监测与建设单位自行监测的数据不一致的，以管理部门执法监测结果为准，作为判断污染物排放是否达标、自动监测设施是否正常运行的依据。</w:t>
      </w:r>
    </w:p>
    <w:p w14:paraId="41CC08BF">
      <w:pPr>
        <w:pStyle w:val="4"/>
        <w:pageBreakBefore w:val="0"/>
        <w:kinsoku/>
        <w:wordWrap/>
        <w:overflowPunct/>
        <w:topLinePunct w:val="0"/>
        <w:bidi w:val="0"/>
        <w:spacing w:before="0" w:after="0" w:line="360" w:lineRule="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12.3.5信息公开</w:t>
      </w:r>
    </w:p>
    <w:p w14:paraId="7A427748">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kern w:val="0"/>
          <w:sz w:val="24"/>
          <w:szCs w:val="24"/>
          <w:highlight w:val="none"/>
          <w:u w:val="none" w:color="auto"/>
          <w:lang w:val="en-US" w:eastAsia="zh-CN" w:bidi="ar"/>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建设单位自行监测信息公开内容及方式按照《企业事业单位环境信息公开办法》（环境保护部令第31号）及《国家重点监控企业自行监测及信息公开办法（试行）》（环发[2013]81号）执行，非重点排污单位的信息公开要求由地方环境保护主管部门确定。</w:t>
      </w:r>
    </w:p>
    <w:p w14:paraId="3FEC959F">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49" w:name="_Toc41848712"/>
      <w:bookmarkStart w:id="150" w:name="_Toc9557"/>
      <w:bookmarkStart w:id="151" w:name="_Toc36619762"/>
      <w:bookmarkStart w:id="152" w:name="_Toc20922"/>
      <w:r>
        <w:rPr>
          <w:rFonts w:hint="default" w:ascii="Times New Roman" w:hAnsi="Times New Roman" w:eastAsia="宋体" w:cs="Times New Roman"/>
          <w:color w:val="auto"/>
          <w:sz w:val="28"/>
          <w:szCs w:val="28"/>
          <w:highlight w:val="none"/>
          <w:u w:val="none" w:color="auto"/>
          <w:lang w:val="en-US" w:eastAsia="zh-CN"/>
        </w:rPr>
        <w:t>12.4排污口规范化</w:t>
      </w:r>
      <w:bookmarkEnd w:id="149"/>
      <w:bookmarkEnd w:id="150"/>
      <w:bookmarkEnd w:id="151"/>
      <w:bookmarkEnd w:id="152"/>
    </w:p>
    <w:p w14:paraId="47A55233">
      <w:pPr>
        <w:pStyle w:val="4"/>
        <w:widowControl/>
        <w:spacing w:before="0" w:beforeAutospacing="0" w:after="0" w:afterAutospacing="0" w:line="480" w:lineRule="exact"/>
        <w:rPr>
          <w:rFonts w:hint="default" w:ascii="Times New Roman" w:hAnsi="Times New Roman" w:eastAsia="宋体" w:cs="Times New Roman"/>
          <w:b/>
          <w:bCs w:val="0"/>
          <w:strike w:val="0"/>
          <w:dstrike w:val="0"/>
          <w:color w:val="auto"/>
          <w:sz w:val="24"/>
          <w:szCs w:val="24"/>
          <w:highlight w:val="none"/>
          <w:u w:val="none" w:color="auto"/>
        </w:rPr>
      </w:pPr>
      <w:bookmarkStart w:id="153" w:name="_Toc24606"/>
      <w:r>
        <w:rPr>
          <w:rFonts w:hint="default" w:ascii="Times New Roman" w:hAnsi="Times New Roman" w:eastAsia="宋体" w:cs="Times New Roman"/>
          <w:b/>
          <w:bCs w:val="0"/>
          <w:strike w:val="0"/>
          <w:dstrike w:val="0"/>
          <w:color w:val="auto"/>
          <w:sz w:val="24"/>
          <w:szCs w:val="24"/>
          <w:highlight w:val="none"/>
          <w:u w:val="none" w:color="auto"/>
        </w:rPr>
        <w:t>1</w:t>
      </w:r>
      <w:r>
        <w:rPr>
          <w:rFonts w:hint="default" w:ascii="Times New Roman" w:hAnsi="Times New Roman" w:eastAsia="宋体" w:cs="Times New Roman"/>
          <w:b/>
          <w:bCs w:val="0"/>
          <w:strike w:val="0"/>
          <w:dstrike w:val="0"/>
          <w:color w:val="auto"/>
          <w:sz w:val="24"/>
          <w:szCs w:val="24"/>
          <w:highlight w:val="none"/>
          <w:u w:val="none" w:color="auto"/>
          <w:lang w:val="en-US" w:eastAsia="zh-CN"/>
        </w:rPr>
        <w:t>2</w:t>
      </w:r>
      <w:r>
        <w:rPr>
          <w:rFonts w:hint="default" w:ascii="Times New Roman" w:hAnsi="Times New Roman" w:eastAsia="宋体" w:cs="Times New Roman"/>
          <w:b/>
          <w:bCs w:val="0"/>
          <w:strike w:val="0"/>
          <w:dstrike w:val="0"/>
          <w:color w:val="auto"/>
          <w:sz w:val="24"/>
          <w:szCs w:val="24"/>
          <w:highlight w:val="none"/>
          <w:u w:val="none" w:color="auto"/>
        </w:rPr>
        <w:t>.</w:t>
      </w:r>
      <w:r>
        <w:rPr>
          <w:rFonts w:hint="default" w:ascii="Times New Roman" w:hAnsi="Times New Roman" w:eastAsia="宋体" w:cs="Times New Roman"/>
          <w:b/>
          <w:bCs w:val="0"/>
          <w:strike w:val="0"/>
          <w:dstrike w:val="0"/>
          <w:color w:val="auto"/>
          <w:sz w:val="24"/>
          <w:szCs w:val="24"/>
          <w:highlight w:val="none"/>
          <w:u w:val="none" w:color="auto"/>
          <w:lang w:val="en-US" w:eastAsia="zh-CN"/>
        </w:rPr>
        <w:t>4</w:t>
      </w:r>
      <w:r>
        <w:rPr>
          <w:rFonts w:hint="default" w:ascii="Times New Roman" w:hAnsi="Times New Roman" w:eastAsia="宋体" w:cs="Times New Roman"/>
          <w:b/>
          <w:bCs w:val="0"/>
          <w:strike w:val="0"/>
          <w:dstrike w:val="0"/>
          <w:color w:val="auto"/>
          <w:sz w:val="24"/>
          <w:szCs w:val="24"/>
          <w:highlight w:val="none"/>
          <w:u w:val="none" w:color="auto"/>
        </w:rPr>
        <w:t>.1 排污口规范化管理</w:t>
      </w:r>
      <w:bookmarkEnd w:id="153"/>
    </w:p>
    <w:p w14:paraId="2296093D">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排污口是企业污染物进入环境、污染环境的通道，强化排污口的管理是实施污染物总量控制的基础工作，也是区域环境管理逐步实现污染物排放科学化、定量化的重要手段。本工程排污口应实行规范化设置与管理，具体管理原则如下：</w:t>
      </w:r>
    </w:p>
    <w:p w14:paraId="2057220C">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（1）排污口必须规范化设置，废水排放口建议设置流量计；排污口应便于采样与计量监测，便于日常监督检查，应有观测、取样、维修通道。</w:t>
      </w:r>
    </w:p>
    <w:p w14:paraId="52A7308E">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（2）如实向环保管理部门申报排污口数量、位置及所排放的主要污染物种类、数量、浓度、排放去向等情况。</w:t>
      </w:r>
    </w:p>
    <w:p w14:paraId="0856196D">
      <w:pPr>
        <w:pStyle w:val="4"/>
        <w:widowControl/>
        <w:spacing w:before="0" w:beforeAutospacing="0" w:after="0" w:afterAutospacing="0" w:line="480" w:lineRule="exact"/>
        <w:rPr>
          <w:rFonts w:hint="default" w:ascii="Times New Roman" w:hAnsi="Times New Roman" w:eastAsia="宋体" w:cs="Times New Roman"/>
          <w:b/>
          <w:bCs w:val="0"/>
          <w:strike w:val="0"/>
          <w:dstrike w:val="0"/>
          <w:color w:val="auto"/>
          <w:sz w:val="24"/>
          <w:szCs w:val="24"/>
          <w:highlight w:val="none"/>
          <w:u w:val="none" w:color="auto"/>
        </w:rPr>
      </w:pPr>
      <w:bookmarkStart w:id="154" w:name="_Toc15910"/>
      <w:r>
        <w:rPr>
          <w:rFonts w:hint="default" w:ascii="Times New Roman" w:hAnsi="Times New Roman" w:eastAsia="宋体" w:cs="Times New Roman"/>
          <w:b/>
          <w:bCs w:val="0"/>
          <w:strike w:val="0"/>
          <w:dstrike w:val="0"/>
          <w:color w:val="auto"/>
          <w:sz w:val="24"/>
          <w:szCs w:val="24"/>
          <w:highlight w:val="none"/>
          <w:u w:val="none" w:color="auto"/>
        </w:rPr>
        <w:t>1</w:t>
      </w:r>
      <w:r>
        <w:rPr>
          <w:rFonts w:hint="default" w:ascii="Times New Roman" w:hAnsi="Times New Roman" w:eastAsia="宋体" w:cs="Times New Roman"/>
          <w:b/>
          <w:bCs w:val="0"/>
          <w:strike w:val="0"/>
          <w:dstrike w:val="0"/>
          <w:color w:val="auto"/>
          <w:sz w:val="24"/>
          <w:szCs w:val="24"/>
          <w:highlight w:val="none"/>
          <w:u w:val="none" w:color="auto"/>
          <w:lang w:val="en-US" w:eastAsia="zh-CN"/>
        </w:rPr>
        <w:t>2</w:t>
      </w:r>
      <w:r>
        <w:rPr>
          <w:rFonts w:hint="default" w:ascii="Times New Roman" w:hAnsi="Times New Roman" w:eastAsia="宋体" w:cs="Times New Roman"/>
          <w:b/>
          <w:bCs w:val="0"/>
          <w:strike w:val="0"/>
          <w:dstrike w:val="0"/>
          <w:color w:val="auto"/>
          <w:sz w:val="24"/>
          <w:szCs w:val="24"/>
          <w:highlight w:val="none"/>
          <w:u w:val="none" w:color="auto"/>
        </w:rPr>
        <w:t>.</w:t>
      </w:r>
      <w:r>
        <w:rPr>
          <w:rFonts w:hint="default" w:ascii="Times New Roman" w:hAnsi="Times New Roman" w:eastAsia="宋体" w:cs="Times New Roman"/>
          <w:b/>
          <w:bCs w:val="0"/>
          <w:strike w:val="0"/>
          <w:dstrike w:val="0"/>
          <w:color w:val="auto"/>
          <w:sz w:val="24"/>
          <w:szCs w:val="24"/>
          <w:highlight w:val="none"/>
          <w:u w:val="none" w:color="auto"/>
          <w:lang w:val="en-US" w:eastAsia="zh-CN"/>
        </w:rPr>
        <w:t>4</w:t>
      </w:r>
      <w:r>
        <w:rPr>
          <w:rFonts w:hint="default" w:ascii="Times New Roman" w:hAnsi="Times New Roman" w:eastAsia="宋体" w:cs="Times New Roman"/>
          <w:b/>
          <w:bCs w:val="0"/>
          <w:strike w:val="0"/>
          <w:dstrike w:val="0"/>
          <w:color w:val="auto"/>
          <w:sz w:val="24"/>
          <w:szCs w:val="24"/>
          <w:highlight w:val="none"/>
          <w:u w:val="none" w:color="auto"/>
        </w:rPr>
        <w:t>.2 排污口立标管理</w:t>
      </w:r>
      <w:bookmarkEnd w:id="154"/>
    </w:p>
    <w:p w14:paraId="439C33E7">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项目建设应根据国家《环境保护图形标志》（GB15562.1~2-95）的规定，针对各污染物排放口设置</w:t>
      </w:r>
      <w:r>
        <w:rPr>
          <w:rFonts w:hint="eastAsia" w:ascii="Times New Roman" w:hAnsi="Times New Roman" w:eastAsia="宋体" w:cs="Times New Roman"/>
          <w:strike w:val="0"/>
          <w:dstrike w:val="0"/>
          <w:color w:val="auto"/>
          <w:kern w:val="0"/>
          <w:sz w:val="24"/>
          <w:szCs w:val="24"/>
          <w:highlight w:val="none"/>
          <w:u w:val="none" w:color="auto"/>
          <w:lang w:val="en-US" w:eastAsia="zh-CN" w:bidi="ar"/>
        </w:rPr>
        <w:t>生态环境部</w:t>
      </w:r>
      <w:r>
        <w:rPr>
          <w:rFonts w:hint="default" w:ascii="Times New Roman" w:hAnsi="Times New Roman" w:eastAsia="宋体" w:cs="Times New Roman"/>
          <w:strike w:val="0"/>
          <w:dstrike w:val="0"/>
          <w:color w:val="auto"/>
          <w:kern w:val="0"/>
          <w:sz w:val="24"/>
          <w:szCs w:val="24"/>
          <w:highlight w:val="none"/>
          <w:u w:val="none" w:color="auto"/>
          <w:lang w:val="en-US" w:eastAsia="zh-CN" w:bidi="ar"/>
        </w:rPr>
        <w:t>统一制作的环境保护图形标志牌，并应注意以下几点：</w:t>
      </w:r>
    </w:p>
    <w:p w14:paraId="66763AD1">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（1）排污口的环保图形标志牌应设置在靠近采样点的醒目处，标志牌设置高度为其上边缘距离地面约2米。</w:t>
      </w:r>
    </w:p>
    <w:p w14:paraId="4FFED7A2">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（2）排污口和固体废物仓库以设置方形标志牌为主，亦可根据情况设置立面或平面固定式标志牌。</w:t>
      </w:r>
    </w:p>
    <w:p w14:paraId="39338FC2">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（3）废水排放口和固体废物库，应设置提示性环境保护图形标志牌，详见表12.4-1。</w:t>
      </w:r>
    </w:p>
    <w:p w14:paraId="290CE65B">
      <w:pPr>
        <w:keepNext w:val="0"/>
        <w:keepLines w:val="0"/>
        <w:widowControl w:val="0"/>
        <w:suppressLineNumbers w:val="0"/>
        <w:autoSpaceDE w:val="0"/>
        <w:autoSpaceDN w:val="0"/>
        <w:adjustRightInd w:val="0"/>
        <w:snapToGrid w:val="0"/>
        <w:spacing w:before="120" w:beforeLines="50" w:beforeAutospacing="0" w:after="0" w:afterAutospacing="0" w:line="268" w:lineRule="auto"/>
        <w:ind w:left="0" w:right="0" w:firstLine="422" w:firstLineChars="200"/>
        <w:jc w:val="center"/>
        <w:rPr>
          <w:rFonts w:hint="default" w:ascii="Times New Roman" w:hAnsi="Times New Roman" w:eastAsia="宋体" w:cs="Times New Roman"/>
          <w:b/>
          <w:bCs w:val="0"/>
          <w:strike w:val="0"/>
          <w:dstrike w:val="0"/>
          <w:color w:val="auto"/>
          <w:sz w:val="21"/>
          <w:szCs w:val="21"/>
          <w:highlight w:val="none"/>
          <w:u w:val="none" w:color="auto"/>
        </w:rPr>
      </w:pPr>
      <w:r>
        <w:rPr>
          <w:rFonts w:hint="default" w:ascii="Times New Roman" w:hAnsi="Times New Roman" w:eastAsia="宋体" w:cs="Times New Roman"/>
          <w:b/>
          <w:bCs w:val="0"/>
          <w:strike w:val="0"/>
          <w:dstrike w:val="0"/>
          <w:color w:val="auto"/>
          <w:kern w:val="0"/>
          <w:sz w:val="21"/>
          <w:szCs w:val="21"/>
          <w:highlight w:val="none"/>
          <w:u w:val="none" w:color="auto"/>
          <w:lang w:val="en-US" w:eastAsia="zh-CN" w:bidi="ar"/>
        </w:rPr>
        <w:t>表12.4-1   环境保护图形符号一览表</w:t>
      </w:r>
    </w:p>
    <w:tbl>
      <w:tblPr>
        <w:tblStyle w:val="22"/>
        <w:tblW w:w="855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77"/>
        <w:gridCol w:w="1902"/>
        <w:gridCol w:w="2080"/>
        <w:gridCol w:w="1566"/>
        <w:gridCol w:w="2333"/>
      </w:tblGrid>
      <w:tr w14:paraId="10B6A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19" w:hRule="atLeast"/>
        </w:trPr>
        <w:tc>
          <w:tcPr>
            <w:tcW w:w="677" w:type="dxa"/>
            <w:tcBorders>
              <w:top w:val="single" w:color="auto" w:sz="12" w:space="0"/>
              <w:left w:val="single" w:color="auto" w:sz="12" w:space="0"/>
              <w:bottom w:val="single" w:color="auto" w:sz="6" w:space="0"/>
              <w:right w:val="single" w:color="auto" w:sz="6" w:space="0"/>
            </w:tcBorders>
            <w:shd w:val="clear" w:color="auto" w:fill="auto"/>
            <w:vAlign w:val="center"/>
          </w:tcPr>
          <w:p w14:paraId="588A30FF">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strike w:val="0"/>
                <w:dstrike w:val="0"/>
                <w:color w:val="auto"/>
                <w:sz w:val="21"/>
                <w:szCs w:val="21"/>
                <w:highlight w:val="none"/>
                <w:u w:val="none" w:color="auto"/>
              </w:rPr>
            </w:pPr>
            <w:r>
              <w:rPr>
                <w:rFonts w:hint="default" w:ascii="Times New Roman" w:hAnsi="Times New Roman" w:eastAsia="宋体" w:cs="Times New Roman"/>
                <w:b/>
                <w:bCs/>
                <w:strike w:val="0"/>
                <w:dstrike w:val="0"/>
                <w:color w:val="auto"/>
                <w:kern w:val="0"/>
                <w:sz w:val="21"/>
                <w:szCs w:val="21"/>
                <w:highlight w:val="none"/>
                <w:u w:val="none" w:color="auto"/>
                <w:lang w:val="en-US" w:eastAsia="zh-CN" w:bidi="ar"/>
              </w:rPr>
              <w:t>序号</w:t>
            </w:r>
          </w:p>
        </w:tc>
        <w:tc>
          <w:tcPr>
            <w:tcW w:w="1902" w:type="dxa"/>
            <w:tcBorders>
              <w:top w:val="single" w:color="auto" w:sz="12" w:space="0"/>
              <w:left w:val="single" w:color="auto" w:sz="6" w:space="0"/>
              <w:bottom w:val="single" w:color="auto" w:sz="6" w:space="0"/>
              <w:right w:val="single" w:color="auto" w:sz="6" w:space="0"/>
            </w:tcBorders>
            <w:shd w:val="clear" w:color="auto" w:fill="auto"/>
            <w:vAlign w:val="center"/>
          </w:tcPr>
          <w:p w14:paraId="18780AB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strike w:val="0"/>
                <w:dstrike w:val="0"/>
                <w:color w:val="auto"/>
                <w:sz w:val="21"/>
                <w:szCs w:val="21"/>
                <w:highlight w:val="none"/>
                <w:u w:val="none" w:color="auto"/>
              </w:rPr>
            </w:pPr>
            <w:r>
              <w:rPr>
                <w:rFonts w:hint="default" w:ascii="Times New Roman" w:hAnsi="Times New Roman" w:eastAsia="宋体" w:cs="Times New Roman"/>
                <w:b/>
                <w:bCs/>
                <w:strike w:val="0"/>
                <w:dstrike w:val="0"/>
                <w:color w:val="auto"/>
                <w:kern w:val="0"/>
                <w:sz w:val="21"/>
                <w:szCs w:val="21"/>
                <w:highlight w:val="none"/>
                <w:u w:val="none" w:color="auto"/>
                <w:lang w:val="en-US" w:eastAsia="zh-CN" w:bidi="ar"/>
              </w:rPr>
              <w:t>提示图形符号</w:t>
            </w:r>
          </w:p>
        </w:tc>
        <w:tc>
          <w:tcPr>
            <w:tcW w:w="2080" w:type="dxa"/>
            <w:tcBorders>
              <w:top w:val="single" w:color="auto" w:sz="12" w:space="0"/>
              <w:left w:val="single" w:color="auto" w:sz="6" w:space="0"/>
              <w:bottom w:val="single" w:color="auto" w:sz="6" w:space="0"/>
              <w:right w:val="single" w:color="auto" w:sz="6" w:space="0"/>
            </w:tcBorders>
            <w:shd w:val="clear" w:color="auto" w:fill="auto"/>
            <w:vAlign w:val="center"/>
          </w:tcPr>
          <w:p w14:paraId="37B7233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strike w:val="0"/>
                <w:dstrike w:val="0"/>
                <w:color w:val="auto"/>
                <w:sz w:val="21"/>
                <w:szCs w:val="21"/>
                <w:highlight w:val="none"/>
                <w:u w:val="none" w:color="auto"/>
              </w:rPr>
            </w:pPr>
            <w:r>
              <w:rPr>
                <w:rFonts w:hint="default" w:ascii="Times New Roman" w:hAnsi="Times New Roman" w:eastAsia="宋体" w:cs="Times New Roman"/>
                <w:b/>
                <w:bCs/>
                <w:strike w:val="0"/>
                <w:dstrike w:val="0"/>
                <w:color w:val="auto"/>
                <w:kern w:val="0"/>
                <w:sz w:val="21"/>
                <w:szCs w:val="21"/>
                <w:highlight w:val="none"/>
                <w:u w:val="none" w:color="auto"/>
                <w:lang w:val="en-US" w:eastAsia="zh-CN" w:bidi="ar"/>
              </w:rPr>
              <w:t>警告图形符号</w:t>
            </w:r>
          </w:p>
        </w:tc>
        <w:tc>
          <w:tcPr>
            <w:tcW w:w="1566" w:type="dxa"/>
            <w:tcBorders>
              <w:top w:val="single" w:color="auto" w:sz="12" w:space="0"/>
              <w:left w:val="single" w:color="auto" w:sz="6" w:space="0"/>
              <w:bottom w:val="single" w:color="auto" w:sz="6" w:space="0"/>
              <w:right w:val="single" w:color="auto" w:sz="6" w:space="0"/>
            </w:tcBorders>
            <w:shd w:val="clear" w:color="auto" w:fill="auto"/>
            <w:vAlign w:val="center"/>
          </w:tcPr>
          <w:p w14:paraId="0E2118A3">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strike w:val="0"/>
                <w:dstrike w:val="0"/>
                <w:color w:val="auto"/>
                <w:sz w:val="21"/>
                <w:szCs w:val="21"/>
                <w:highlight w:val="none"/>
                <w:u w:val="none" w:color="auto"/>
              </w:rPr>
            </w:pPr>
            <w:r>
              <w:rPr>
                <w:rFonts w:hint="default" w:ascii="Times New Roman" w:hAnsi="Times New Roman" w:eastAsia="宋体" w:cs="Times New Roman"/>
                <w:b/>
                <w:bCs/>
                <w:strike w:val="0"/>
                <w:dstrike w:val="0"/>
                <w:color w:val="auto"/>
                <w:kern w:val="0"/>
                <w:sz w:val="21"/>
                <w:szCs w:val="21"/>
                <w:highlight w:val="none"/>
                <w:u w:val="none" w:color="auto"/>
                <w:lang w:val="en-US" w:eastAsia="zh-CN" w:bidi="ar"/>
              </w:rPr>
              <w:t>名称</w:t>
            </w:r>
          </w:p>
        </w:tc>
        <w:tc>
          <w:tcPr>
            <w:tcW w:w="2333" w:type="dxa"/>
            <w:tcBorders>
              <w:top w:val="single" w:color="auto" w:sz="12" w:space="0"/>
              <w:left w:val="single" w:color="auto" w:sz="6" w:space="0"/>
              <w:bottom w:val="single" w:color="auto" w:sz="6" w:space="0"/>
              <w:right w:val="single" w:color="auto" w:sz="12" w:space="0"/>
            </w:tcBorders>
            <w:shd w:val="clear" w:color="auto" w:fill="auto"/>
            <w:vAlign w:val="center"/>
          </w:tcPr>
          <w:p w14:paraId="13C61BA8">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strike w:val="0"/>
                <w:dstrike w:val="0"/>
                <w:color w:val="auto"/>
                <w:sz w:val="21"/>
                <w:szCs w:val="21"/>
                <w:highlight w:val="none"/>
                <w:u w:val="none" w:color="auto"/>
              </w:rPr>
            </w:pPr>
            <w:r>
              <w:rPr>
                <w:rFonts w:hint="default" w:ascii="Times New Roman" w:hAnsi="Times New Roman" w:eastAsia="宋体" w:cs="Times New Roman"/>
                <w:b/>
                <w:bCs/>
                <w:strike w:val="0"/>
                <w:dstrike w:val="0"/>
                <w:color w:val="auto"/>
                <w:kern w:val="0"/>
                <w:sz w:val="21"/>
                <w:szCs w:val="21"/>
                <w:highlight w:val="none"/>
                <w:u w:val="none" w:color="auto"/>
                <w:lang w:val="en-US" w:eastAsia="zh-CN" w:bidi="ar"/>
              </w:rPr>
              <w:t>功能</w:t>
            </w:r>
          </w:p>
        </w:tc>
      </w:tr>
      <w:tr w14:paraId="72753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33" w:hRule="atLeast"/>
        </w:trPr>
        <w:tc>
          <w:tcPr>
            <w:tcW w:w="677" w:type="dxa"/>
            <w:tcBorders>
              <w:top w:val="single" w:color="auto" w:sz="6" w:space="0"/>
              <w:left w:val="single" w:color="auto" w:sz="12" w:space="0"/>
              <w:bottom w:val="single" w:color="auto" w:sz="6" w:space="0"/>
              <w:right w:val="single" w:color="auto" w:sz="6" w:space="0"/>
            </w:tcBorders>
            <w:shd w:val="clear" w:color="auto" w:fill="auto"/>
            <w:vAlign w:val="center"/>
          </w:tcPr>
          <w:p w14:paraId="1DC4D08A">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1</w:t>
            </w:r>
          </w:p>
        </w:tc>
        <w:tc>
          <w:tcPr>
            <w:tcW w:w="1902" w:type="dxa"/>
            <w:tcBorders>
              <w:top w:val="single" w:color="auto" w:sz="6" w:space="0"/>
              <w:left w:val="single" w:color="auto" w:sz="6" w:space="0"/>
              <w:bottom w:val="single" w:color="auto" w:sz="6" w:space="0"/>
              <w:right w:val="single" w:color="auto" w:sz="6" w:space="0"/>
            </w:tcBorders>
            <w:shd w:val="clear" w:color="auto" w:fill="auto"/>
            <w:vAlign w:val="center"/>
          </w:tcPr>
          <w:p w14:paraId="2AAAA560">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drawing>
                <wp:inline distT="0" distB="0" distL="114300" distR="114300">
                  <wp:extent cx="1066800" cy="1066800"/>
                  <wp:effectExtent l="0" t="0" r="0" b="0"/>
                  <wp:docPr id="7"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IMG_256"/>
                          <pic:cNvPicPr>
                            <a:picLocks noChangeAspect="1"/>
                          </pic:cNvPicPr>
                        </pic:nvPicPr>
                        <pic:blipFill>
                          <a:blip r:embed="rId69"/>
                          <a:stretch>
                            <a:fillRect/>
                          </a:stretch>
                        </pic:blipFill>
                        <pic:spPr>
                          <a:xfrm>
                            <a:off x="0" y="0"/>
                            <a:ext cx="1066800" cy="1066800"/>
                          </a:xfrm>
                          <a:prstGeom prst="rect">
                            <a:avLst/>
                          </a:prstGeom>
                          <a:noFill/>
                          <a:ln w="9525">
                            <a:noFill/>
                          </a:ln>
                        </pic:spPr>
                      </pic:pic>
                    </a:graphicData>
                  </a:graphic>
                </wp:inline>
              </w:drawing>
            </w:r>
          </w:p>
        </w:tc>
        <w:tc>
          <w:tcPr>
            <w:tcW w:w="2080" w:type="dxa"/>
            <w:tcBorders>
              <w:top w:val="single" w:color="auto" w:sz="6" w:space="0"/>
              <w:left w:val="single" w:color="auto" w:sz="6" w:space="0"/>
              <w:bottom w:val="single" w:color="auto" w:sz="6" w:space="0"/>
              <w:right w:val="single" w:color="auto" w:sz="6" w:space="0"/>
            </w:tcBorders>
            <w:shd w:val="clear" w:color="auto" w:fill="auto"/>
            <w:vAlign w:val="center"/>
          </w:tcPr>
          <w:p w14:paraId="2BABB0E4">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drawing>
                <wp:inline distT="0" distB="0" distL="114300" distR="114300">
                  <wp:extent cx="1181100" cy="1057275"/>
                  <wp:effectExtent l="0" t="0" r="0" b="9525"/>
                  <wp:docPr id="2" name="图片 3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IMG_257"/>
                          <pic:cNvPicPr>
                            <a:picLocks noChangeAspect="1"/>
                          </pic:cNvPicPr>
                        </pic:nvPicPr>
                        <pic:blipFill>
                          <a:blip r:embed="rId70"/>
                          <a:stretch>
                            <a:fillRect/>
                          </a:stretch>
                        </pic:blipFill>
                        <pic:spPr>
                          <a:xfrm>
                            <a:off x="0" y="0"/>
                            <a:ext cx="1181100" cy="1057275"/>
                          </a:xfrm>
                          <a:prstGeom prst="rect">
                            <a:avLst/>
                          </a:prstGeom>
                          <a:noFill/>
                          <a:ln w="9525">
                            <a:noFill/>
                          </a:ln>
                        </pic:spPr>
                      </pic:pic>
                    </a:graphicData>
                  </a:graphic>
                </wp:inline>
              </w:drawing>
            </w:r>
          </w:p>
        </w:tc>
        <w:tc>
          <w:tcPr>
            <w:tcW w:w="1566" w:type="dxa"/>
            <w:tcBorders>
              <w:top w:val="single" w:color="auto" w:sz="6" w:space="0"/>
              <w:left w:val="single" w:color="auto" w:sz="6" w:space="0"/>
              <w:bottom w:val="single" w:color="auto" w:sz="6" w:space="0"/>
              <w:right w:val="single" w:color="auto" w:sz="6" w:space="0"/>
            </w:tcBorders>
            <w:shd w:val="clear" w:color="auto" w:fill="auto"/>
            <w:vAlign w:val="center"/>
          </w:tcPr>
          <w:p w14:paraId="69E5BB56">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废水排放口</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521185FD">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表示污水向水体排放</w:t>
            </w:r>
          </w:p>
        </w:tc>
      </w:tr>
      <w:tr w14:paraId="027795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819" w:hRule="atLeast"/>
        </w:trPr>
        <w:tc>
          <w:tcPr>
            <w:tcW w:w="677" w:type="dxa"/>
            <w:tcBorders>
              <w:top w:val="single" w:color="auto" w:sz="6" w:space="0"/>
              <w:left w:val="single" w:color="auto" w:sz="12" w:space="0"/>
              <w:bottom w:val="single" w:color="auto" w:sz="6" w:space="0"/>
              <w:right w:val="single" w:color="auto" w:sz="6" w:space="0"/>
            </w:tcBorders>
            <w:shd w:val="clear" w:color="auto" w:fill="auto"/>
            <w:vAlign w:val="center"/>
          </w:tcPr>
          <w:p w14:paraId="09EB692D">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2</w:t>
            </w:r>
          </w:p>
        </w:tc>
        <w:tc>
          <w:tcPr>
            <w:tcW w:w="1902" w:type="dxa"/>
            <w:tcBorders>
              <w:top w:val="single" w:color="auto" w:sz="6" w:space="0"/>
              <w:left w:val="single" w:color="auto" w:sz="6" w:space="0"/>
              <w:bottom w:val="single" w:color="auto" w:sz="6" w:space="0"/>
              <w:right w:val="single" w:color="auto" w:sz="6" w:space="0"/>
            </w:tcBorders>
            <w:shd w:val="clear" w:color="auto" w:fill="auto"/>
            <w:vAlign w:val="center"/>
          </w:tcPr>
          <w:p w14:paraId="228F4048">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drawing>
                <wp:inline distT="0" distB="0" distL="114300" distR="114300">
                  <wp:extent cx="1066800" cy="1095375"/>
                  <wp:effectExtent l="0" t="0" r="0" b="9525"/>
                  <wp:docPr id="23"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descr="IMG_258"/>
                          <pic:cNvPicPr>
                            <a:picLocks noChangeAspect="1"/>
                          </pic:cNvPicPr>
                        </pic:nvPicPr>
                        <pic:blipFill>
                          <a:blip r:embed="rId71"/>
                          <a:stretch>
                            <a:fillRect/>
                          </a:stretch>
                        </pic:blipFill>
                        <pic:spPr>
                          <a:xfrm>
                            <a:off x="0" y="0"/>
                            <a:ext cx="1066800" cy="1095375"/>
                          </a:xfrm>
                          <a:prstGeom prst="rect">
                            <a:avLst/>
                          </a:prstGeom>
                          <a:noFill/>
                          <a:ln w="9525">
                            <a:noFill/>
                          </a:ln>
                        </pic:spPr>
                      </pic:pic>
                    </a:graphicData>
                  </a:graphic>
                </wp:inline>
              </w:drawing>
            </w:r>
          </w:p>
        </w:tc>
        <w:tc>
          <w:tcPr>
            <w:tcW w:w="2080" w:type="dxa"/>
            <w:tcBorders>
              <w:top w:val="single" w:color="auto" w:sz="6" w:space="0"/>
              <w:left w:val="single" w:color="auto" w:sz="6" w:space="0"/>
              <w:bottom w:val="single" w:color="auto" w:sz="6" w:space="0"/>
              <w:right w:val="single" w:color="auto" w:sz="6" w:space="0"/>
            </w:tcBorders>
            <w:shd w:val="clear" w:color="auto" w:fill="auto"/>
            <w:vAlign w:val="center"/>
          </w:tcPr>
          <w:p w14:paraId="6525360B">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drawing>
                <wp:inline distT="0" distB="0" distL="114300" distR="114300">
                  <wp:extent cx="1114425" cy="1123950"/>
                  <wp:effectExtent l="0" t="0" r="9525" b="0"/>
                  <wp:docPr id="24" name="图片 3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descr="IMG_259"/>
                          <pic:cNvPicPr>
                            <a:picLocks noChangeAspect="1"/>
                          </pic:cNvPicPr>
                        </pic:nvPicPr>
                        <pic:blipFill>
                          <a:blip r:embed="rId72"/>
                          <a:stretch>
                            <a:fillRect/>
                          </a:stretch>
                        </pic:blipFill>
                        <pic:spPr>
                          <a:xfrm>
                            <a:off x="0" y="0"/>
                            <a:ext cx="1114425" cy="1123950"/>
                          </a:xfrm>
                          <a:prstGeom prst="rect">
                            <a:avLst/>
                          </a:prstGeom>
                          <a:noFill/>
                          <a:ln w="9525">
                            <a:noFill/>
                          </a:ln>
                        </pic:spPr>
                      </pic:pic>
                    </a:graphicData>
                  </a:graphic>
                </wp:inline>
              </w:drawing>
            </w:r>
          </w:p>
        </w:tc>
        <w:tc>
          <w:tcPr>
            <w:tcW w:w="1566" w:type="dxa"/>
            <w:tcBorders>
              <w:top w:val="single" w:color="auto" w:sz="6" w:space="0"/>
              <w:left w:val="single" w:color="auto" w:sz="6" w:space="0"/>
              <w:bottom w:val="single" w:color="auto" w:sz="6" w:space="0"/>
              <w:right w:val="single" w:color="auto" w:sz="6" w:space="0"/>
            </w:tcBorders>
            <w:shd w:val="clear" w:color="auto" w:fill="auto"/>
            <w:vAlign w:val="center"/>
          </w:tcPr>
          <w:p w14:paraId="55A5BA30">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废气排放口</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0E71DA11">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表示废气向大气环境排放</w:t>
            </w:r>
          </w:p>
        </w:tc>
      </w:tr>
      <w:tr w14:paraId="14102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33" w:hRule="atLeast"/>
        </w:trPr>
        <w:tc>
          <w:tcPr>
            <w:tcW w:w="677" w:type="dxa"/>
            <w:tcBorders>
              <w:top w:val="single" w:color="auto" w:sz="6" w:space="0"/>
              <w:left w:val="single" w:color="auto" w:sz="12" w:space="0"/>
              <w:bottom w:val="single" w:color="auto" w:sz="6" w:space="0"/>
              <w:right w:val="single" w:color="auto" w:sz="6" w:space="0"/>
            </w:tcBorders>
            <w:shd w:val="clear" w:color="auto" w:fill="auto"/>
            <w:vAlign w:val="center"/>
          </w:tcPr>
          <w:p w14:paraId="6883CA53">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3</w:t>
            </w:r>
          </w:p>
        </w:tc>
        <w:tc>
          <w:tcPr>
            <w:tcW w:w="1902" w:type="dxa"/>
            <w:tcBorders>
              <w:top w:val="single" w:color="auto" w:sz="6" w:space="0"/>
              <w:left w:val="single" w:color="auto" w:sz="6" w:space="0"/>
              <w:bottom w:val="single" w:color="auto" w:sz="6" w:space="0"/>
              <w:right w:val="single" w:color="auto" w:sz="6" w:space="0"/>
            </w:tcBorders>
            <w:shd w:val="clear" w:color="auto" w:fill="auto"/>
            <w:vAlign w:val="center"/>
          </w:tcPr>
          <w:p w14:paraId="12384B52">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drawing>
                <wp:inline distT="0" distB="0" distL="114300" distR="114300">
                  <wp:extent cx="1066800" cy="1066800"/>
                  <wp:effectExtent l="0" t="0" r="0" b="0"/>
                  <wp:docPr id="25" name="图片 3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 descr="IMG_260"/>
                          <pic:cNvPicPr>
                            <a:picLocks noChangeAspect="1"/>
                          </pic:cNvPicPr>
                        </pic:nvPicPr>
                        <pic:blipFill>
                          <a:blip r:embed="rId73"/>
                          <a:stretch>
                            <a:fillRect/>
                          </a:stretch>
                        </pic:blipFill>
                        <pic:spPr>
                          <a:xfrm>
                            <a:off x="0" y="0"/>
                            <a:ext cx="1066800" cy="1066800"/>
                          </a:xfrm>
                          <a:prstGeom prst="rect">
                            <a:avLst/>
                          </a:prstGeom>
                          <a:noFill/>
                          <a:ln w="9525">
                            <a:noFill/>
                          </a:ln>
                        </pic:spPr>
                      </pic:pic>
                    </a:graphicData>
                  </a:graphic>
                </wp:inline>
              </w:drawing>
            </w:r>
          </w:p>
        </w:tc>
        <w:tc>
          <w:tcPr>
            <w:tcW w:w="2080" w:type="dxa"/>
            <w:tcBorders>
              <w:top w:val="single" w:color="auto" w:sz="6" w:space="0"/>
              <w:left w:val="single" w:color="auto" w:sz="6" w:space="0"/>
              <w:bottom w:val="single" w:color="auto" w:sz="6" w:space="0"/>
              <w:right w:val="single" w:color="auto" w:sz="6" w:space="0"/>
            </w:tcBorders>
            <w:shd w:val="clear" w:color="auto" w:fill="auto"/>
            <w:vAlign w:val="center"/>
          </w:tcPr>
          <w:p w14:paraId="05ADE30D">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drawing>
                <wp:inline distT="0" distB="0" distL="114300" distR="114300">
                  <wp:extent cx="1209675" cy="1066800"/>
                  <wp:effectExtent l="0" t="0" r="9525" b="0"/>
                  <wp:docPr id="26" name="图片 3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descr="IMG_261"/>
                          <pic:cNvPicPr>
                            <a:picLocks noChangeAspect="1"/>
                          </pic:cNvPicPr>
                        </pic:nvPicPr>
                        <pic:blipFill>
                          <a:blip r:embed="rId74"/>
                          <a:stretch>
                            <a:fillRect/>
                          </a:stretch>
                        </pic:blipFill>
                        <pic:spPr>
                          <a:xfrm>
                            <a:off x="0" y="0"/>
                            <a:ext cx="1209675" cy="1066800"/>
                          </a:xfrm>
                          <a:prstGeom prst="rect">
                            <a:avLst/>
                          </a:prstGeom>
                          <a:noFill/>
                          <a:ln w="9525">
                            <a:noFill/>
                          </a:ln>
                        </pic:spPr>
                      </pic:pic>
                    </a:graphicData>
                  </a:graphic>
                </wp:inline>
              </w:drawing>
            </w:r>
          </w:p>
        </w:tc>
        <w:tc>
          <w:tcPr>
            <w:tcW w:w="1566" w:type="dxa"/>
            <w:tcBorders>
              <w:top w:val="single" w:color="auto" w:sz="6" w:space="0"/>
              <w:left w:val="single" w:color="auto" w:sz="6" w:space="0"/>
              <w:bottom w:val="single" w:color="auto" w:sz="6" w:space="0"/>
              <w:right w:val="single" w:color="auto" w:sz="6" w:space="0"/>
            </w:tcBorders>
            <w:shd w:val="clear" w:color="auto" w:fill="auto"/>
            <w:vAlign w:val="center"/>
          </w:tcPr>
          <w:p w14:paraId="0C555ED4">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噪声排放源</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6304F59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表示噪声向外环境排放</w:t>
            </w:r>
          </w:p>
        </w:tc>
      </w:tr>
      <w:tr w14:paraId="3F4CF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90" w:hRule="atLeast"/>
        </w:trPr>
        <w:tc>
          <w:tcPr>
            <w:tcW w:w="677" w:type="dxa"/>
            <w:vMerge w:val="restart"/>
            <w:tcBorders>
              <w:top w:val="single" w:color="auto" w:sz="6" w:space="0"/>
              <w:left w:val="single" w:color="auto" w:sz="12" w:space="0"/>
              <w:bottom w:val="single" w:color="auto" w:sz="6" w:space="0"/>
              <w:right w:val="single" w:color="auto" w:sz="6" w:space="0"/>
            </w:tcBorders>
            <w:shd w:val="clear" w:color="auto" w:fill="auto"/>
            <w:vAlign w:val="center"/>
          </w:tcPr>
          <w:p w14:paraId="6C953DFA">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4</w:t>
            </w:r>
          </w:p>
        </w:tc>
        <w:tc>
          <w:tcPr>
            <w:tcW w:w="1902"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2CA42BB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drawing>
                <wp:inline distT="0" distB="0" distL="114300" distR="114300">
                  <wp:extent cx="1066800" cy="1076325"/>
                  <wp:effectExtent l="0" t="0" r="0" b="9525"/>
                  <wp:docPr id="27" name="图片 3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9" descr="IMG_262"/>
                          <pic:cNvPicPr>
                            <a:picLocks noChangeAspect="1"/>
                          </pic:cNvPicPr>
                        </pic:nvPicPr>
                        <pic:blipFill>
                          <a:blip r:embed="rId75"/>
                          <a:stretch>
                            <a:fillRect/>
                          </a:stretch>
                        </pic:blipFill>
                        <pic:spPr>
                          <a:xfrm>
                            <a:off x="0" y="0"/>
                            <a:ext cx="1066800" cy="1076325"/>
                          </a:xfrm>
                          <a:prstGeom prst="rect">
                            <a:avLst/>
                          </a:prstGeom>
                          <a:noFill/>
                          <a:ln w="9525">
                            <a:noFill/>
                          </a:ln>
                        </pic:spPr>
                      </pic:pic>
                    </a:graphicData>
                  </a:graphic>
                </wp:inline>
              </w:drawing>
            </w:r>
          </w:p>
        </w:tc>
        <w:tc>
          <w:tcPr>
            <w:tcW w:w="2080" w:type="dxa"/>
            <w:tcBorders>
              <w:top w:val="single" w:color="auto" w:sz="6" w:space="0"/>
              <w:left w:val="single" w:color="auto" w:sz="6" w:space="0"/>
              <w:bottom w:val="single" w:color="auto" w:sz="6" w:space="0"/>
              <w:right w:val="single" w:color="auto" w:sz="6" w:space="0"/>
            </w:tcBorders>
            <w:shd w:val="clear" w:color="auto" w:fill="auto"/>
            <w:vAlign w:val="center"/>
          </w:tcPr>
          <w:p w14:paraId="42F16306">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drawing>
                <wp:inline distT="0" distB="0" distL="114300" distR="114300">
                  <wp:extent cx="1162050" cy="1095375"/>
                  <wp:effectExtent l="0" t="0" r="0" b="9525"/>
                  <wp:docPr id="28"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0" descr="IMG_263"/>
                          <pic:cNvPicPr>
                            <a:picLocks noChangeAspect="1"/>
                          </pic:cNvPicPr>
                        </pic:nvPicPr>
                        <pic:blipFill>
                          <a:blip r:embed="rId76"/>
                          <a:stretch>
                            <a:fillRect/>
                          </a:stretch>
                        </pic:blipFill>
                        <pic:spPr>
                          <a:xfrm>
                            <a:off x="0" y="0"/>
                            <a:ext cx="1162050" cy="1095375"/>
                          </a:xfrm>
                          <a:prstGeom prst="rect">
                            <a:avLst/>
                          </a:prstGeom>
                          <a:noFill/>
                          <a:ln w="9525">
                            <a:noFill/>
                          </a:ln>
                        </pic:spPr>
                      </pic:pic>
                    </a:graphicData>
                  </a:graphic>
                </wp:inline>
              </w:drawing>
            </w:r>
          </w:p>
        </w:tc>
        <w:tc>
          <w:tcPr>
            <w:tcW w:w="1566" w:type="dxa"/>
            <w:tcBorders>
              <w:top w:val="single" w:color="auto" w:sz="6" w:space="0"/>
              <w:left w:val="single" w:color="auto" w:sz="6" w:space="0"/>
              <w:bottom w:val="single" w:color="auto" w:sz="6" w:space="0"/>
              <w:right w:val="single" w:color="auto" w:sz="6" w:space="0"/>
            </w:tcBorders>
            <w:shd w:val="clear" w:color="auto" w:fill="auto"/>
            <w:vAlign w:val="center"/>
          </w:tcPr>
          <w:p w14:paraId="3B9AC9EB">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一般固体废物</w:t>
            </w:r>
          </w:p>
        </w:tc>
        <w:tc>
          <w:tcPr>
            <w:tcW w:w="2333" w:type="dxa"/>
            <w:tcBorders>
              <w:top w:val="single" w:color="auto" w:sz="6" w:space="0"/>
              <w:left w:val="single" w:color="auto" w:sz="6" w:space="0"/>
              <w:bottom w:val="single" w:color="auto" w:sz="6" w:space="0"/>
              <w:right w:val="single" w:color="auto" w:sz="12" w:space="0"/>
            </w:tcBorders>
            <w:shd w:val="clear" w:color="auto" w:fill="auto"/>
            <w:vAlign w:val="center"/>
          </w:tcPr>
          <w:p w14:paraId="371EB296">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表示一般固体废物贮存、处置场</w:t>
            </w:r>
          </w:p>
        </w:tc>
      </w:tr>
      <w:tr w14:paraId="09A335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04" w:hRule="atLeast"/>
        </w:trPr>
        <w:tc>
          <w:tcPr>
            <w:tcW w:w="677" w:type="dxa"/>
            <w:vMerge w:val="continue"/>
            <w:tcBorders>
              <w:top w:val="single" w:color="auto" w:sz="6" w:space="0"/>
              <w:left w:val="single" w:color="auto" w:sz="12" w:space="0"/>
              <w:bottom w:val="single" w:color="auto" w:sz="6" w:space="0"/>
              <w:right w:val="single" w:color="auto" w:sz="6" w:space="0"/>
            </w:tcBorders>
            <w:shd w:val="clear" w:color="auto" w:fill="auto"/>
            <w:vAlign w:val="center"/>
          </w:tcPr>
          <w:p w14:paraId="67931D6F">
            <w:pPr>
              <w:rPr>
                <w:rFonts w:hint="default" w:ascii="Times New Roman" w:hAnsi="Times New Roman" w:eastAsia="宋体" w:cs="Times New Roman"/>
                <w:strike w:val="0"/>
                <w:dstrike w:val="0"/>
                <w:color w:val="auto"/>
                <w:sz w:val="20"/>
                <w:szCs w:val="20"/>
                <w:highlight w:val="none"/>
                <w:u w:val="none" w:color="auto"/>
              </w:rPr>
            </w:pPr>
          </w:p>
        </w:tc>
        <w:tc>
          <w:tcPr>
            <w:tcW w:w="1902"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C2E30E6">
            <w:pPr>
              <w:rPr>
                <w:rFonts w:hint="default" w:ascii="Times New Roman" w:hAnsi="Times New Roman" w:eastAsia="宋体" w:cs="Times New Roman"/>
                <w:strike w:val="0"/>
                <w:dstrike w:val="0"/>
                <w:color w:val="auto"/>
                <w:sz w:val="20"/>
                <w:szCs w:val="20"/>
                <w:highlight w:val="none"/>
                <w:u w:val="none" w:color="auto"/>
              </w:rPr>
            </w:pPr>
          </w:p>
        </w:tc>
        <w:tc>
          <w:tcPr>
            <w:tcW w:w="2080" w:type="dxa"/>
            <w:tcBorders>
              <w:top w:val="single" w:color="auto" w:sz="6" w:space="0"/>
              <w:left w:val="single" w:color="auto" w:sz="6" w:space="0"/>
              <w:bottom w:val="single" w:color="auto" w:sz="12" w:space="0"/>
              <w:right w:val="single" w:color="auto" w:sz="6" w:space="0"/>
            </w:tcBorders>
            <w:shd w:val="clear" w:color="auto" w:fill="auto"/>
            <w:vAlign w:val="center"/>
          </w:tcPr>
          <w:p w14:paraId="46A9C720">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drawing>
                <wp:inline distT="0" distB="0" distL="114300" distR="114300">
                  <wp:extent cx="1171575" cy="1028700"/>
                  <wp:effectExtent l="0" t="0" r="9525" b="0"/>
                  <wp:docPr id="29"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1" descr="IMG_264"/>
                          <pic:cNvPicPr>
                            <a:picLocks noChangeAspect="1"/>
                          </pic:cNvPicPr>
                        </pic:nvPicPr>
                        <pic:blipFill>
                          <a:blip r:embed="rId77"/>
                          <a:stretch>
                            <a:fillRect/>
                          </a:stretch>
                        </pic:blipFill>
                        <pic:spPr>
                          <a:xfrm>
                            <a:off x="0" y="0"/>
                            <a:ext cx="1171575" cy="1028700"/>
                          </a:xfrm>
                          <a:prstGeom prst="rect">
                            <a:avLst/>
                          </a:prstGeom>
                          <a:noFill/>
                          <a:ln w="9525">
                            <a:noFill/>
                          </a:ln>
                        </pic:spPr>
                      </pic:pic>
                    </a:graphicData>
                  </a:graphic>
                </wp:inline>
              </w:drawing>
            </w:r>
          </w:p>
        </w:tc>
        <w:tc>
          <w:tcPr>
            <w:tcW w:w="1566" w:type="dxa"/>
            <w:tcBorders>
              <w:top w:val="single" w:color="auto" w:sz="6" w:space="0"/>
              <w:left w:val="single" w:color="auto" w:sz="6" w:space="0"/>
              <w:bottom w:val="single" w:color="auto" w:sz="12" w:space="0"/>
              <w:right w:val="single" w:color="auto" w:sz="6" w:space="0"/>
            </w:tcBorders>
            <w:shd w:val="clear" w:color="auto" w:fill="auto"/>
            <w:vAlign w:val="center"/>
          </w:tcPr>
          <w:p w14:paraId="6378EAF1">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危险废物</w:t>
            </w:r>
          </w:p>
        </w:tc>
        <w:tc>
          <w:tcPr>
            <w:tcW w:w="2333" w:type="dxa"/>
            <w:tcBorders>
              <w:top w:val="single" w:color="auto" w:sz="6" w:space="0"/>
              <w:left w:val="single" w:color="auto" w:sz="6" w:space="0"/>
              <w:bottom w:val="single" w:color="auto" w:sz="12" w:space="0"/>
              <w:right w:val="single" w:color="auto" w:sz="12" w:space="0"/>
            </w:tcBorders>
            <w:shd w:val="clear" w:color="auto" w:fill="auto"/>
            <w:vAlign w:val="center"/>
          </w:tcPr>
          <w:p w14:paraId="63739904">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strike w:val="0"/>
                <w:dstrike w:val="0"/>
                <w:color w:val="auto"/>
                <w:sz w:val="21"/>
                <w:szCs w:val="21"/>
                <w:highlight w:val="none"/>
                <w:u w:val="none" w:color="auto"/>
              </w:rPr>
            </w:pPr>
            <w:r>
              <w:rPr>
                <w:rFonts w:hint="default" w:ascii="Times New Roman" w:hAnsi="Times New Roman" w:eastAsia="宋体" w:cs="Times New Roman"/>
                <w:strike w:val="0"/>
                <w:dstrike w:val="0"/>
                <w:color w:val="auto"/>
                <w:kern w:val="0"/>
                <w:sz w:val="21"/>
                <w:szCs w:val="21"/>
                <w:highlight w:val="none"/>
                <w:u w:val="none" w:color="auto"/>
                <w:lang w:val="en-US" w:eastAsia="zh-CN" w:bidi="ar"/>
              </w:rPr>
              <w:t>表示危险废物贮存、处置场</w:t>
            </w:r>
          </w:p>
        </w:tc>
      </w:tr>
    </w:tbl>
    <w:p w14:paraId="476A13F4">
      <w:pPr>
        <w:pStyle w:val="4"/>
        <w:widowControl/>
        <w:spacing w:before="0" w:beforeAutospacing="0" w:after="0" w:afterAutospacing="0" w:line="480" w:lineRule="exact"/>
        <w:rPr>
          <w:rFonts w:hint="default" w:ascii="Times New Roman" w:hAnsi="Times New Roman" w:eastAsia="宋体" w:cs="Times New Roman"/>
          <w:b/>
          <w:bCs w:val="0"/>
          <w:strike w:val="0"/>
          <w:dstrike w:val="0"/>
          <w:color w:val="auto"/>
          <w:sz w:val="24"/>
          <w:szCs w:val="24"/>
          <w:highlight w:val="none"/>
          <w:u w:val="none" w:color="auto"/>
        </w:rPr>
      </w:pPr>
      <w:bookmarkStart w:id="155" w:name="_Toc29989"/>
      <w:r>
        <w:rPr>
          <w:rFonts w:hint="default" w:ascii="Times New Roman" w:hAnsi="Times New Roman" w:eastAsia="宋体" w:cs="Times New Roman"/>
          <w:b/>
          <w:bCs w:val="0"/>
          <w:strike w:val="0"/>
          <w:dstrike w:val="0"/>
          <w:color w:val="auto"/>
          <w:sz w:val="24"/>
          <w:szCs w:val="24"/>
          <w:highlight w:val="none"/>
          <w:u w:val="none" w:color="auto"/>
        </w:rPr>
        <w:t>1</w:t>
      </w:r>
      <w:r>
        <w:rPr>
          <w:rFonts w:hint="default" w:ascii="Times New Roman" w:hAnsi="Times New Roman" w:eastAsia="宋体" w:cs="Times New Roman"/>
          <w:b/>
          <w:bCs w:val="0"/>
          <w:strike w:val="0"/>
          <w:dstrike w:val="0"/>
          <w:color w:val="auto"/>
          <w:sz w:val="24"/>
          <w:szCs w:val="24"/>
          <w:highlight w:val="none"/>
          <w:u w:val="none" w:color="auto"/>
          <w:lang w:val="en-US" w:eastAsia="zh-CN"/>
        </w:rPr>
        <w:t>2</w:t>
      </w:r>
      <w:r>
        <w:rPr>
          <w:rFonts w:hint="default" w:ascii="Times New Roman" w:hAnsi="Times New Roman" w:eastAsia="宋体" w:cs="Times New Roman"/>
          <w:b/>
          <w:bCs w:val="0"/>
          <w:strike w:val="0"/>
          <w:dstrike w:val="0"/>
          <w:color w:val="auto"/>
          <w:sz w:val="24"/>
          <w:szCs w:val="24"/>
          <w:highlight w:val="none"/>
          <w:u w:val="none" w:color="auto"/>
        </w:rPr>
        <w:t>.</w:t>
      </w:r>
      <w:r>
        <w:rPr>
          <w:rFonts w:hint="default" w:ascii="Times New Roman" w:hAnsi="Times New Roman" w:eastAsia="宋体" w:cs="Times New Roman"/>
          <w:b/>
          <w:bCs w:val="0"/>
          <w:strike w:val="0"/>
          <w:dstrike w:val="0"/>
          <w:color w:val="auto"/>
          <w:sz w:val="24"/>
          <w:szCs w:val="24"/>
          <w:highlight w:val="none"/>
          <w:u w:val="none" w:color="auto"/>
          <w:lang w:val="en-US" w:eastAsia="zh-CN"/>
        </w:rPr>
        <w:t>4</w:t>
      </w:r>
      <w:r>
        <w:rPr>
          <w:rFonts w:hint="default" w:ascii="Times New Roman" w:hAnsi="Times New Roman" w:eastAsia="宋体" w:cs="Times New Roman"/>
          <w:b/>
          <w:bCs w:val="0"/>
          <w:strike w:val="0"/>
          <w:dstrike w:val="0"/>
          <w:color w:val="auto"/>
          <w:sz w:val="24"/>
          <w:szCs w:val="24"/>
          <w:highlight w:val="none"/>
          <w:u w:val="none" w:color="auto"/>
        </w:rPr>
        <w:t>.3 排污口建档管理</w:t>
      </w:r>
      <w:bookmarkEnd w:id="155"/>
    </w:p>
    <w:p w14:paraId="2636C22A">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（1）本项目应使用国家生态环境局统一印制的《中华人民共和国规范化排污口标志登记证》，并按要求填写有关内容。</w:t>
      </w:r>
    </w:p>
    <w:p w14:paraId="4C4EC776">
      <w:pPr>
        <w:ind w:firstLine="480" w:firstLineChars="200"/>
        <w:rPr>
          <w:rFonts w:hint="default" w:ascii="Times New Roman" w:hAnsi="Times New Roman" w:cs="Times New Roman"/>
          <w:color w:val="auto"/>
          <w:highlight w:val="none"/>
          <w:u w:val="none" w:color="auto"/>
        </w:rPr>
      </w:pPr>
      <w:r>
        <w:rPr>
          <w:rFonts w:hint="default" w:ascii="Times New Roman" w:hAnsi="Times New Roman" w:eastAsia="宋体" w:cs="Times New Roman"/>
          <w:strike w:val="0"/>
          <w:dstrike w:val="0"/>
          <w:color w:val="auto"/>
          <w:kern w:val="0"/>
          <w:sz w:val="24"/>
          <w:szCs w:val="24"/>
          <w:highlight w:val="none"/>
          <w:u w:val="none" w:color="auto"/>
          <w:lang w:val="en-US" w:eastAsia="zh-CN" w:bidi="ar"/>
        </w:rPr>
        <w:t>（2）根据排污口管理内容要求，项目建成投产后，应将主要污染物种类、数量、浓度、排放去向、立标情况及设施运行情况记录于档案。</w:t>
      </w:r>
    </w:p>
    <w:p w14:paraId="6748B5FB">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56" w:name="_Toc19953"/>
      <w:r>
        <w:rPr>
          <w:rFonts w:hint="default" w:ascii="Times New Roman" w:hAnsi="Times New Roman" w:eastAsia="宋体" w:cs="Times New Roman"/>
          <w:color w:val="auto"/>
          <w:sz w:val="28"/>
          <w:szCs w:val="28"/>
          <w:highlight w:val="none"/>
          <w:u w:val="none" w:color="auto"/>
          <w:lang w:val="en-US" w:eastAsia="zh-CN"/>
        </w:rPr>
        <w:t>12.5竣工验收</w:t>
      </w:r>
      <w:bookmarkEnd w:id="156"/>
    </w:p>
    <w:p w14:paraId="55BD2614">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sz w:val="24"/>
          <w:szCs w:val="24"/>
          <w:highlight w:val="none"/>
          <w:u w:val="none" w:color="auto"/>
        </w:rPr>
        <w:t>根据《建设项目竣工环境保护验收暂行办法》（国环规环评[2017]4号），建设单位</w:t>
      </w:r>
      <w:r>
        <w:rPr>
          <w:rFonts w:hint="default" w:ascii="Times New Roman" w:hAnsi="Times New Roman" w:eastAsia="宋体" w:cs="Times New Roman"/>
          <w:strike w:val="0"/>
          <w:dstrike w:val="0"/>
          <w:color w:val="auto"/>
          <w:sz w:val="24"/>
          <w:szCs w:val="24"/>
          <w:highlight w:val="none"/>
          <w:u w:val="none" w:color="auto"/>
          <w:lang w:eastAsia="zh-CN"/>
        </w:rPr>
        <w:t>湖南昂拓科技有限责任公司</w:t>
      </w:r>
      <w:r>
        <w:rPr>
          <w:rFonts w:hint="default" w:ascii="Times New Roman" w:hAnsi="Times New Roman" w:eastAsia="宋体" w:cs="Times New Roman"/>
          <w:strike w:val="0"/>
          <w:dstrike w:val="0"/>
          <w:color w:val="auto"/>
          <w:sz w:val="24"/>
          <w:szCs w:val="24"/>
          <w:highlight w:val="none"/>
          <w:u w:val="none" w:color="auto"/>
        </w:rPr>
        <w:t>为该项目竣工环境保护验收的责任主体，本项目竣工后，建设单位应当按照该暂行办法规定的程序和标准，组织对项目配套建设的环境保护设施进行验收。</w:t>
      </w:r>
    </w:p>
    <w:p w14:paraId="7BFD7F19">
      <w:pPr>
        <w:keepNext w:val="0"/>
        <w:keepLines w:val="0"/>
        <w:widowControl w:val="0"/>
        <w:suppressLineNumbers w:val="0"/>
        <w:autoSpaceDE w:val="0"/>
        <w:autoSpaceDN w:val="0"/>
        <w:adjustRightInd w:val="0"/>
        <w:spacing w:before="0" w:beforeAutospacing="0" w:after="0" w:afterAutospacing="0" w:line="480" w:lineRule="exact"/>
        <w:ind w:left="0" w:right="0" w:firstLine="480" w:firstLineChars="200"/>
        <w:jc w:val="both"/>
        <w:rPr>
          <w:rFonts w:hint="default" w:ascii="Times New Roman" w:hAnsi="Times New Roman" w:eastAsia="宋体" w:cs="Times New Roman"/>
          <w:strike w:val="0"/>
          <w:dstrike w:val="0"/>
          <w:color w:val="auto"/>
          <w:sz w:val="24"/>
          <w:szCs w:val="24"/>
          <w:highlight w:val="none"/>
          <w:u w:val="none" w:color="auto"/>
        </w:rPr>
      </w:pPr>
      <w:r>
        <w:rPr>
          <w:rFonts w:hint="default" w:ascii="Times New Roman" w:hAnsi="Times New Roman" w:eastAsia="宋体" w:cs="Times New Roman"/>
          <w:strike w:val="0"/>
          <w:dstrike w:val="0"/>
          <w:color w:val="auto"/>
          <w:sz w:val="24"/>
          <w:szCs w:val="24"/>
          <w:highlight w:val="none"/>
          <w:u w:val="none" w:color="auto"/>
        </w:rPr>
        <w:t>项目竣工环保“验收内容见下表：</w:t>
      </w:r>
    </w:p>
    <w:p w14:paraId="5551D30C">
      <w:pPr>
        <w:jc w:val="center"/>
        <w:rPr>
          <w:rFonts w:hint="default" w:ascii="Times New Roman" w:hAnsi="Times New Roman" w:eastAsia="宋体" w:cs="Times New Roman"/>
          <w:b/>
          <w:color w:val="auto"/>
          <w:sz w:val="21"/>
          <w:szCs w:val="18"/>
          <w:highlight w:val="none"/>
          <w:u w:val="none" w:color="auto"/>
        </w:rPr>
      </w:pPr>
      <w:r>
        <w:rPr>
          <w:rFonts w:hint="default" w:ascii="Times New Roman" w:hAnsi="Times New Roman" w:eastAsia="宋体" w:cs="Times New Roman"/>
          <w:b/>
          <w:color w:val="auto"/>
          <w:sz w:val="21"/>
          <w:szCs w:val="18"/>
          <w:highlight w:val="none"/>
          <w:u w:val="none" w:color="auto"/>
        </w:rPr>
        <w:t>表1</w:t>
      </w:r>
      <w:r>
        <w:rPr>
          <w:rFonts w:hint="default" w:ascii="Times New Roman" w:hAnsi="Times New Roman" w:eastAsia="宋体" w:cs="Times New Roman"/>
          <w:b/>
          <w:color w:val="auto"/>
          <w:sz w:val="21"/>
          <w:szCs w:val="18"/>
          <w:highlight w:val="none"/>
          <w:u w:val="none" w:color="auto"/>
          <w:lang w:val="en-US" w:eastAsia="zh-CN"/>
        </w:rPr>
        <w:t>2</w:t>
      </w:r>
      <w:r>
        <w:rPr>
          <w:rFonts w:hint="default" w:ascii="Times New Roman" w:hAnsi="Times New Roman" w:eastAsia="宋体" w:cs="Times New Roman"/>
          <w:b/>
          <w:color w:val="auto"/>
          <w:sz w:val="21"/>
          <w:szCs w:val="18"/>
          <w:highlight w:val="none"/>
          <w:u w:val="none" w:color="auto"/>
        </w:rPr>
        <w:t>.5-1  工程环保验收一览表</w:t>
      </w:r>
    </w:p>
    <w:tbl>
      <w:tblPr>
        <w:tblStyle w:val="22"/>
        <w:tblW w:w="5231"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26"/>
        <w:gridCol w:w="1681"/>
        <w:gridCol w:w="4678"/>
        <w:gridCol w:w="2131"/>
      </w:tblGrid>
      <w:tr w14:paraId="16D8A6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vAlign w:val="center"/>
          </w:tcPr>
          <w:p w14:paraId="6E15E1B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类型</w:t>
            </w:r>
          </w:p>
        </w:tc>
        <w:tc>
          <w:tcPr>
            <w:tcW w:w="942" w:type="pct"/>
            <w:vAlign w:val="center"/>
          </w:tcPr>
          <w:p w14:paraId="4A0BC87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w:t>
            </w:r>
          </w:p>
        </w:tc>
        <w:tc>
          <w:tcPr>
            <w:tcW w:w="2623" w:type="pct"/>
            <w:vAlign w:val="center"/>
          </w:tcPr>
          <w:p w14:paraId="7DFE34E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验收项目措施</w:t>
            </w:r>
          </w:p>
        </w:tc>
        <w:tc>
          <w:tcPr>
            <w:tcW w:w="1194" w:type="pct"/>
            <w:vAlign w:val="center"/>
          </w:tcPr>
          <w:p w14:paraId="7B9C59E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治理效果</w:t>
            </w:r>
          </w:p>
        </w:tc>
      </w:tr>
      <w:tr w14:paraId="64FEF2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vMerge w:val="restart"/>
            <w:vAlign w:val="center"/>
          </w:tcPr>
          <w:p w14:paraId="2094436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942" w:type="pct"/>
            <w:vAlign w:val="center"/>
          </w:tcPr>
          <w:p w14:paraId="3D723EDC">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DA001-DA006</w:t>
            </w:r>
          </w:p>
        </w:tc>
        <w:tc>
          <w:tcPr>
            <w:tcW w:w="2623" w:type="pct"/>
            <w:vAlign w:val="center"/>
          </w:tcPr>
          <w:p w14:paraId="70F5911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槽侧抽风+生产线整体密闭负压+</w:t>
            </w:r>
            <w:r>
              <w:rPr>
                <w:rFonts w:hint="default" w:ascii="Times New Roman" w:hAnsi="Times New Roman" w:eastAsia="宋体" w:cs="Times New Roman"/>
                <w:color w:val="auto"/>
                <w:sz w:val="21"/>
                <w:szCs w:val="21"/>
                <w:highlight w:val="none"/>
                <w:u w:val="none" w:color="auto"/>
                <w:lang w:val="en-US" w:eastAsia="zh-CN"/>
              </w:rPr>
              <w:t>6</w:t>
            </w:r>
            <w:r>
              <w:rPr>
                <w:rFonts w:hint="default" w:ascii="Times New Roman" w:hAnsi="Times New Roman" w:eastAsia="宋体" w:cs="Times New Roman"/>
                <w:color w:val="auto"/>
                <w:sz w:val="21"/>
                <w:szCs w:val="21"/>
                <w:highlight w:val="none"/>
                <w:u w:val="none" w:color="auto"/>
              </w:rPr>
              <w:t>套</w:t>
            </w:r>
            <w:r>
              <w:rPr>
                <w:rFonts w:hint="eastAsia" w:ascii="Times New Roman" w:hAnsi="Times New Roman" w:eastAsia="宋体" w:cs="Times New Roman"/>
                <w:color w:val="auto"/>
                <w:sz w:val="21"/>
                <w:szCs w:val="21"/>
                <w:highlight w:val="none"/>
                <w:u w:val="none" w:color="auto"/>
                <w:lang w:eastAsia="zh-CN"/>
              </w:rPr>
              <w:t>三级</w:t>
            </w:r>
            <w:r>
              <w:rPr>
                <w:rFonts w:hint="default" w:ascii="Times New Roman" w:hAnsi="Times New Roman" w:eastAsia="宋体" w:cs="Times New Roman"/>
                <w:color w:val="auto"/>
                <w:sz w:val="21"/>
                <w:szCs w:val="21"/>
                <w:highlight w:val="none"/>
                <w:u w:val="none" w:color="auto"/>
              </w:rPr>
              <w:t>碱喷淋吸收装置+25m排气筒</w:t>
            </w:r>
          </w:p>
        </w:tc>
        <w:tc>
          <w:tcPr>
            <w:tcW w:w="1194" w:type="pct"/>
            <w:vMerge w:val="restart"/>
            <w:vAlign w:val="center"/>
          </w:tcPr>
          <w:p w14:paraId="05CCD5A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highlight w:val="none"/>
                <w:u w:val="none" w:color="auto"/>
              </w:rPr>
              <w:t>《电镀污染物排放标准》（GB21900-2008）表2、</w:t>
            </w:r>
            <w:r>
              <w:rPr>
                <w:rFonts w:hint="default" w:ascii="Times New Roman" w:hAnsi="Times New Roman" w:eastAsia="宋体" w:cs="Times New Roman"/>
                <w:bCs/>
                <w:color w:val="auto"/>
                <w:sz w:val="21"/>
                <w:highlight w:val="none"/>
                <w:u w:val="none" w:color="auto"/>
                <w:lang w:val="en-US" w:eastAsia="zh-CN"/>
              </w:rPr>
              <w:t>《合成树脂工业污染物排放标准》（GB31572-2015</w:t>
            </w:r>
            <w:r>
              <w:rPr>
                <w:rFonts w:hint="default" w:ascii="Times New Roman" w:hAnsi="Times New Roman" w:eastAsia="宋体" w:cs="Times New Roman"/>
                <w:bCs/>
                <w:color w:val="auto"/>
                <w:sz w:val="21"/>
                <w:highlight w:val="none"/>
                <w:u w:val="none" w:color="auto"/>
              </w:rPr>
              <w:t>）</w:t>
            </w:r>
          </w:p>
        </w:tc>
      </w:tr>
      <w:tr w14:paraId="4EA569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0" w:hRule="atLeast"/>
          <w:jc w:val="center"/>
        </w:trPr>
        <w:tc>
          <w:tcPr>
            <w:tcW w:w="238" w:type="pct"/>
            <w:vMerge w:val="continue"/>
            <w:vAlign w:val="center"/>
          </w:tcPr>
          <w:p w14:paraId="7DA4BFB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942" w:type="pct"/>
            <w:vAlign w:val="center"/>
          </w:tcPr>
          <w:p w14:paraId="081AD9AE">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DA007</w:t>
            </w:r>
          </w:p>
        </w:tc>
        <w:tc>
          <w:tcPr>
            <w:tcW w:w="2623" w:type="pct"/>
            <w:vAlign w:val="center"/>
          </w:tcPr>
          <w:p w14:paraId="3AD5FC37">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集气罩</w:t>
            </w:r>
            <w:r>
              <w:rPr>
                <w:rFonts w:hint="default" w:ascii="Times New Roman" w:hAnsi="Times New Roman" w:eastAsia="宋体" w:cs="Times New Roman"/>
                <w:color w:val="auto"/>
                <w:sz w:val="21"/>
                <w:szCs w:val="21"/>
                <w:highlight w:val="none"/>
                <w:u w:val="none" w:color="auto"/>
              </w:rPr>
              <w:t>+1套</w:t>
            </w:r>
            <w:r>
              <w:rPr>
                <w:rFonts w:hint="eastAsia" w:ascii="Times New Roman" w:hAnsi="Times New Roman" w:eastAsia="宋体" w:cs="Times New Roman"/>
                <w:color w:val="auto"/>
                <w:sz w:val="21"/>
                <w:szCs w:val="21"/>
                <w:highlight w:val="none"/>
                <w:u w:val="single" w:color="auto"/>
                <w:lang w:val="en-US" w:eastAsia="zh-CN"/>
              </w:rPr>
              <w:t>冷却塔＋干湿过滤器＋活性炭</w:t>
            </w:r>
            <w:r>
              <w:rPr>
                <w:rFonts w:hint="default" w:ascii="Times New Roman" w:hAnsi="Times New Roman" w:eastAsia="宋体" w:cs="Times New Roman"/>
                <w:color w:val="auto"/>
                <w:sz w:val="21"/>
                <w:szCs w:val="21"/>
                <w:highlight w:val="none"/>
                <w:u w:val="single" w:color="auto"/>
              </w:rPr>
              <w:t>装置</w:t>
            </w:r>
            <w:r>
              <w:rPr>
                <w:rFonts w:hint="default" w:ascii="Times New Roman" w:hAnsi="Times New Roman" w:eastAsia="宋体" w:cs="Times New Roman"/>
                <w:color w:val="auto"/>
                <w:sz w:val="21"/>
                <w:szCs w:val="21"/>
                <w:highlight w:val="none"/>
                <w:u w:val="none" w:color="auto"/>
              </w:rPr>
              <w:t>+</w:t>
            </w:r>
            <w:r>
              <w:rPr>
                <w:rFonts w:hint="eastAsia"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rPr>
              <w:t>5m排气筒</w:t>
            </w:r>
          </w:p>
        </w:tc>
        <w:tc>
          <w:tcPr>
            <w:tcW w:w="1194" w:type="pct"/>
            <w:vMerge w:val="continue"/>
            <w:vAlign w:val="center"/>
          </w:tcPr>
          <w:p w14:paraId="40467DC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r>
      <w:tr w14:paraId="41BFD7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vMerge w:val="restart"/>
            <w:vAlign w:val="center"/>
          </w:tcPr>
          <w:p w14:paraId="6131AE6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942" w:type="pct"/>
            <w:vAlign w:val="center"/>
          </w:tcPr>
          <w:p w14:paraId="2384F6D8">
            <w:pPr>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w:t>
            </w:r>
          </w:p>
        </w:tc>
        <w:tc>
          <w:tcPr>
            <w:tcW w:w="2623" w:type="pct"/>
            <w:vAlign w:val="center"/>
          </w:tcPr>
          <w:p w14:paraId="06B13616">
            <w:pPr>
              <w:spacing w:line="240" w:lineRule="auto"/>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化粪池处理后接入市政污水管网</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bCs/>
                <w:color w:val="auto"/>
                <w:sz w:val="21"/>
                <w:szCs w:val="21"/>
                <w:highlight w:val="none"/>
                <w:u w:val="single" w:color="auto"/>
                <w:lang w:val="en-US" w:eastAsia="zh-CN" w:bidi="en-US"/>
              </w:rPr>
              <w:t>Ni在线监测装置</w:t>
            </w:r>
          </w:p>
        </w:tc>
        <w:tc>
          <w:tcPr>
            <w:tcW w:w="1194" w:type="pct"/>
            <w:vMerge w:val="restart"/>
            <w:vAlign w:val="center"/>
          </w:tcPr>
          <w:p w14:paraId="57CF51A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bidi="en-US"/>
              </w:rPr>
              <w:t>《污水综合排放标准》（GB8978-1996）表4 三级标准、《污水排入城镇下水道水质标准》（GB/T31962-2015）B等级标准，同时满足</w:t>
            </w:r>
            <w:r>
              <w:rPr>
                <w:rFonts w:hint="default" w:ascii="Times New Roman" w:hAnsi="Times New Roman" w:eastAsia="宋体" w:cs="Times New Roman"/>
                <w:bCs/>
                <w:color w:val="auto"/>
                <w:sz w:val="21"/>
                <w:szCs w:val="21"/>
                <w:highlight w:val="none"/>
                <w:u w:val="none" w:color="auto"/>
                <w:lang w:eastAsia="zh-CN" w:bidi="en-US"/>
              </w:rPr>
              <w:t>松木经开区</w:t>
            </w:r>
            <w:r>
              <w:rPr>
                <w:rFonts w:hint="default" w:ascii="Times New Roman" w:hAnsi="Times New Roman" w:eastAsia="宋体" w:cs="Times New Roman"/>
                <w:bCs/>
                <w:color w:val="auto"/>
                <w:sz w:val="21"/>
                <w:szCs w:val="21"/>
                <w:highlight w:val="none"/>
                <w:u w:val="none" w:color="auto"/>
                <w:lang w:bidi="en-US"/>
              </w:rPr>
              <w:t>污水处理进水水质要求</w:t>
            </w:r>
          </w:p>
        </w:tc>
      </w:tr>
      <w:tr w14:paraId="035668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vMerge w:val="continue"/>
            <w:vAlign w:val="center"/>
          </w:tcPr>
          <w:p w14:paraId="0EE000E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942" w:type="pct"/>
            <w:vAlign w:val="center"/>
          </w:tcPr>
          <w:p w14:paraId="356C6C64">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排水管网</w:t>
            </w:r>
          </w:p>
        </w:tc>
        <w:tc>
          <w:tcPr>
            <w:tcW w:w="2623" w:type="pct"/>
            <w:vAlign w:val="center"/>
          </w:tcPr>
          <w:p w14:paraId="0D571D3B">
            <w:pPr>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雨污分流，污污分流</w:t>
            </w:r>
          </w:p>
        </w:tc>
        <w:tc>
          <w:tcPr>
            <w:tcW w:w="1194" w:type="pct"/>
            <w:vMerge w:val="continue"/>
            <w:vAlign w:val="center"/>
          </w:tcPr>
          <w:p w14:paraId="3D99D13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r>
      <w:tr w14:paraId="1D755A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vMerge w:val="continue"/>
            <w:vAlign w:val="center"/>
          </w:tcPr>
          <w:p w14:paraId="3F2DF1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942" w:type="pct"/>
            <w:vAlign w:val="center"/>
          </w:tcPr>
          <w:p w14:paraId="541B69DB">
            <w:pPr>
              <w:adjustRightInd w:val="0"/>
              <w:snapToGrid w:val="0"/>
              <w:spacing w:line="240" w:lineRule="auto"/>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eastAsia="zh-CN"/>
              </w:rPr>
              <w:t>雨水</w:t>
            </w:r>
          </w:p>
        </w:tc>
        <w:tc>
          <w:tcPr>
            <w:tcW w:w="2623" w:type="pct"/>
            <w:vAlign w:val="center"/>
          </w:tcPr>
          <w:p w14:paraId="0D1B633A">
            <w:pPr>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290m</w:t>
            </w:r>
            <w:r>
              <w:rPr>
                <w:rFonts w:hint="default" w:ascii="Times New Roman" w:hAnsi="Times New Roman" w:eastAsia="宋体" w:cs="Times New Roman"/>
                <w:color w:val="auto"/>
                <w:sz w:val="21"/>
                <w:szCs w:val="21"/>
                <w:highlight w:val="none"/>
                <w:u w:val="none" w:color="auto"/>
                <w:vertAlign w:val="superscript"/>
                <w:lang w:val="en-US" w:eastAsia="zh-CN"/>
              </w:rPr>
              <w:t>3</w:t>
            </w:r>
            <w:r>
              <w:rPr>
                <w:rFonts w:hint="default" w:ascii="Times New Roman" w:hAnsi="Times New Roman" w:eastAsia="宋体" w:cs="Times New Roman"/>
                <w:color w:val="auto"/>
                <w:sz w:val="21"/>
                <w:szCs w:val="21"/>
                <w:highlight w:val="none"/>
                <w:u w:val="none" w:color="auto"/>
                <w:lang w:eastAsia="zh-CN"/>
              </w:rPr>
              <w:t>初期雨水池</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single" w:color="auto"/>
                <w:lang w:eastAsia="zh-CN"/>
              </w:rPr>
              <w:t>雨水排放口设置阀门及</w:t>
            </w:r>
            <w:r>
              <w:rPr>
                <w:rFonts w:hint="eastAsia" w:ascii="Times New Roman" w:hAnsi="Times New Roman" w:eastAsia="宋体" w:cs="Times New Roman"/>
                <w:bCs/>
                <w:color w:val="auto"/>
                <w:sz w:val="21"/>
                <w:szCs w:val="21"/>
                <w:highlight w:val="none"/>
                <w:u w:val="single" w:color="auto"/>
                <w:lang w:val="en-US" w:eastAsia="zh-CN" w:bidi="en-US"/>
              </w:rPr>
              <w:t>Ni在线监测装置</w:t>
            </w:r>
          </w:p>
        </w:tc>
        <w:tc>
          <w:tcPr>
            <w:tcW w:w="1194" w:type="pct"/>
            <w:vMerge w:val="continue"/>
            <w:vAlign w:val="center"/>
          </w:tcPr>
          <w:p w14:paraId="0130635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r>
      <w:tr w14:paraId="6BBDFF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9" w:hRule="atLeast"/>
          <w:jc w:val="center"/>
        </w:trPr>
        <w:tc>
          <w:tcPr>
            <w:tcW w:w="238" w:type="pct"/>
            <w:vMerge w:val="continue"/>
            <w:vAlign w:val="center"/>
          </w:tcPr>
          <w:p w14:paraId="0F07A57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942" w:type="pct"/>
            <w:vAlign w:val="center"/>
          </w:tcPr>
          <w:p w14:paraId="56BCE62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w:t>
            </w:r>
          </w:p>
        </w:tc>
        <w:tc>
          <w:tcPr>
            <w:tcW w:w="2623" w:type="pct"/>
            <w:vAlign w:val="center"/>
          </w:tcPr>
          <w:p w14:paraId="54C32100">
            <w:pPr>
              <w:adjustRightInd w:val="0"/>
              <w:snapToGrid w:val="0"/>
              <w:spacing w:line="240" w:lineRule="auto"/>
              <w:jc w:val="both"/>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废水处理站设计处理规模为</w:t>
            </w:r>
            <w:r>
              <w:rPr>
                <w:rFonts w:hint="eastAsia" w:ascii="Times New Roman" w:hAnsi="Times New Roman" w:eastAsia="宋体" w:cs="Times New Roman"/>
                <w:color w:val="auto"/>
                <w:sz w:val="21"/>
                <w:szCs w:val="21"/>
                <w:highlight w:val="none"/>
                <w:u w:val="none" w:color="auto"/>
                <w:lang w:val="en-US" w:eastAsia="zh-CN"/>
              </w:rPr>
              <w:t>64</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/d；废水收集（特别是涉重金属管道及水池）及处理采用可视可监控方式</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none" w:color="auto"/>
                <w:lang w:val="en-US" w:eastAsia="zh-CN"/>
              </w:rPr>
              <w:t>沉淀池</w:t>
            </w:r>
            <w:r>
              <w:rPr>
                <w:rFonts w:hint="default" w:ascii="Times New Roman" w:hAnsi="Times New Roman" w:eastAsia="宋体" w:cs="Times New Roman"/>
                <w:color w:val="auto"/>
                <w:sz w:val="21"/>
                <w:szCs w:val="21"/>
                <w:highlight w:val="none"/>
                <w:u w:val="none" w:color="auto"/>
              </w:rPr>
              <w:t>设计处理规模为</w:t>
            </w:r>
            <w:r>
              <w:rPr>
                <w:rFonts w:hint="eastAsia" w:ascii="Times New Roman" w:hAnsi="Times New Roman" w:eastAsia="宋体" w:cs="Times New Roman"/>
                <w:color w:val="auto"/>
                <w:sz w:val="21"/>
                <w:szCs w:val="21"/>
                <w:highlight w:val="none"/>
                <w:u w:val="none" w:color="auto"/>
                <w:lang w:val="en-US" w:eastAsia="zh-CN"/>
              </w:rPr>
              <w:t>10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/d</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none" w:color="auto"/>
                <w:lang w:val="en-US" w:eastAsia="zh-CN"/>
              </w:rPr>
              <w:t>同时</w:t>
            </w:r>
            <w:r>
              <w:rPr>
                <w:rFonts w:hint="eastAsia" w:ascii="Times New Roman" w:hAnsi="Times New Roman" w:eastAsia="宋体" w:cs="Times New Roman"/>
                <w:color w:val="auto"/>
                <w:sz w:val="21"/>
                <w:szCs w:val="21"/>
                <w:highlight w:val="none"/>
                <w:u w:val="single" w:color="auto"/>
                <w:lang w:eastAsia="zh-CN"/>
              </w:rPr>
              <w:t>排放口设置阀门及</w:t>
            </w:r>
            <w:r>
              <w:rPr>
                <w:rFonts w:hint="eastAsia" w:ascii="Times New Roman" w:hAnsi="Times New Roman" w:eastAsia="宋体" w:cs="Times New Roman"/>
                <w:bCs/>
                <w:color w:val="auto"/>
                <w:sz w:val="21"/>
                <w:szCs w:val="21"/>
                <w:highlight w:val="none"/>
                <w:u w:val="single" w:color="auto"/>
                <w:lang w:val="en-US" w:eastAsia="zh-CN" w:bidi="en-US"/>
              </w:rPr>
              <w:t>Ni在线监测装置</w:t>
            </w:r>
          </w:p>
        </w:tc>
        <w:tc>
          <w:tcPr>
            <w:tcW w:w="1194" w:type="pct"/>
            <w:vMerge w:val="continue"/>
            <w:vAlign w:val="center"/>
          </w:tcPr>
          <w:p w14:paraId="70DCE73E">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r>
      <w:tr w14:paraId="25570C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1181" w:type="pct"/>
            <w:gridSpan w:val="2"/>
            <w:vMerge w:val="restart"/>
            <w:vAlign w:val="center"/>
          </w:tcPr>
          <w:p w14:paraId="299F143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地下水</w:t>
            </w:r>
          </w:p>
        </w:tc>
        <w:tc>
          <w:tcPr>
            <w:tcW w:w="2623" w:type="pct"/>
            <w:vAlign w:val="center"/>
          </w:tcPr>
          <w:p w14:paraId="524D91DC">
            <w:pPr>
              <w:adjustRightInd w:val="0"/>
              <w:snapToGrid w:val="0"/>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重点防渗区（</w:t>
            </w:r>
            <w:r>
              <w:rPr>
                <w:rFonts w:hint="default"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rPr>
              <w:t>#厂房、</w:t>
            </w:r>
            <w:r>
              <w:rPr>
                <w:rFonts w:hint="default"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rPr>
              <w:t>#厂房</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污水处理车间（含各类废水收集池、应急事故池）</w:t>
            </w:r>
          </w:p>
        </w:tc>
        <w:tc>
          <w:tcPr>
            <w:tcW w:w="1194" w:type="pct"/>
            <w:vMerge w:val="restart"/>
            <w:vAlign w:val="center"/>
          </w:tcPr>
          <w:p w14:paraId="1FD6DCA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详见前述防渗分区的防渗要求</w:t>
            </w:r>
          </w:p>
        </w:tc>
      </w:tr>
      <w:tr w14:paraId="60D9E9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1181" w:type="pct"/>
            <w:gridSpan w:val="2"/>
            <w:vMerge w:val="continue"/>
            <w:vAlign w:val="center"/>
          </w:tcPr>
          <w:p w14:paraId="5996A0C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2623" w:type="pct"/>
            <w:vAlign w:val="center"/>
          </w:tcPr>
          <w:p w14:paraId="576253DC">
            <w:pPr>
              <w:adjustRightInd w:val="0"/>
              <w:snapToGrid w:val="0"/>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一般防渗区（一般工业固废暂存间、雨水沟等）</w:t>
            </w:r>
          </w:p>
        </w:tc>
        <w:tc>
          <w:tcPr>
            <w:tcW w:w="1194" w:type="pct"/>
            <w:vMerge w:val="continue"/>
            <w:vAlign w:val="center"/>
          </w:tcPr>
          <w:p w14:paraId="533C921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r>
      <w:tr w14:paraId="1B700F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1181" w:type="pct"/>
            <w:gridSpan w:val="2"/>
            <w:vMerge w:val="continue"/>
            <w:vAlign w:val="center"/>
          </w:tcPr>
          <w:p w14:paraId="101336A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2623" w:type="pct"/>
            <w:vAlign w:val="center"/>
          </w:tcPr>
          <w:p w14:paraId="2A49867F">
            <w:pPr>
              <w:adjustRightInd w:val="0"/>
              <w:snapToGrid w:val="0"/>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简单防渗区（办公生活区）</w:t>
            </w:r>
          </w:p>
        </w:tc>
        <w:tc>
          <w:tcPr>
            <w:tcW w:w="1194" w:type="pct"/>
            <w:vMerge w:val="continue"/>
            <w:vAlign w:val="center"/>
          </w:tcPr>
          <w:p w14:paraId="470C4696">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r>
      <w:tr w14:paraId="4E9F1D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1181" w:type="pct"/>
            <w:gridSpan w:val="2"/>
            <w:vMerge w:val="continue"/>
            <w:vAlign w:val="center"/>
          </w:tcPr>
          <w:p w14:paraId="5F99BF93">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2623" w:type="pct"/>
            <w:vAlign w:val="center"/>
          </w:tcPr>
          <w:p w14:paraId="52EECDD8">
            <w:pPr>
              <w:adjustRightInd w:val="0"/>
              <w:snapToGrid w:val="0"/>
              <w:spacing w:line="240" w:lineRule="auto"/>
              <w:jc w:val="both"/>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eastAsia="zh-CN"/>
              </w:rPr>
              <w:t>两座地下水监测井</w:t>
            </w:r>
          </w:p>
        </w:tc>
        <w:tc>
          <w:tcPr>
            <w:tcW w:w="1194" w:type="pct"/>
            <w:vMerge w:val="continue"/>
            <w:vAlign w:val="center"/>
          </w:tcPr>
          <w:p w14:paraId="2D7CCCB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r>
      <w:tr w14:paraId="03ACCD7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vMerge w:val="restart"/>
            <w:vAlign w:val="center"/>
          </w:tcPr>
          <w:p w14:paraId="40D24BC8">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942" w:type="pct"/>
            <w:vAlign w:val="center"/>
          </w:tcPr>
          <w:p w14:paraId="020DF151">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危险废物</w:t>
            </w:r>
          </w:p>
        </w:tc>
        <w:tc>
          <w:tcPr>
            <w:tcW w:w="2623" w:type="pct"/>
            <w:vAlign w:val="center"/>
          </w:tcPr>
          <w:p w14:paraId="7F72C323">
            <w:pPr>
              <w:adjustRightInd w:val="0"/>
              <w:snapToGrid w:val="0"/>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1个</w:t>
            </w:r>
            <w:r>
              <w:rPr>
                <w:rFonts w:hint="default" w:ascii="Times New Roman" w:hAnsi="Times New Roman" w:eastAsia="宋体" w:cs="Times New Roman"/>
                <w:color w:val="auto"/>
                <w:sz w:val="21"/>
                <w:szCs w:val="21"/>
                <w:highlight w:val="none"/>
                <w:u w:val="none" w:color="auto"/>
                <w:lang w:val="en-US" w:eastAsia="zh-CN"/>
              </w:rPr>
              <w:t>200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的危废暂存间</w:t>
            </w:r>
          </w:p>
        </w:tc>
        <w:tc>
          <w:tcPr>
            <w:tcW w:w="1194" w:type="pct"/>
            <w:vMerge w:val="restart"/>
            <w:vAlign w:val="center"/>
          </w:tcPr>
          <w:p w14:paraId="04CCE22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安全处置或综合利用</w:t>
            </w:r>
          </w:p>
        </w:tc>
      </w:tr>
      <w:tr w14:paraId="10221C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vMerge w:val="continue"/>
            <w:vAlign w:val="center"/>
          </w:tcPr>
          <w:p w14:paraId="6E784D4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942" w:type="pct"/>
            <w:vAlign w:val="center"/>
          </w:tcPr>
          <w:p w14:paraId="284D8A8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一般工业固废</w:t>
            </w:r>
          </w:p>
        </w:tc>
        <w:tc>
          <w:tcPr>
            <w:tcW w:w="2623" w:type="pct"/>
            <w:vAlign w:val="center"/>
          </w:tcPr>
          <w:p w14:paraId="64CB01C5">
            <w:pPr>
              <w:adjustRightInd w:val="0"/>
              <w:snapToGrid w:val="0"/>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rPr>
              <w:t>个</w:t>
            </w:r>
            <w:r>
              <w:rPr>
                <w:rFonts w:hint="default" w:ascii="Times New Roman" w:hAnsi="Times New Roman" w:eastAsia="宋体" w:cs="Times New Roman"/>
                <w:color w:val="auto"/>
                <w:sz w:val="21"/>
                <w:szCs w:val="21"/>
                <w:highlight w:val="none"/>
                <w:u w:val="none" w:color="auto"/>
                <w:lang w:val="en-US" w:eastAsia="zh-CN"/>
              </w:rPr>
              <w:t>200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的一般工业固废暂存间</w:t>
            </w:r>
          </w:p>
        </w:tc>
        <w:tc>
          <w:tcPr>
            <w:tcW w:w="1194" w:type="pct"/>
            <w:vMerge w:val="continue"/>
            <w:vAlign w:val="center"/>
          </w:tcPr>
          <w:p w14:paraId="30C3B7F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r>
      <w:tr w14:paraId="134EEB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vMerge w:val="continue"/>
            <w:vAlign w:val="center"/>
          </w:tcPr>
          <w:p w14:paraId="70F9DE5F">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c>
          <w:tcPr>
            <w:tcW w:w="942" w:type="pct"/>
            <w:vAlign w:val="center"/>
          </w:tcPr>
          <w:p w14:paraId="45AF151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w:t>
            </w:r>
          </w:p>
        </w:tc>
        <w:tc>
          <w:tcPr>
            <w:tcW w:w="2623" w:type="pct"/>
            <w:vAlign w:val="center"/>
          </w:tcPr>
          <w:p w14:paraId="1E54F4D5">
            <w:pPr>
              <w:adjustRightInd w:val="0"/>
              <w:snapToGrid w:val="0"/>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统一收集，交当地的环卫部门处理</w:t>
            </w:r>
          </w:p>
        </w:tc>
        <w:tc>
          <w:tcPr>
            <w:tcW w:w="1194" w:type="pct"/>
            <w:vMerge w:val="continue"/>
            <w:vAlign w:val="center"/>
          </w:tcPr>
          <w:p w14:paraId="60B66240">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p>
        </w:tc>
      </w:tr>
      <w:tr w14:paraId="70D15B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vAlign w:val="center"/>
          </w:tcPr>
          <w:p w14:paraId="583BB329">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942" w:type="pct"/>
            <w:vAlign w:val="center"/>
          </w:tcPr>
          <w:p w14:paraId="4219810D">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输送泵、压滤机、风机等</w:t>
            </w:r>
          </w:p>
        </w:tc>
        <w:tc>
          <w:tcPr>
            <w:tcW w:w="2623" w:type="pct"/>
            <w:vAlign w:val="center"/>
          </w:tcPr>
          <w:p w14:paraId="7CA9A10B">
            <w:pPr>
              <w:adjustRightInd w:val="0"/>
              <w:snapToGrid w:val="0"/>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基础减振、厂房隔声、消声器等</w:t>
            </w:r>
          </w:p>
        </w:tc>
        <w:tc>
          <w:tcPr>
            <w:tcW w:w="1194" w:type="pct"/>
            <w:vAlign w:val="center"/>
          </w:tcPr>
          <w:p w14:paraId="0EF954A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《工业企业厂界环境噪声排放标准》（GB12348-2008）中的3类标准</w:t>
            </w:r>
          </w:p>
        </w:tc>
      </w:tr>
      <w:tr w14:paraId="223C22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81" w:type="pct"/>
            <w:gridSpan w:val="2"/>
            <w:vAlign w:val="center"/>
          </w:tcPr>
          <w:p w14:paraId="18F4957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风险防范措施</w:t>
            </w:r>
          </w:p>
        </w:tc>
        <w:tc>
          <w:tcPr>
            <w:tcW w:w="2623" w:type="pct"/>
            <w:vAlign w:val="center"/>
          </w:tcPr>
          <w:p w14:paraId="66ECF608">
            <w:pPr>
              <w:adjustRightInd w:val="0"/>
              <w:snapToGrid w:val="0"/>
              <w:spacing w:line="240" w:lineRule="auto"/>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厂区应急事故池（</w:t>
            </w:r>
            <w:r>
              <w:rPr>
                <w:rFonts w:hint="default" w:ascii="Times New Roman" w:hAnsi="Times New Roman" w:eastAsia="宋体" w:cs="Times New Roman"/>
                <w:color w:val="auto"/>
                <w:sz w:val="21"/>
                <w:szCs w:val="21"/>
                <w:highlight w:val="none"/>
                <w:u w:val="none" w:color="auto"/>
                <w:lang w:val="en-US" w:eastAsia="zh-CN"/>
              </w:rPr>
              <w:t>600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）、厂区初期雨水收集池（</w:t>
            </w:r>
            <w:r>
              <w:rPr>
                <w:rFonts w:hint="default" w:ascii="Times New Roman" w:hAnsi="Times New Roman" w:eastAsia="宋体" w:cs="Times New Roman"/>
                <w:color w:val="auto"/>
                <w:sz w:val="21"/>
                <w:szCs w:val="21"/>
                <w:highlight w:val="none"/>
                <w:u w:val="none" w:color="auto"/>
                <w:lang w:val="en-US" w:eastAsia="zh-CN"/>
              </w:rPr>
              <w:t>290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3</w:t>
            </w:r>
            <w:r>
              <w:rPr>
                <w:rFonts w:hint="default" w:ascii="Times New Roman" w:hAnsi="Times New Roman" w:eastAsia="宋体" w:cs="Times New Roman"/>
                <w:color w:val="auto"/>
                <w:sz w:val="21"/>
                <w:szCs w:val="21"/>
                <w:highlight w:val="none"/>
                <w:u w:val="none" w:color="auto"/>
              </w:rPr>
              <w:t>），初期雨水收集池与事故应急池通过双电源应急泵连通，车间地沟、车间应急事故池与厂区事故池相连；厂区应急部门与</w:t>
            </w:r>
            <w:r>
              <w:rPr>
                <w:rFonts w:hint="default" w:ascii="Times New Roman" w:hAnsi="Times New Roman" w:eastAsia="宋体" w:cs="Times New Roman"/>
                <w:color w:val="auto"/>
                <w:sz w:val="21"/>
                <w:szCs w:val="21"/>
                <w:highlight w:val="none"/>
                <w:u w:val="none" w:color="auto"/>
                <w:lang w:eastAsia="zh-CN"/>
              </w:rPr>
              <w:t>松木经开区</w:t>
            </w:r>
            <w:r>
              <w:rPr>
                <w:rFonts w:hint="default" w:ascii="Times New Roman" w:hAnsi="Times New Roman" w:eastAsia="宋体" w:cs="Times New Roman"/>
                <w:color w:val="auto"/>
                <w:sz w:val="21"/>
                <w:szCs w:val="21"/>
                <w:highlight w:val="none"/>
                <w:u w:val="none" w:color="auto"/>
              </w:rPr>
              <w:t>污水处理应急部门相关的联络、管理制度；应急预案备案证明等</w:t>
            </w:r>
          </w:p>
        </w:tc>
        <w:tc>
          <w:tcPr>
            <w:tcW w:w="1194" w:type="pct"/>
            <w:vAlign w:val="center"/>
          </w:tcPr>
          <w:p w14:paraId="2A263CC7">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防止环境风险污染</w:t>
            </w:r>
          </w:p>
        </w:tc>
      </w:tr>
    </w:tbl>
    <w:p w14:paraId="3A2BCA51">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57" w:name="_Toc16423"/>
      <w:bookmarkStart w:id="158" w:name="_Toc2232"/>
      <w:r>
        <w:rPr>
          <w:rFonts w:hint="default" w:ascii="Times New Roman" w:hAnsi="Times New Roman" w:eastAsia="宋体" w:cs="Times New Roman"/>
          <w:color w:val="auto"/>
          <w:sz w:val="28"/>
          <w:szCs w:val="28"/>
          <w:highlight w:val="none"/>
          <w:u w:val="none" w:color="auto"/>
          <w:lang w:val="en-US" w:eastAsia="zh-CN"/>
        </w:rPr>
        <w:t>12.6排污许可证</w:t>
      </w:r>
      <w:bookmarkEnd w:id="157"/>
      <w:bookmarkEnd w:id="158"/>
    </w:p>
    <w:p w14:paraId="0DDEBFA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排污许可证申请与核发技术规范总则》（HJ942-2018）、《排污许可管理办法（试行）》（环保部令第48号）、《排污许可证管理暂行规定》、《固定污染源排污许可分类管理名录（2019年版）》，实施排污许可管理的单位：①排放工业废气或者排放国家规定的有毒有害大气污染物的企业事业单位。②集中供热设施的燃煤热源生产运营单位。③直接或间接向水体排放工业废水和医疗污水的企业事业单位。④城镇或工业污水集中处理设施的运营单位。⑤依法应当实行排污许可管理的其他排污单位。</w:t>
      </w:r>
    </w:p>
    <w:p w14:paraId="582A998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本项目在建成后排污前需申请排污许可证。</w:t>
      </w:r>
    </w:p>
    <w:p w14:paraId="2F88C9D5">
      <w:pPr>
        <w:ind w:firstLine="560"/>
        <w:rPr>
          <w:rFonts w:hint="default" w:ascii="Times New Roman" w:hAnsi="Times New Roman" w:cs="Times New Roman"/>
          <w:color w:val="auto"/>
          <w:highlight w:val="none"/>
          <w:u w:val="none" w:color="auto"/>
        </w:rPr>
      </w:pPr>
    </w:p>
    <w:p w14:paraId="6BA32323">
      <w:pPr>
        <w:pStyle w:val="28"/>
        <w:rPr>
          <w:rFonts w:hint="default" w:ascii="Times New Roman" w:hAnsi="Times New Roman" w:cs="Times New Roman"/>
          <w:color w:val="auto"/>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C442D80">
      <w:pPr>
        <w:pStyle w:val="2"/>
        <w:pageBreakBefore w:val="0"/>
        <w:kinsoku/>
        <w:wordWrap/>
        <w:overflowPunct/>
        <w:topLinePunct w:val="0"/>
        <w:bidi w:val="0"/>
        <w:spacing w:before="0" w:after="0" w:line="360" w:lineRule="auto"/>
        <w:rPr>
          <w:rFonts w:hint="default" w:ascii="Times New Roman" w:hAnsi="Times New Roman" w:eastAsia="宋体" w:cs="Times New Roman"/>
          <w:color w:val="auto"/>
          <w:sz w:val="32"/>
          <w:szCs w:val="32"/>
          <w:highlight w:val="none"/>
          <w:u w:val="none" w:color="auto"/>
          <w:lang w:val="en-US" w:eastAsia="zh-CN"/>
        </w:rPr>
      </w:pPr>
      <w:bookmarkStart w:id="159" w:name="_Toc31889"/>
      <w:bookmarkStart w:id="160" w:name="_Toc480366192"/>
      <w:r>
        <w:rPr>
          <w:rFonts w:hint="default" w:ascii="Times New Roman" w:hAnsi="Times New Roman" w:eastAsia="宋体" w:cs="Times New Roman"/>
          <w:color w:val="auto"/>
          <w:sz w:val="32"/>
          <w:szCs w:val="32"/>
          <w:highlight w:val="none"/>
          <w:u w:val="none" w:color="auto"/>
          <w:lang w:val="en-US" w:eastAsia="zh-CN"/>
        </w:rPr>
        <w:t>13结论</w:t>
      </w:r>
      <w:bookmarkEnd w:id="159"/>
      <w:bookmarkEnd w:id="160"/>
    </w:p>
    <w:p w14:paraId="08BDA2AC">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61" w:name="_Toc479713025"/>
      <w:bookmarkStart w:id="162" w:name="_Toc18593"/>
      <w:r>
        <w:rPr>
          <w:rFonts w:hint="default" w:ascii="Times New Roman" w:hAnsi="Times New Roman" w:eastAsia="宋体" w:cs="Times New Roman"/>
          <w:color w:val="auto"/>
          <w:sz w:val="28"/>
          <w:szCs w:val="28"/>
          <w:highlight w:val="none"/>
          <w:u w:val="none" w:color="auto"/>
          <w:lang w:val="en-US" w:eastAsia="zh-CN"/>
        </w:rPr>
        <w:t>13.1评价结论</w:t>
      </w:r>
      <w:bookmarkEnd w:id="161"/>
      <w:bookmarkEnd w:id="162"/>
    </w:p>
    <w:p w14:paraId="606EB282">
      <w:pPr>
        <w:pStyle w:val="4"/>
        <w:widowControl/>
        <w:spacing w:before="0" w:beforeAutospacing="0" w:after="0" w:afterAutospacing="0" w:line="480" w:lineRule="exact"/>
        <w:rPr>
          <w:rFonts w:hint="default" w:ascii="Times New Roman" w:hAnsi="Times New Roman" w:eastAsia="宋体" w:cs="Times New Roman"/>
          <w:b/>
          <w:bCs w:val="0"/>
          <w:strike w:val="0"/>
          <w:dstrike w:val="0"/>
          <w:color w:val="auto"/>
          <w:sz w:val="24"/>
          <w:szCs w:val="24"/>
          <w:highlight w:val="none"/>
          <w:u w:val="none" w:color="auto"/>
        </w:rPr>
      </w:pPr>
      <w:r>
        <w:rPr>
          <w:rFonts w:hint="default" w:ascii="Times New Roman" w:hAnsi="Times New Roman" w:eastAsia="宋体" w:cs="Times New Roman"/>
          <w:b/>
          <w:bCs w:val="0"/>
          <w:strike w:val="0"/>
          <w:dstrike w:val="0"/>
          <w:color w:val="auto"/>
          <w:sz w:val="24"/>
          <w:szCs w:val="24"/>
          <w:highlight w:val="none"/>
          <w:u w:val="none" w:color="auto"/>
        </w:rPr>
        <w:t>1</w:t>
      </w:r>
      <w:r>
        <w:rPr>
          <w:rFonts w:hint="default" w:ascii="Times New Roman" w:hAnsi="Times New Roman" w:eastAsia="宋体" w:cs="Times New Roman"/>
          <w:b/>
          <w:bCs w:val="0"/>
          <w:strike w:val="0"/>
          <w:dstrike w:val="0"/>
          <w:color w:val="auto"/>
          <w:sz w:val="24"/>
          <w:szCs w:val="24"/>
          <w:highlight w:val="none"/>
          <w:u w:val="none" w:color="auto"/>
          <w:lang w:val="en-US" w:eastAsia="zh-CN"/>
        </w:rPr>
        <w:t>3</w:t>
      </w:r>
      <w:r>
        <w:rPr>
          <w:rFonts w:hint="default" w:ascii="Times New Roman" w:hAnsi="Times New Roman" w:eastAsia="宋体" w:cs="Times New Roman"/>
          <w:b/>
          <w:bCs w:val="0"/>
          <w:strike w:val="0"/>
          <w:dstrike w:val="0"/>
          <w:color w:val="auto"/>
          <w:sz w:val="24"/>
          <w:szCs w:val="24"/>
          <w:highlight w:val="none"/>
          <w:u w:val="none" w:color="auto"/>
        </w:rPr>
        <w:t>.1.1项目概况</w:t>
      </w:r>
    </w:p>
    <w:p w14:paraId="5BEB59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本项目用地面积约</w:t>
      </w:r>
      <w:r>
        <w:rPr>
          <w:rFonts w:hint="default" w:ascii="Times New Roman" w:hAnsi="Times New Roman" w:eastAsia="宋体" w:cs="Times New Roman"/>
          <w:color w:val="auto"/>
          <w:sz w:val="24"/>
          <w:szCs w:val="24"/>
          <w:highlight w:val="none"/>
          <w:u w:val="none" w:color="auto"/>
          <w:lang w:val="en-US" w:eastAsia="zh-CN"/>
        </w:rPr>
        <w:t>21233平方米（31.85</w:t>
      </w:r>
      <w:r>
        <w:rPr>
          <w:rFonts w:hint="default" w:ascii="Times New Roman" w:hAnsi="Times New Roman" w:eastAsia="宋体" w:cs="Times New Roman"/>
          <w:color w:val="auto"/>
          <w:sz w:val="24"/>
          <w:szCs w:val="24"/>
          <w:highlight w:val="none"/>
          <w:u w:val="none" w:color="auto"/>
        </w:rPr>
        <w:t>亩</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，主要建构筑物包括生产厂房（其中本项目生产线布置于</w:t>
      </w: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rPr>
        <w:t>#厂房、</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#厂房）</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综合楼、</w:t>
      </w:r>
      <w:r>
        <w:rPr>
          <w:rFonts w:hint="default" w:ascii="Times New Roman" w:hAnsi="Times New Roman" w:eastAsia="宋体" w:cs="Times New Roman"/>
          <w:color w:val="auto"/>
          <w:sz w:val="24"/>
          <w:szCs w:val="24"/>
          <w:highlight w:val="none"/>
          <w:u w:val="none" w:color="auto"/>
          <w:lang w:eastAsia="zh-CN"/>
        </w:rPr>
        <w:t>废水处理站</w:t>
      </w:r>
      <w:r>
        <w:rPr>
          <w:rFonts w:hint="default" w:ascii="Times New Roman" w:hAnsi="Times New Roman" w:eastAsia="宋体" w:cs="Times New Roman"/>
          <w:color w:val="auto"/>
          <w:sz w:val="24"/>
          <w:szCs w:val="24"/>
          <w:highlight w:val="none"/>
          <w:u w:val="none" w:color="auto"/>
        </w:rPr>
        <w:t>等。项目共设</w:t>
      </w:r>
      <w:r>
        <w:rPr>
          <w:rFonts w:hint="default" w:ascii="Times New Roman" w:hAnsi="Times New Roman" w:eastAsia="宋体" w:cs="Times New Roman"/>
          <w:color w:val="auto"/>
          <w:sz w:val="24"/>
          <w:szCs w:val="24"/>
          <w:highlight w:val="none"/>
          <w:u w:val="none" w:color="auto"/>
          <w:lang w:val="en-US" w:eastAsia="zh-CN"/>
        </w:rPr>
        <w:t>5</w:t>
      </w:r>
      <w:r>
        <w:rPr>
          <w:rFonts w:hint="default" w:ascii="Times New Roman" w:hAnsi="Times New Roman" w:eastAsia="宋体" w:cs="Times New Roman"/>
          <w:color w:val="auto"/>
          <w:sz w:val="24"/>
          <w:szCs w:val="24"/>
          <w:highlight w:val="none"/>
          <w:u w:val="none" w:color="auto"/>
          <w:lang w:eastAsia="zh-CN"/>
        </w:rPr>
        <w:t>个生产区域</w:t>
      </w:r>
      <w:r>
        <w:rPr>
          <w:rFonts w:hint="default" w:ascii="Times New Roman" w:hAnsi="Times New Roman" w:eastAsia="宋体" w:cs="Times New Roman"/>
          <w:color w:val="auto"/>
          <w:sz w:val="24"/>
          <w:szCs w:val="24"/>
          <w:highlight w:val="none"/>
          <w:u w:val="none" w:color="auto"/>
        </w:rPr>
        <w:t>，包括</w:t>
      </w:r>
      <w:r>
        <w:rPr>
          <w:rFonts w:hint="default"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eastAsia="zh-CN"/>
        </w:rPr>
        <w:t>个金刚石划片刀生产区域</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1个超硬材料砂轮</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lang w:val="en-US" w:eastAsia="zh-CN"/>
        </w:rPr>
        <w:t>、1个超硬材料磨头</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lang w:val="en-US" w:eastAsia="zh-CN"/>
        </w:rPr>
        <w:t>、1个超硬材料套瓦刀及套孔钻</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lang w:val="en-US" w:eastAsia="zh-CN"/>
        </w:rPr>
        <w:t>、1个烧结超硬材料制品</w:t>
      </w:r>
      <w:r>
        <w:rPr>
          <w:rFonts w:hint="default" w:ascii="Times New Roman" w:hAnsi="Times New Roman" w:eastAsia="宋体" w:cs="Times New Roman"/>
          <w:color w:val="auto"/>
          <w:sz w:val="24"/>
          <w:szCs w:val="24"/>
          <w:highlight w:val="none"/>
          <w:u w:val="none" w:color="auto"/>
          <w:lang w:eastAsia="zh-CN"/>
        </w:rPr>
        <w:t>生产区域</w:t>
      </w:r>
      <w:r>
        <w:rPr>
          <w:rFonts w:hint="default" w:ascii="Times New Roman" w:hAnsi="Times New Roman" w:eastAsia="宋体" w:cs="Times New Roman"/>
          <w:color w:val="auto"/>
          <w:sz w:val="24"/>
          <w:szCs w:val="24"/>
          <w:highlight w:val="none"/>
          <w:u w:val="none" w:color="auto"/>
        </w:rPr>
        <w:t>。</w:t>
      </w:r>
    </w:p>
    <w:p w14:paraId="5BA6FE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本项目生产规模为</w:t>
      </w:r>
      <w:r>
        <w:rPr>
          <w:rFonts w:hint="default" w:ascii="Times New Roman" w:hAnsi="Times New Roman" w:eastAsia="宋体" w:cs="Times New Roman"/>
          <w:color w:val="auto"/>
          <w:sz w:val="24"/>
          <w:szCs w:val="24"/>
          <w:highlight w:val="none"/>
          <w:u w:val="none" w:color="auto"/>
          <w:lang w:eastAsia="zh-CN"/>
        </w:rPr>
        <w:t>年产金刚石划片刀</w:t>
      </w:r>
      <w:r>
        <w:rPr>
          <w:rFonts w:hint="default" w:ascii="Times New Roman" w:hAnsi="Times New Roman" w:eastAsia="宋体" w:cs="Times New Roman"/>
          <w:color w:val="auto"/>
          <w:sz w:val="24"/>
          <w:szCs w:val="24"/>
          <w:highlight w:val="none"/>
          <w:u w:val="none" w:color="auto"/>
          <w:lang w:val="en-US" w:eastAsia="zh-CN"/>
        </w:rPr>
        <w:t>100万片/年（电镀面积30000m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lang w:val="en-US" w:eastAsia="zh-CN"/>
        </w:rPr>
        <w:t>）、超硬材料砂轮50万片/年（电镀面积60000m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lang w:val="en-US" w:eastAsia="zh-CN"/>
        </w:rPr>
        <w:t>）、超硬材料磨头300万片/年（电镀面积10000m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lang w:val="en-US" w:eastAsia="zh-CN"/>
        </w:rPr>
        <w:t>）、超硬材料套瓦刀及套孔钻470万片/年（电镀面积5640m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lang w:val="en-US" w:eastAsia="zh-CN"/>
        </w:rPr>
        <w:t>）、烧结超硬材料制品80万件/年，合计超硬材料1000万件/年，电镀面积195640m</w:t>
      </w:r>
      <w:r>
        <w:rPr>
          <w:rFonts w:hint="default" w:ascii="Times New Roman" w:hAnsi="Times New Roman" w:eastAsia="宋体" w:cs="Times New Roman"/>
          <w:color w:val="auto"/>
          <w:sz w:val="24"/>
          <w:szCs w:val="24"/>
          <w:highlight w:val="none"/>
          <w:u w:val="none" w:color="auto"/>
          <w:vertAlign w:val="superscript"/>
          <w:lang w:val="en-US" w:eastAsia="zh-CN"/>
        </w:rPr>
        <w:t>2</w:t>
      </w:r>
      <w:r>
        <w:rPr>
          <w:rFonts w:hint="default" w:ascii="Times New Roman" w:hAnsi="Times New Roman" w:eastAsia="宋体" w:cs="Times New Roman"/>
          <w:color w:val="auto"/>
          <w:sz w:val="24"/>
          <w:szCs w:val="24"/>
          <w:highlight w:val="none"/>
          <w:u w:val="none" w:color="auto"/>
        </w:rPr>
        <w:t>。</w:t>
      </w:r>
    </w:p>
    <w:p w14:paraId="73592C3F">
      <w:pPr>
        <w:pStyle w:val="4"/>
        <w:widowControl/>
        <w:spacing w:before="0" w:beforeAutospacing="0" w:after="0" w:afterAutospacing="0" w:line="480" w:lineRule="exact"/>
        <w:rPr>
          <w:rFonts w:hint="default" w:ascii="Times New Roman" w:hAnsi="Times New Roman" w:eastAsia="宋体" w:cs="Times New Roman"/>
          <w:b/>
          <w:bCs w:val="0"/>
          <w:strike w:val="0"/>
          <w:dstrike w:val="0"/>
          <w:color w:val="auto"/>
          <w:sz w:val="24"/>
          <w:szCs w:val="24"/>
          <w:highlight w:val="none"/>
          <w:u w:val="none" w:color="auto"/>
        </w:rPr>
      </w:pPr>
      <w:r>
        <w:rPr>
          <w:rFonts w:hint="default" w:ascii="Times New Roman" w:hAnsi="Times New Roman" w:eastAsia="宋体" w:cs="Times New Roman"/>
          <w:b/>
          <w:bCs w:val="0"/>
          <w:strike w:val="0"/>
          <w:dstrike w:val="0"/>
          <w:color w:val="auto"/>
          <w:sz w:val="24"/>
          <w:szCs w:val="24"/>
          <w:highlight w:val="none"/>
          <w:u w:val="none" w:color="auto"/>
        </w:rPr>
        <w:t>1</w:t>
      </w:r>
      <w:r>
        <w:rPr>
          <w:rFonts w:hint="default" w:ascii="Times New Roman" w:hAnsi="Times New Roman" w:eastAsia="宋体" w:cs="Times New Roman"/>
          <w:b/>
          <w:bCs w:val="0"/>
          <w:strike w:val="0"/>
          <w:dstrike w:val="0"/>
          <w:color w:val="auto"/>
          <w:sz w:val="24"/>
          <w:szCs w:val="24"/>
          <w:highlight w:val="none"/>
          <w:u w:val="none" w:color="auto"/>
          <w:lang w:val="en-US" w:eastAsia="zh-CN"/>
        </w:rPr>
        <w:t>3</w:t>
      </w:r>
      <w:r>
        <w:rPr>
          <w:rFonts w:hint="default" w:ascii="Times New Roman" w:hAnsi="Times New Roman" w:eastAsia="宋体" w:cs="Times New Roman"/>
          <w:b/>
          <w:bCs w:val="0"/>
          <w:strike w:val="0"/>
          <w:dstrike w:val="0"/>
          <w:color w:val="auto"/>
          <w:sz w:val="24"/>
          <w:szCs w:val="24"/>
          <w:highlight w:val="none"/>
          <w:u w:val="none" w:color="auto"/>
        </w:rPr>
        <w:t>.1.2环境质量现状</w:t>
      </w:r>
    </w:p>
    <w:p w14:paraId="0D32EC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（1）大气环境</w:t>
      </w:r>
    </w:p>
    <w:p w14:paraId="71308D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衡阳市生态环境局网站公开发布的《关于2021年12月及1-12月全市环境质量状况的通报》中衡阳市城区2021年环境空气质量常规监测点衡阳化工总厂的监测统计资料，项目所在的城市环境空气质量为PM2.5不达标区，本项目所在区域已满足《衡阳市大气环境质量限期达标规划》（2020-2025）要求。</w:t>
      </w:r>
    </w:p>
    <w:p w14:paraId="47F2B1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根据补充监测数据，项目所在区域其他污染物硫酸雾、氯化氢、TVOC能够满足《环境影响评价技术导则大气环境》（HJ2.2-2018）附录D其他污染物空气质量浓度参考限值要求。</w:t>
      </w:r>
    </w:p>
    <w:p w14:paraId="1579A9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（2）地表水环境</w:t>
      </w:r>
    </w:p>
    <w:p w14:paraId="62245B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根据引用的监测数据，本项目所在区域湘江常规断面水质能满足《地表水环境质量标准》（GB3838-2002）II类水质要求，水环境质量良好。</w:t>
      </w:r>
    </w:p>
    <w:p w14:paraId="12E794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（3）地下水环境</w:t>
      </w:r>
    </w:p>
    <w:p w14:paraId="268EE0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根据监测数据，各监测点各污染因子均符合《地下水质量标准》（GB/T14848-2017）Ⅲ类标准要求。区域地下水环境质量良好。</w:t>
      </w:r>
    </w:p>
    <w:p w14:paraId="7C00C8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（4）声环境</w:t>
      </w:r>
    </w:p>
    <w:p w14:paraId="3928A0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根据现状监测，项目用地东侧、南侧、西侧监测点位昼、夜噪声监测值均符合《声环境质量标准》（GB3096-2008）3类要求，北侧符合4a类标准要求。</w:t>
      </w:r>
    </w:p>
    <w:p w14:paraId="128830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（5）土壤环境</w:t>
      </w:r>
    </w:p>
    <w:p w14:paraId="75AABF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根据现状监测，本项目所在地及其周边土壤环境质量现状能够满足《土壤环境质量建设用地土壤污染风险管控标准（试行）》（GB36600-2018）第二类用地筛选值要求。</w:t>
      </w:r>
    </w:p>
    <w:p w14:paraId="5AE3B6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（6）生态环境</w:t>
      </w:r>
    </w:p>
    <w:p w14:paraId="4497A1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评价范围内未发现珍稀濒危野生动植物，项目所在区域生态环境质量一般。</w:t>
      </w:r>
    </w:p>
    <w:p w14:paraId="38FCC4ED">
      <w:pPr>
        <w:pStyle w:val="4"/>
        <w:widowControl/>
        <w:spacing w:before="0" w:beforeAutospacing="0" w:after="0" w:afterAutospacing="0" w:line="480" w:lineRule="exact"/>
        <w:rPr>
          <w:rFonts w:hint="default" w:ascii="Times New Roman" w:hAnsi="Times New Roman" w:eastAsia="宋体" w:cs="Times New Roman"/>
          <w:b/>
          <w:bCs w:val="0"/>
          <w:strike w:val="0"/>
          <w:dstrike w:val="0"/>
          <w:color w:val="auto"/>
          <w:sz w:val="24"/>
          <w:szCs w:val="24"/>
          <w:highlight w:val="none"/>
          <w:u w:val="none" w:color="auto"/>
        </w:rPr>
      </w:pPr>
      <w:r>
        <w:rPr>
          <w:rFonts w:hint="default" w:ascii="Times New Roman" w:hAnsi="Times New Roman" w:eastAsia="宋体" w:cs="Times New Roman"/>
          <w:b/>
          <w:bCs w:val="0"/>
          <w:strike w:val="0"/>
          <w:dstrike w:val="0"/>
          <w:color w:val="auto"/>
          <w:sz w:val="24"/>
          <w:szCs w:val="24"/>
          <w:highlight w:val="none"/>
          <w:u w:val="none" w:color="auto"/>
        </w:rPr>
        <w:t>1</w:t>
      </w:r>
      <w:r>
        <w:rPr>
          <w:rFonts w:hint="default" w:ascii="Times New Roman" w:hAnsi="Times New Roman" w:eastAsia="宋体" w:cs="Times New Roman"/>
          <w:b/>
          <w:bCs w:val="0"/>
          <w:strike w:val="0"/>
          <w:dstrike w:val="0"/>
          <w:color w:val="auto"/>
          <w:sz w:val="24"/>
          <w:szCs w:val="24"/>
          <w:highlight w:val="none"/>
          <w:u w:val="none" w:color="auto"/>
          <w:lang w:val="en-US" w:eastAsia="zh-CN"/>
        </w:rPr>
        <w:t>3.1.3运营期环境影响分析</w:t>
      </w:r>
    </w:p>
    <w:p w14:paraId="270359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（1）大气环境</w:t>
      </w:r>
    </w:p>
    <w:p w14:paraId="2FBF85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本项目运营期废气主要污染物为氯化氢、硫酸雾、氮氧化物、颗粒物、</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4"/>
          <w:highlight w:val="none"/>
          <w:u w:val="none" w:color="auto"/>
          <w:lang w:val="en-US" w:eastAsia="zh-CN"/>
        </w:rPr>
        <w:t>、臭气浓度，其中氯化氢、硫酸雾、氮氧化物主要来源于各生产线预处理中的活化、出光等工序以及退镀线退镀，</w:t>
      </w:r>
      <w:r>
        <w:rPr>
          <w:rFonts w:hint="default" w:ascii="Times New Roman" w:hAnsi="Times New Roman" w:eastAsia="宋体" w:cs="Times New Roman"/>
          <w:color w:val="auto"/>
          <w:sz w:val="24"/>
          <w:szCs w:val="24"/>
          <w:highlight w:val="none"/>
          <w:u w:val="none" w:color="auto"/>
          <w:lang w:eastAsia="zh-CN"/>
        </w:rPr>
        <w:t>非甲烷总烃</w:t>
      </w:r>
      <w:r>
        <w:rPr>
          <w:rFonts w:hint="default" w:ascii="Times New Roman" w:hAnsi="Times New Roman" w:eastAsia="宋体" w:cs="Times New Roman"/>
          <w:color w:val="auto"/>
          <w:sz w:val="24"/>
          <w:szCs w:val="24"/>
          <w:highlight w:val="none"/>
          <w:u w:val="none" w:color="auto"/>
          <w:lang w:val="en-US" w:eastAsia="zh-CN"/>
        </w:rPr>
        <w:t>来源烧结超硬材料制品生产线的树脂压制及烧结工序，颗粒物来源于机加工</w:t>
      </w:r>
      <w:r>
        <w:rPr>
          <w:rFonts w:hint="eastAsia" w:ascii="Times New Roman" w:hAnsi="Times New Roman" w:eastAsia="宋体" w:cs="Times New Roman"/>
          <w:color w:val="auto"/>
          <w:sz w:val="24"/>
          <w:szCs w:val="24"/>
          <w:highlight w:val="none"/>
          <w:u w:val="none" w:color="auto"/>
          <w:lang w:val="en-US" w:eastAsia="zh-CN"/>
        </w:rPr>
        <w:t>工序</w:t>
      </w:r>
      <w:r>
        <w:rPr>
          <w:rFonts w:hint="default" w:ascii="Times New Roman" w:hAnsi="Times New Roman" w:eastAsia="宋体" w:cs="Times New Roman"/>
          <w:color w:val="auto"/>
          <w:sz w:val="24"/>
          <w:szCs w:val="24"/>
          <w:highlight w:val="none"/>
          <w:u w:val="none" w:color="auto"/>
          <w:lang w:val="en-US" w:eastAsia="zh-CN"/>
        </w:rPr>
        <w:t>，臭气浓度主要来源于废水处理站及树脂压制及烧结工序，经预测，本项目运营期废气经处理达标后，各类污染物对周边环境空气质量贡献较小，能够满足周边环境空气质量要求。项目无需设置大气环境防护距离。</w:t>
      </w:r>
    </w:p>
    <w:p w14:paraId="673E26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因此，评价认为本项目的环境影响可以接受。</w:t>
      </w:r>
    </w:p>
    <w:p w14:paraId="000313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（2）地表水环境</w:t>
      </w:r>
    </w:p>
    <w:p w14:paraId="086396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项目运营期废水主要包括</w:t>
      </w:r>
      <w:r>
        <w:rPr>
          <w:rFonts w:hint="default" w:ascii="Times New Roman" w:hAnsi="Times New Roman" w:eastAsia="宋体" w:cs="Times New Roman"/>
          <w:color w:val="auto"/>
          <w:sz w:val="24"/>
          <w:szCs w:val="24"/>
          <w:highlight w:val="none"/>
          <w:u w:val="none" w:color="auto"/>
        </w:rPr>
        <w:t>运营期废水主要包括各</w:t>
      </w:r>
      <w:r>
        <w:rPr>
          <w:rFonts w:hint="eastAsia" w:ascii="Times New Roman" w:hAnsi="Times New Roman" w:eastAsia="宋体" w:cs="Times New Roman"/>
          <w:color w:val="auto"/>
          <w:sz w:val="24"/>
          <w:szCs w:val="24"/>
          <w:highlight w:val="none"/>
          <w:u w:val="none" w:color="auto"/>
          <w:lang w:val="en-US" w:eastAsia="zh-CN"/>
        </w:rPr>
        <w:t>电镀</w:t>
      </w:r>
      <w:r>
        <w:rPr>
          <w:rFonts w:hint="default" w:ascii="Times New Roman" w:hAnsi="Times New Roman" w:eastAsia="宋体" w:cs="Times New Roman"/>
          <w:color w:val="auto"/>
          <w:sz w:val="24"/>
          <w:szCs w:val="24"/>
          <w:highlight w:val="none"/>
          <w:u w:val="none" w:color="auto"/>
        </w:rPr>
        <w:t>生产工艺废水（包括酸碱</w:t>
      </w:r>
      <w:r>
        <w:rPr>
          <w:rFonts w:hint="default" w:ascii="Times New Roman" w:hAnsi="Times New Roman" w:eastAsia="宋体" w:cs="Times New Roman"/>
          <w:color w:val="auto"/>
          <w:sz w:val="24"/>
          <w:szCs w:val="24"/>
          <w:highlight w:val="none"/>
          <w:u w:val="none" w:color="auto"/>
          <w:lang w:eastAsia="zh-CN"/>
        </w:rPr>
        <w:t>废水、</w:t>
      </w:r>
      <w:r>
        <w:rPr>
          <w:rFonts w:hint="default" w:ascii="Times New Roman" w:hAnsi="Times New Roman" w:eastAsia="宋体" w:cs="Times New Roman"/>
          <w:color w:val="auto"/>
          <w:sz w:val="24"/>
          <w:szCs w:val="24"/>
          <w:highlight w:val="none"/>
          <w:u w:val="none" w:color="auto"/>
        </w:rPr>
        <w:t>含油废水、含镍废水、含铜废水、含锌</w:t>
      </w:r>
      <w:r>
        <w:rPr>
          <w:rFonts w:hint="default" w:ascii="Times New Roman" w:hAnsi="Times New Roman" w:eastAsia="宋体" w:cs="Times New Roman"/>
          <w:color w:val="auto"/>
          <w:sz w:val="24"/>
          <w:szCs w:val="24"/>
          <w:highlight w:val="none"/>
          <w:u w:val="none" w:color="auto"/>
          <w:lang w:eastAsia="zh-CN"/>
        </w:rPr>
        <w:t>镍</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退镀</w:t>
      </w:r>
      <w:r>
        <w:rPr>
          <w:rFonts w:hint="default" w:ascii="Times New Roman" w:hAnsi="Times New Roman" w:eastAsia="宋体" w:cs="Times New Roman"/>
          <w:color w:val="auto"/>
          <w:sz w:val="24"/>
          <w:szCs w:val="24"/>
          <w:highlight w:val="none"/>
          <w:u w:val="none" w:color="auto"/>
        </w:rPr>
        <w:t>废水）、</w:t>
      </w:r>
      <w:r>
        <w:rPr>
          <w:rFonts w:hint="default" w:ascii="Times New Roman" w:hAnsi="Times New Roman" w:eastAsia="宋体" w:cs="Times New Roman"/>
          <w:color w:val="auto"/>
          <w:sz w:val="24"/>
          <w:szCs w:val="24"/>
          <w:highlight w:val="none"/>
          <w:u w:val="none" w:color="auto"/>
          <w:lang w:eastAsia="zh-CN"/>
        </w:rPr>
        <w:t>实验室废水（</w:t>
      </w:r>
      <w:r>
        <w:rPr>
          <w:rFonts w:hint="default" w:ascii="Times New Roman" w:hAnsi="Times New Roman" w:eastAsia="宋体" w:cs="Times New Roman"/>
          <w:color w:val="auto"/>
          <w:sz w:val="24"/>
          <w:szCs w:val="24"/>
          <w:highlight w:val="none"/>
          <w:u w:val="none" w:color="auto"/>
        </w:rPr>
        <w:t>包括酸碱</w:t>
      </w:r>
      <w:r>
        <w:rPr>
          <w:rFonts w:hint="default" w:ascii="Times New Roman" w:hAnsi="Times New Roman" w:eastAsia="宋体" w:cs="Times New Roman"/>
          <w:color w:val="auto"/>
          <w:sz w:val="24"/>
          <w:szCs w:val="24"/>
          <w:highlight w:val="none"/>
          <w:u w:val="none" w:color="auto"/>
          <w:lang w:eastAsia="zh-CN"/>
        </w:rPr>
        <w:t>废水、</w:t>
      </w:r>
      <w:r>
        <w:rPr>
          <w:rFonts w:hint="default" w:ascii="Times New Roman" w:hAnsi="Times New Roman" w:eastAsia="宋体" w:cs="Times New Roman"/>
          <w:color w:val="auto"/>
          <w:sz w:val="24"/>
          <w:szCs w:val="24"/>
          <w:highlight w:val="none"/>
          <w:u w:val="none" w:color="auto"/>
        </w:rPr>
        <w:t>含油废水</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含镍废水</w:t>
      </w: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电镀车间地面清洗废水</w:t>
      </w:r>
      <w:r>
        <w:rPr>
          <w:rFonts w:hint="default" w:ascii="Times New Roman" w:hAnsi="Times New Roman" w:eastAsia="宋体" w:cs="Times New Roman"/>
          <w:color w:val="auto"/>
          <w:sz w:val="24"/>
          <w:szCs w:val="24"/>
          <w:highlight w:val="none"/>
          <w:u w:val="none" w:color="auto"/>
        </w:rPr>
        <w:t>、</w:t>
      </w:r>
      <w:r>
        <w:rPr>
          <w:rFonts w:hint="eastAsia" w:ascii="Times New Roman" w:hAnsi="Times New Roman" w:eastAsia="宋体" w:cs="Times New Roman"/>
          <w:color w:val="auto"/>
          <w:sz w:val="24"/>
          <w:szCs w:val="24"/>
          <w:highlight w:val="none"/>
          <w:u w:val="none" w:color="auto"/>
          <w:lang w:val="en-US" w:eastAsia="zh-CN"/>
        </w:rPr>
        <w:t>机加工车间废水（卫生废水、容器清洗废水、直接冷却废水）、</w:t>
      </w:r>
      <w:r>
        <w:rPr>
          <w:rFonts w:hint="default" w:ascii="Times New Roman" w:hAnsi="Times New Roman" w:eastAsia="宋体" w:cs="Times New Roman"/>
          <w:color w:val="auto"/>
          <w:sz w:val="24"/>
          <w:szCs w:val="24"/>
          <w:highlight w:val="none"/>
          <w:u w:val="none" w:color="auto"/>
        </w:rPr>
        <w:t>废气处理设施废水、生活污水及初期雨水</w:t>
      </w:r>
    </w:p>
    <w:p w14:paraId="3FE726BE">
      <w:pPr>
        <w:ind w:firstLine="561"/>
        <w:rPr>
          <w:rFonts w:hint="default" w:ascii="Times New Roman" w:hAnsi="Times New Roman" w:cs="Times New Roman"/>
          <w:color w:val="auto"/>
          <w:sz w:val="24"/>
          <w:highlight w:val="none"/>
          <w:u w:val="none" w:color="auto"/>
        </w:rPr>
      </w:pPr>
      <w:r>
        <w:rPr>
          <w:rFonts w:hint="default" w:ascii="Times New Roman" w:hAnsi="Times New Roman" w:eastAsia="宋体" w:cs="Times New Roman"/>
          <w:strike w:val="0"/>
          <w:dstrike w:val="0"/>
          <w:color w:val="auto"/>
          <w:sz w:val="24"/>
          <w:szCs w:val="21"/>
          <w:highlight w:val="none"/>
          <w:u w:val="none" w:color="auto"/>
        </w:rPr>
        <w:t>项目</w:t>
      </w:r>
      <w:r>
        <w:rPr>
          <w:rFonts w:hint="default" w:ascii="Times New Roman" w:hAnsi="Times New Roman" w:eastAsia="宋体" w:cs="Times New Roman"/>
          <w:strike w:val="0"/>
          <w:dstrike w:val="0"/>
          <w:color w:val="auto"/>
          <w:sz w:val="24"/>
          <w:szCs w:val="21"/>
          <w:highlight w:val="none"/>
          <w:u w:val="none" w:color="auto"/>
          <w:lang w:eastAsia="zh-CN"/>
        </w:rPr>
        <w:t>含重金属废水经</w:t>
      </w:r>
      <w:r>
        <w:rPr>
          <w:rFonts w:hint="default" w:ascii="Times New Roman" w:hAnsi="Times New Roman" w:eastAsia="宋体" w:cs="Times New Roman"/>
          <w:strike w:val="0"/>
          <w:dstrike w:val="0"/>
          <w:color w:val="auto"/>
          <w:sz w:val="24"/>
          <w:szCs w:val="21"/>
          <w:highlight w:val="none"/>
          <w:u w:val="none" w:color="auto"/>
          <w:lang w:val="en-US" w:eastAsia="zh-CN"/>
        </w:rPr>
        <w:t>pH中和+沉淀</w:t>
      </w:r>
      <w:r>
        <w:rPr>
          <w:rFonts w:hint="eastAsia" w:ascii="Times New Roman" w:hAnsi="Times New Roman" w:eastAsia="宋体" w:cs="Times New Roman"/>
          <w:strike w:val="0"/>
          <w:dstrike w:val="0"/>
          <w:color w:val="auto"/>
          <w:sz w:val="24"/>
          <w:szCs w:val="21"/>
          <w:highlight w:val="none"/>
          <w:u w:val="none" w:color="auto"/>
          <w:lang w:val="en-US" w:eastAsia="zh-CN"/>
        </w:rPr>
        <w:t>（自由沉降）</w:t>
      </w:r>
      <w:r>
        <w:rPr>
          <w:rFonts w:hint="default"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strike w:val="0"/>
          <w:dstrike w:val="0"/>
          <w:color w:val="auto"/>
          <w:sz w:val="24"/>
          <w:szCs w:val="21"/>
          <w:highlight w:val="none"/>
          <w:u w:val="none" w:color="auto"/>
          <w:lang w:val="en-US" w:eastAsia="zh-CN"/>
        </w:rPr>
        <w:t>回用</w:t>
      </w:r>
      <w:r>
        <w:rPr>
          <w:rFonts w:hint="eastAsia" w:ascii="Times New Roman" w:hAnsi="Times New Roman" w:eastAsia="宋体" w:cs="Times New Roman"/>
          <w:strike w:val="0"/>
          <w:dstrike w:val="0"/>
          <w:color w:val="auto"/>
          <w:sz w:val="24"/>
          <w:szCs w:val="21"/>
          <w:highlight w:val="none"/>
          <w:u w:val="none" w:color="auto"/>
          <w:lang w:val="en-US" w:eastAsia="zh-CN"/>
        </w:rPr>
        <w:t>；非重金属废水</w:t>
      </w:r>
      <w:r>
        <w:rPr>
          <w:rFonts w:hint="default" w:ascii="Times New Roman" w:hAnsi="Times New Roman" w:eastAsia="宋体" w:cs="Times New Roman"/>
          <w:strike w:val="0"/>
          <w:dstrike w:val="0"/>
          <w:color w:val="auto"/>
          <w:sz w:val="24"/>
          <w:szCs w:val="21"/>
          <w:highlight w:val="none"/>
          <w:u w:val="none" w:color="auto"/>
          <w:lang w:val="en-US" w:eastAsia="zh-CN"/>
        </w:rPr>
        <w:t>经</w:t>
      </w:r>
      <w:r>
        <w:rPr>
          <w:rFonts w:hint="default" w:ascii="Times New Roman" w:hAnsi="Times New Roman" w:eastAsia="宋体" w:cs="Times New Roman"/>
          <w:strike w:val="0"/>
          <w:dstrike w:val="0"/>
          <w:color w:val="auto"/>
          <w:sz w:val="24"/>
          <w:szCs w:val="21"/>
          <w:highlight w:val="none"/>
          <w:u w:val="none" w:color="auto"/>
          <w:lang w:eastAsia="zh-CN"/>
        </w:rPr>
        <w:t>隔油</w:t>
      </w:r>
      <w:r>
        <w:rPr>
          <w:rFonts w:hint="default" w:ascii="Times New Roman" w:hAnsi="Times New Roman" w:eastAsia="宋体" w:cs="Times New Roman"/>
          <w:strike w:val="0"/>
          <w:dstrike w:val="0"/>
          <w:color w:val="auto"/>
          <w:sz w:val="24"/>
          <w:szCs w:val="21"/>
          <w:highlight w:val="none"/>
          <w:u w:val="none" w:color="auto"/>
        </w:rPr>
        <w:t>+</w:t>
      </w:r>
      <w:r>
        <w:rPr>
          <w:rFonts w:hint="default" w:ascii="Times New Roman" w:hAnsi="Times New Roman" w:eastAsia="宋体" w:cs="Times New Roman"/>
          <w:strike w:val="0"/>
          <w:dstrike w:val="0"/>
          <w:color w:val="auto"/>
          <w:sz w:val="24"/>
          <w:szCs w:val="21"/>
          <w:highlight w:val="none"/>
          <w:u w:val="none" w:color="auto"/>
          <w:lang w:eastAsia="zh-CN"/>
        </w:rPr>
        <w:t>气浮</w:t>
      </w:r>
      <w:r>
        <w:rPr>
          <w:rFonts w:hint="default" w:ascii="Times New Roman" w:hAnsi="Times New Roman" w:eastAsia="宋体" w:cs="Times New Roman"/>
          <w:strike w:val="0"/>
          <w:dstrike w:val="0"/>
          <w:color w:val="auto"/>
          <w:sz w:val="24"/>
          <w:szCs w:val="21"/>
          <w:highlight w:val="none"/>
          <w:u w:val="none" w:color="auto"/>
          <w:lang w:val="en-US" w:eastAsia="zh-CN"/>
        </w:rPr>
        <w:t>+</w:t>
      </w:r>
      <w:r>
        <w:rPr>
          <w:rFonts w:hint="default" w:ascii="Times New Roman" w:hAnsi="Times New Roman" w:eastAsia="宋体" w:cs="Times New Roman"/>
          <w:strike w:val="0"/>
          <w:dstrike w:val="0"/>
          <w:color w:val="auto"/>
          <w:sz w:val="24"/>
          <w:szCs w:val="21"/>
          <w:highlight w:val="none"/>
          <w:u w:val="none" w:color="auto"/>
        </w:rPr>
        <w:t>混凝沉淀+</w:t>
      </w:r>
      <w:r>
        <w:rPr>
          <w:rFonts w:hint="default" w:ascii="Times New Roman" w:hAnsi="Times New Roman" w:eastAsia="宋体" w:cs="Times New Roman"/>
          <w:strike w:val="0"/>
          <w:dstrike w:val="0"/>
          <w:color w:val="auto"/>
          <w:sz w:val="24"/>
          <w:szCs w:val="21"/>
          <w:highlight w:val="none"/>
          <w:u w:val="none" w:color="auto"/>
          <w:lang w:eastAsia="zh-CN"/>
        </w:rPr>
        <w:t>袋滤</w:t>
      </w:r>
      <w:r>
        <w:rPr>
          <w:rFonts w:hint="default" w:ascii="Times New Roman" w:hAnsi="Times New Roman" w:eastAsia="宋体" w:cs="Times New Roman"/>
          <w:strike w:val="0"/>
          <w:dstrike w:val="0"/>
          <w:color w:val="auto"/>
          <w:sz w:val="24"/>
          <w:szCs w:val="21"/>
          <w:highlight w:val="none"/>
          <w:u w:val="none" w:color="auto"/>
        </w:rPr>
        <w:t>+超滤处理后</w:t>
      </w:r>
      <w:r>
        <w:rPr>
          <w:rFonts w:hint="default" w:ascii="Times New Roman" w:hAnsi="Times New Roman" w:eastAsia="宋体" w:cs="Times New Roman"/>
          <w:strike w:val="0"/>
          <w:dstrike w:val="0"/>
          <w:color w:val="auto"/>
          <w:sz w:val="24"/>
          <w:szCs w:val="21"/>
          <w:highlight w:val="none"/>
          <w:u w:val="none" w:color="auto"/>
          <w:lang w:eastAsia="zh-CN"/>
        </w:rPr>
        <w:t>部分回用，剩余部分</w:t>
      </w:r>
      <w:r>
        <w:rPr>
          <w:rFonts w:hint="eastAsia" w:ascii="Times New Roman" w:hAnsi="Times New Roman" w:eastAsia="宋体" w:cs="Times New Roman"/>
          <w:strike w:val="0"/>
          <w:dstrike w:val="0"/>
          <w:color w:val="auto"/>
          <w:sz w:val="24"/>
          <w:szCs w:val="21"/>
          <w:highlight w:val="none"/>
          <w:u w:val="none" w:color="auto"/>
          <w:lang w:val="en-US" w:eastAsia="zh-CN"/>
        </w:rPr>
        <w:t>浓水</w:t>
      </w:r>
      <w:r>
        <w:rPr>
          <w:rFonts w:hint="default" w:ascii="Times New Roman" w:hAnsi="Times New Roman" w:eastAsia="宋体" w:cs="Times New Roman"/>
          <w:strike w:val="0"/>
          <w:dstrike w:val="0"/>
          <w:color w:val="auto"/>
          <w:sz w:val="24"/>
          <w:szCs w:val="21"/>
          <w:highlight w:val="none"/>
          <w:u w:val="none" w:color="auto"/>
          <w:lang w:eastAsia="zh-CN"/>
        </w:rPr>
        <w:t>经</w:t>
      </w:r>
      <w:r>
        <w:rPr>
          <w:rFonts w:hint="default" w:ascii="Times New Roman" w:hAnsi="Times New Roman" w:eastAsia="宋体" w:cs="Times New Roman"/>
          <w:color w:val="auto"/>
          <w:sz w:val="24"/>
          <w:szCs w:val="24"/>
          <w:highlight w:val="none"/>
          <w:u w:val="none" w:color="auto"/>
          <w:lang w:val="en-US" w:eastAsia="zh-CN"/>
        </w:rPr>
        <w:t>三效蒸发器</w:t>
      </w:r>
      <w:r>
        <w:rPr>
          <w:rFonts w:hint="eastAsia" w:ascii="Times New Roman" w:hAnsi="Times New Roman" w:eastAsia="宋体" w:cs="Times New Roman"/>
          <w:color w:val="auto"/>
          <w:sz w:val="24"/>
          <w:szCs w:val="24"/>
          <w:highlight w:val="none"/>
          <w:u w:val="none" w:color="auto"/>
          <w:lang w:val="en-US" w:eastAsia="zh-CN"/>
        </w:rPr>
        <w:t>蒸发后冷凝水</w:t>
      </w:r>
      <w:r>
        <w:rPr>
          <w:rFonts w:hint="default" w:ascii="Times New Roman" w:hAnsi="Times New Roman" w:eastAsia="宋体" w:cs="Times New Roman"/>
          <w:strike w:val="0"/>
          <w:dstrike w:val="0"/>
          <w:color w:val="auto"/>
          <w:sz w:val="24"/>
          <w:szCs w:val="21"/>
          <w:highlight w:val="none"/>
          <w:u w:val="none" w:color="auto"/>
          <w:lang w:val="en-US" w:eastAsia="zh-CN"/>
        </w:rPr>
        <w:t>回用</w:t>
      </w:r>
      <w:r>
        <w:rPr>
          <w:rFonts w:hint="default" w:ascii="Times New Roman" w:hAnsi="Times New Roman" w:eastAsia="宋体" w:cs="Times New Roman"/>
          <w:strike w:val="0"/>
          <w:dstrike w:val="0"/>
          <w:color w:val="auto"/>
          <w:sz w:val="24"/>
          <w:szCs w:val="21"/>
          <w:highlight w:val="none"/>
          <w:u w:val="none" w:color="auto"/>
        </w:rPr>
        <w:t>，不外排</w:t>
      </w:r>
      <w:r>
        <w:rPr>
          <w:rFonts w:hint="eastAsia" w:ascii="Times New Roman" w:hAnsi="Times New Roman" w:eastAsia="宋体" w:cs="Times New Roman"/>
          <w:strike w:val="0"/>
          <w:dstrike w:val="0"/>
          <w:color w:val="auto"/>
          <w:sz w:val="24"/>
          <w:szCs w:val="21"/>
          <w:highlight w:val="none"/>
          <w:u w:val="none" w:color="auto"/>
          <w:lang w:eastAsia="zh-CN"/>
        </w:rPr>
        <w:t>；</w:t>
      </w:r>
      <w:r>
        <w:rPr>
          <w:rFonts w:hint="eastAsia" w:ascii="Times New Roman" w:hAnsi="Times New Roman" w:eastAsia="宋体" w:cs="Times New Roman"/>
          <w:strike w:val="0"/>
          <w:dstrike w:val="0"/>
          <w:color w:val="auto"/>
          <w:sz w:val="24"/>
          <w:szCs w:val="21"/>
          <w:highlight w:val="none"/>
          <w:u w:val="none" w:color="auto"/>
          <w:lang w:val="en-US" w:eastAsia="zh-CN"/>
        </w:rPr>
        <w:t>初期雨水经非重金属废水处理设施处理后回用于生产；机加工车间卫生废水、容器清洗废水、直接冷却废水经独立沉淀池收集沉淀后</w:t>
      </w:r>
      <w:r>
        <w:rPr>
          <w:rFonts w:hint="default" w:ascii="Times New Roman" w:hAnsi="Times New Roman" w:eastAsia="宋体" w:cs="Times New Roman"/>
          <w:strike w:val="0"/>
          <w:dstrike w:val="0"/>
          <w:color w:val="auto"/>
          <w:sz w:val="24"/>
          <w:szCs w:val="21"/>
          <w:highlight w:val="none"/>
          <w:u w:val="none" w:color="auto"/>
        </w:rPr>
        <w:t>排至松木污水</w:t>
      </w:r>
      <w:r>
        <w:rPr>
          <w:rFonts w:hint="default" w:ascii="Times New Roman" w:hAnsi="Times New Roman" w:eastAsia="宋体" w:cs="Times New Roman"/>
          <w:color w:val="auto"/>
          <w:sz w:val="24"/>
          <w:szCs w:val="24"/>
          <w:highlight w:val="none"/>
          <w:u w:val="none" w:color="auto"/>
        </w:rPr>
        <w:t>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strike w:val="0"/>
          <w:dstrike w:val="0"/>
          <w:color w:val="auto"/>
          <w:sz w:val="24"/>
          <w:szCs w:val="21"/>
          <w:highlight w:val="none"/>
          <w:u w:val="none" w:color="auto"/>
        </w:rPr>
        <w:t>生活污水经厂内化粪池预处理后排至松木污水</w:t>
      </w:r>
      <w:r>
        <w:rPr>
          <w:rFonts w:hint="default" w:ascii="Times New Roman" w:hAnsi="Times New Roman" w:eastAsia="宋体" w:cs="Times New Roman"/>
          <w:color w:val="auto"/>
          <w:sz w:val="24"/>
          <w:szCs w:val="24"/>
          <w:highlight w:val="none"/>
          <w:u w:val="none" w:color="auto"/>
        </w:rPr>
        <w:t>处理厂</w:t>
      </w:r>
      <w:r>
        <w:rPr>
          <w:rFonts w:hint="default" w:ascii="Times New Roman" w:hAnsi="Times New Roman" w:eastAsia="宋体" w:cs="Times New Roman"/>
          <w:color w:val="auto"/>
          <w:sz w:val="24"/>
          <w:szCs w:val="24"/>
          <w:highlight w:val="none"/>
          <w:u w:val="none" w:color="auto"/>
          <w:lang w:eastAsia="zh-CN"/>
        </w:rPr>
        <w:t>处理达标后</w:t>
      </w:r>
      <w:r>
        <w:rPr>
          <w:rFonts w:hint="default" w:ascii="Times New Roman" w:hAnsi="Times New Roman" w:eastAsia="宋体" w:cs="Times New Roman"/>
          <w:color w:val="auto"/>
          <w:sz w:val="24"/>
          <w:szCs w:val="24"/>
          <w:highlight w:val="none"/>
          <w:u w:val="none" w:color="auto"/>
        </w:rPr>
        <w:t>再排入</w:t>
      </w:r>
      <w:r>
        <w:rPr>
          <w:rFonts w:hint="default" w:ascii="Times New Roman" w:hAnsi="Times New Roman" w:eastAsia="宋体" w:cs="Times New Roman"/>
          <w:color w:val="auto"/>
          <w:sz w:val="24"/>
          <w:szCs w:val="24"/>
          <w:highlight w:val="none"/>
          <w:u w:val="none" w:color="auto"/>
          <w:lang w:eastAsia="zh-CN"/>
        </w:rPr>
        <w:t>湘江</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综上所述，</w:t>
      </w:r>
      <w:r>
        <w:rPr>
          <w:rFonts w:hint="default" w:ascii="Times New Roman" w:hAnsi="Times New Roman" w:eastAsia="宋体" w:cs="Times New Roman"/>
          <w:strike w:val="0"/>
          <w:dstrike w:val="0"/>
          <w:color w:val="auto"/>
          <w:sz w:val="24"/>
          <w:szCs w:val="21"/>
          <w:highlight w:val="none"/>
          <w:u w:val="none" w:color="auto"/>
        </w:rPr>
        <w:t>项目外排废水</w:t>
      </w:r>
      <w:r>
        <w:rPr>
          <w:rFonts w:hint="default" w:ascii="Times New Roman" w:hAnsi="Times New Roman" w:eastAsia="宋体" w:cs="Times New Roman"/>
          <w:color w:val="auto"/>
          <w:sz w:val="24"/>
          <w:szCs w:val="24"/>
          <w:highlight w:val="none"/>
          <w:u w:val="none" w:color="auto"/>
          <w:lang w:eastAsia="zh-CN"/>
        </w:rPr>
        <w:t>对地表水环境影响较小</w:t>
      </w:r>
      <w:r>
        <w:rPr>
          <w:rFonts w:hint="default" w:ascii="Times New Roman" w:hAnsi="Times New Roman" w:cs="Times New Roman"/>
          <w:color w:val="auto"/>
          <w:sz w:val="24"/>
          <w:highlight w:val="none"/>
          <w:u w:val="none" w:color="auto"/>
        </w:rPr>
        <w:t>。</w:t>
      </w:r>
    </w:p>
    <w:p w14:paraId="70F325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（3）地下水</w:t>
      </w:r>
    </w:p>
    <w:p w14:paraId="2FB196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通过预测，在非正常状况下，项目区下游部分区域的地下水产生一定程度的污染影响，在非正常运营或发生风险事故时，污染物将影响下游区域。在落实好源头控制、分区防渗、污染监控等措施后，本项目产生的污染物均能得到有效处理，对地下水水质影响较小。</w:t>
      </w:r>
    </w:p>
    <w:p w14:paraId="094601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评价建议项目废水的收集、处理尽可能做到可视可监控，可有效发现废水收集或处理区域发生渗漏的问题，此外，建设单位应积极采取有效的防渗措施，定期监控，及时发现事故泄漏并采取有效的应急措施，避免泄漏持续发生。</w:t>
      </w:r>
    </w:p>
    <w:p w14:paraId="57FDCA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（4）声环境</w:t>
      </w:r>
    </w:p>
    <w:p w14:paraId="3E1490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根据预测，项目运营期厂界噪声在昼间、夜间均能够达到《声环境质量标准》（GB3096-2008）3类标准要求，项目运营期对周边声环境影响不大。</w:t>
      </w:r>
    </w:p>
    <w:p w14:paraId="6E73AE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（5）固体废物</w:t>
      </w:r>
    </w:p>
    <w:p w14:paraId="7561C5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项目所产生固体废弃物主要为一般工业固体废物（一般化学品废包装材料、不合格产品及边角料、纯水站废过滤材料、铝材前处理槽渣</w:t>
      </w:r>
      <w:r>
        <w:rPr>
          <w:rFonts w:hint="eastAsia"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kern w:val="2"/>
          <w:sz w:val="24"/>
          <w:szCs w:val="24"/>
          <w:highlight w:val="none"/>
          <w:u w:val="none" w:color="auto"/>
          <w:lang w:val="en-US" w:eastAsia="zh-CN" w:bidi="ar-SA"/>
        </w:rPr>
        <w:t>沉淀池污泥</w:t>
      </w:r>
      <w:r>
        <w:rPr>
          <w:rFonts w:hint="default" w:ascii="Times New Roman" w:hAnsi="Times New Roman" w:eastAsia="宋体" w:cs="Times New Roman"/>
          <w:color w:val="auto"/>
          <w:sz w:val="24"/>
          <w:szCs w:val="24"/>
          <w:highlight w:val="none"/>
          <w:u w:val="none" w:color="auto"/>
          <w:lang w:val="en-US" w:eastAsia="zh-CN"/>
        </w:rPr>
        <w:t>）、危险废物（电镀槽槽渣、电镀废水处理污泥、三效蒸发器蒸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sz w:val="24"/>
          <w:szCs w:val="24"/>
          <w:highlight w:val="none"/>
          <w:u w:val="none" w:color="auto"/>
          <w:lang w:val="en-US" w:eastAsia="zh-CN"/>
        </w:rPr>
        <w:t>残渣、危险化学品包装材料、</w:t>
      </w:r>
      <w:r>
        <w:rPr>
          <w:rFonts w:hint="default" w:ascii="Times New Roman" w:hAnsi="Times New Roman" w:eastAsia="宋体" w:cs="Times New Roman"/>
          <w:color w:val="auto"/>
          <w:kern w:val="2"/>
          <w:sz w:val="24"/>
          <w:szCs w:val="24"/>
          <w:highlight w:val="none"/>
          <w:u w:val="none" w:color="auto"/>
          <w:lang w:val="en-US" w:eastAsia="zh-CN" w:bidi="ar-SA"/>
        </w:rPr>
        <w:t>废水处理站及生产过程废过滤材料</w:t>
      </w:r>
      <w:r>
        <w:rPr>
          <w:rFonts w:hint="default" w:ascii="Times New Roman" w:hAnsi="Times New Roman" w:eastAsia="宋体" w:cs="Times New Roman"/>
          <w:color w:val="auto"/>
          <w:sz w:val="24"/>
          <w:szCs w:val="24"/>
          <w:highlight w:val="none"/>
          <w:u w:val="none" w:color="auto"/>
          <w:lang w:val="en-US" w:eastAsia="zh-CN"/>
        </w:rPr>
        <w:t>、废切削液、废矿物油、含油抹布）及生活垃圾。其中一般化学品废包装材料、不合格产品及边角料、铝材前处理槽渣在厂区收集后外售综合利用</w:t>
      </w:r>
      <w:r>
        <w:rPr>
          <w:rFonts w:hint="eastAsia"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kern w:val="2"/>
          <w:sz w:val="24"/>
          <w:szCs w:val="24"/>
          <w:highlight w:val="none"/>
          <w:u w:val="none" w:color="auto"/>
          <w:lang w:val="en-US" w:eastAsia="zh-CN" w:bidi="ar-SA"/>
        </w:rPr>
        <w:t>沉淀池污泥产生量为</w:t>
      </w:r>
      <w:r>
        <w:rPr>
          <w:rFonts w:hint="default" w:ascii="Times New Roman" w:hAnsi="Times New Roman" w:eastAsia="宋体" w:cs="Times New Roman"/>
          <w:color w:val="auto"/>
          <w:kern w:val="2"/>
          <w:sz w:val="24"/>
          <w:szCs w:val="24"/>
          <w:highlight w:val="none"/>
          <w:u w:val="none" w:color="auto"/>
          <w:lang w:val="en-US" w:eastAsia="zh-CN" w:bidi="ar-SA"/>
        </w:rPr>
        <w:t>2t/a</w:t>
      </w:r>
      <w:r>
        <w:rPr>
          <w:rFonts w:hint="eastAsia" w:ascii="Times New Roman" w:hAnsi="Times New Roman" w:eastAsia="宋体" w:cs="Times New Roman"/>
          <w:color w:val="auto"/>
          <w:kern w:val="2"/>
          <w:sz w:val="24"/>
          <w:szCs w:val="24"/>
          <w:highlight w:val="none"/>
          <w:u w:val="none" w:color="auto"/>
          <w:lang w:val="en-US" w:eastAsia="zh-CN" w:bidi="ar-SA"/>
        </w:rPr>
        <w:t>，外运至填埋场填埋</w:t>
      </w:r>
      <w:r>
        <w:rPr>
          <w:rFonts w:hint="default" w:ascii="Times New Roman" w:hAnsi="Times New Roman" w:eastAsia="宋体" w:cs="Times New Roman"/>
          <w:color w:val="auto"/>
          <w:sz w:val="24"/>
          <w:szCs w:val="24"/>
          <w:highlight w:val="none"/>
          <w:u w:val="none" w:color="auto"/>
          <w:lang w:val="en-US" w:eastAsia="zh-CN"/>
        </w:rPr>
        <w:t>；电镀槽槽渣、电镀废水处理污泥、三效蒸发器蒸</w:t>
      </w:r>
      <w:r>
        <w:rPr>
          <w:rFonts w:hint="eastAsia" w:ascii="Times New Roman" w:hAnsi="Times New Roman" w:eastAsia="宋体" w:cs="Times New Roman"/>
          <w:color w:val="auto"/>
          <w:sz w:val="24"/>
          <w:szCs w:val="24"/>
          <w:highlight w:val="none"/>
          <w:u w:val="none" w:color="auto"/>
          <w:lang w:val="en-US" w:eastAsia="zh-CN"/>
        </w:rPr>
        <w:t>发</w:t>
      </w:r>
      <w:r>
        <w:rPr>
          <w:rFonts w:hint="default" w:ascii="Times New Roman" w:hAnsi="Times New Roman" w:eastAsia="宋体" w:cs="Times New Roman"/>
          <w:color w:val="auto"/>
          <w:sz w:val="24"/>
          <w:szCs w:val="24"/>
          <w:highlight w:val="none"/>
          <w:u w:val="none" w:color="auto"/>
          <w:lang w:val="en-US" w:eastAsia="zh-CN"/>
        </w:rPr>
        <w:t>残渣、危险化学品包装材料、</w:t>
      </w:r>
      <w:r>
        <w:rPr>
          <w:rFonts w:hint="default" w:ascii="Times New Roman" w:hAnsi="Times New Roman" w:eastAsia="宋体" w:cs="Times New Roman"/>
          <w:color w:val="auto"/>
          <w:kern w:val="2"/>
          <w:sz w:val="24"/>
          <w:szCs w:val="24"/>
          <w:highlight w:val="none"/>
          <w:u w:val="none" w:color="auto"/>
          <w:lang w:val="en-US" w:eastAsia="zh-CN" w:bidi="ar-SA"/>
        </w:rPr>
        <w:t>废水处理站及生产过程废过滤材料</w:t>
      </w:r>
      <w:r>
        <w:rPr>
          <w:rFonts w:hint="default" w:ascii="Times New Roman" w:hAnsi="Times New Roman" w:eastAsia="宋体" w:cs="Times New Roman"/>
          <w:color w:val="auto"/>
          <w:sz w:val="24"/>
          <w:szCs w:val="24"/>
          <w:highlight w:val="none"/>
          <w:u w:val="none" w:color="auto"/>
          <w:lang w:val="en-US" w:eastAsia="zh-CN"/>
        </w:rPr>
        <w:t>、废切削液、废矿物油、含油抹布在危险废物暂存间收集暂存后统一交由有资质单位处置。</w:t>
      </w:r>
    </w:p>
    <w:p w14:paraId="5A0460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项目运营期固体废物能够得到有效妥善处置，对周边环境影响较小。</w:t>
      </w:r>
    </w:p>
    <w:p w14:paraId="03642116">
      <w:pPr>
        <w:pStyle w:val="4"/>
        <w:widowControl/>
        <w:spacing w:before="0" w:beforeAutospacing="0" w:after="0" w:afterAutospacing="0" w:line="480" w:lineRule="exact"/>
        <w:rPr>
          <w:rFonts w:hint="default" w:ascii="Times New Roman" w:hAnsi="Times New Roman" w:eastAsia="宋体" w:cs="Times New Roman"/>
          <w:b/>
          <w:bCs w:val="0"/>
          <w:strike w:val="0"/>
          <w:dstrike w:val="0"/>
          <w:color w:val="auto"/>
          <w:sz w:val="24"/>
          <w:szCs w:val="24"/>
          <w:highlight w:val="none"/>
          <w:u w:val="none" w:color="auto"/>
        </w:rPr>
      </w:pPr>
      <w:r>
        <w:rPr>
          <w:rFonts w:hint="default" w:ascii="Times New Roman" w:hAnsi="Times New Roman" w:eastAsia="宋体" w:cs="Times New Roman"/>
          <w:b/>
          <w:bCs w:val="0"/>
          <w:strike w:val="0"/>
          <w:dstrike w:val="0"/>
          <w:color w:val="auto"/>
          <w:sz w:val="24"/>
          <w:szCs w:val="24"/>
          <w:highlight w:val="none"/>
          <w:u w:val="none" w:color="auto"/>
        </w:rPr>
        <w:t>1</w:t>
      </w:r>
      <w:r>
        <w:rPr>
          <w:rFonts w:hint="default" w:ascii="Times New Roman" w:hAnsi="Times New Roman" w:eastAsia="宋体" w:cs="Times New Roman"/>
          <w:b/>
          <w:bCs w:val="0"/>
          <w:strike w:val="0"/>
          <w:dstrike w:val="0"/>
          <w:color w:val="auto"/>
          <w:sz w:val="24"/>
          <w:szCs w:val="24"/>
          <w:highlight w:val="none"/>
          <w:u w:val="none" w:color="auto"/>
          <w:lang w:val="en-US" w:eastAsia="zh-CN"/>
        </w:rPr>
        <w:t>3</w:t>
      </w:r>
      <w:r>
        <w:rPr>
          <w:rFonts w:hint="default" w:ascii="Times New Roman" w:hAnsi="Times New Roman" w:eastAsia="宋体" w:cs="Times New Roman"/>
          <w:b/>
          <w:bCs w:val="0"/>
          <w:strike w:val="0"/>
          <w:dstrike w:val="0"/>
          <w:color w:val="auto"/>
          <w:sz w:val="24"/>
          <w:szCs w:val="24"/>
          <w:highlight w:val="none"/>
          <w:u w:val="none" w:color="auto"/>
        </w:rPr>
        <w:t>.1.4环境风险评价结论</w:t>
      </w:r>
    </w:p>
    <w:p w14:paraId="1E6960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本项目涉及风险物质主要为氯化镍、硫酸镍、盐酸、硫酸、硝酸等，其主要危险危害特性为具有腐蚀性、毒性等，对照《建设项目环境风险评价技术导则》（HJ169-2018）附录B中对应临界量，项目所涉及的危险物质的Q值属“10≤Q &lt;100”，本项目环境风险潜势分级为Ⅱ级。</w:t>
      </w:r>
    </w:p>
    <w:p w14:paraId="668317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项目需严格落实安全评价报告、环评报告提出的安全防范措施、风险防范措施，项目建成投产后，建设单位需及时组织编制突发环境事件应急预案并备案，定期进行应急演练，可最大限度地降低环境风险，项目发生泄漏事故后，企业能及时处理，把事故对环境的影响降到最小程度。</w:t>
      </w:r>
    </w:p>
    <w:p w14:paraId="13FC30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总体而言，通过加强风险防范措施，本项目风险程度为可以接受水平。</w:t>
      </w:r>
    </w:p>
    <w:p w14:paraId="576F0DE1">
      <w:pPr>
        <w:pStyle w:val="4"/>
        <w:widowControl/>
        <w:spacing w:before="0" w:beforeAutospacing="0" w:after="0" w:afterAutospacing="0" w:line="480" w:lineRule="exact"/>
        <w:rPr>
          <w:rFonts w:hint="default" w:ascii="Times New Roman" w:hAnsi="Times New Roman" w:eastAsia="宋体" w:cs="Times New Roman"/>
          <w:b/>
          <w:bCs w:val="0"/>
          <w:strike w:val="0"/>
          <w:dstrike w:val="0"/>
          <w:color w:val="auto"/>
          <w:sz w:val="24"/>
          <w:szCs w:val="24"/>
          <w:highlight w:val="none"/>
          <w:u w:val="none" w:color="auto"/>
        </w:rPr>
      </w:pPr>
      <w:r>
        <w:rPr>
          <w:rFonts w:hint="default" w:ascii="Times New Roman" w:hAnsi="Times New Roman" w:eastAsia="宋体" w:cs="Times New Roman"/>
          <w:b/>
          <w:bCs w:val="0"/>
          <w:strike w:val="0"/>
          <w:dstrike w:val="0"/>
          <w:color w:val="auto"/>
          <w:sz w:val="24"/>
          <w:szCs w:val="24"/>
          <w:highlight w:val="none"/>
          <w:u w:val="none" w:color="auto"/>
        </w:rPr>
        <w:t>1</w:t>
      </w:r>
      <w:r>
        <w:rPr>
          <w:rFonts w:hint="default" w:ascii="Times New Roman" w:hAnsi="Times New Roman" w:eastAsia="宋体" w:cs="Times New Roman"/>
          <w:b/>
          <w:bCs w:val="0"/>
          <w:strike w:val="0"/>
          <w:dstrike w:val="0"/>
          <w:color w:val="auto"/>
          <w:sz w:val="24"/>
          <w:szCs w:val="24"/>
          <w:highlight w:val="none"/>
          <w:u w:val="none" w:color="auto"/>
          <w:lang w:val="en-US" w:eastAsia="zh-CN"/>
        </w:rPr>
        <w:t>3</w:t>
      </w:r>
      <w:r>
        <w:rPr>
          <w:rFonts w:hint="default" w:ascii="Times New Roman" w:hAnsi="Times New Roman" w:eastAsia="宋体" w:cs="Times New Roman"/>
          <w:b/>
          <w:bCs w:val="0"/>
          <w:strike w:val="0"/>
          <w:dstrike w:val="0"/>
          <w:color w:val="auto"/>
          <w:sz w:val="24"/>
          <w:szCs w:val="24"/>
          <w:highlight w:val="none"/>
          <w:u w:val="none" w:color="auto"/>
        </w:rPr>
        <w:t>.1.5产业政策及选址合理性</w:t>
      </w:r>
    </w:p>
    <w:p w14:paraId="1BD17F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（1）产业政策符合性</w:t>
      </w:r>
    </w:p>
    <w:p w14:paraId="53797435">
      <w:pPr>
        <w:pStyle w:val="52"/>
        <w:adjustRightInd w:val="0"/>
        <w:snapToGrid w:val="0"/>
        <w:spacing w:before="0"/>
        <w:rPr>
          <w:rFonts w:ascii="Times New Roman" w:hAnsi="Times New Roman" w:eastAsia="宋体"/>
          <w:color w:val="auto"/>
          <w:sz w:val="24"/>
          <w:szCs w:val="21"/>
          <w:highlight w:val="none"/>
          <w:u w:val="single" w:color="auto"/>
        </w:rPr>
      </w:pPr>
      <w:r>
        <w:rPr>
          <w:rFonts w:ascii="Times New Roman" w:hAnsi="Times New Roman" w:eastAsia="宋体"/>
          <w:color w:val="auto"/>
          <w:sz w:val="24"/>
          <w:szCs w:val="21"/>
          <w:highlight w:val="none"/>
          <w:u w:val="single" w:color="auto"/>
        </w:rPr>
        <w:t>根据国家发改委发布的《产业结构调整指导目录(2019年本)》</w:t>
      </w:r>
      <w:r>
        <w:rPr>
          <w:rFonts w:hint="eastAsia" w:ascii="Times New Roman" w:hAnsi="Times New Roman" w:eastAsia="宋体"/>
          <w:color w:val="auto"/>
          <w:sz w:val="24"/>
          <w:szCs w:val="21"/>
          <w:highlight w:val="none"/>
          <w:u w:val="single" w:color="auto"/>
        </w:rPr>
        <w:t>，本</w:t>
      </w:r>
      <w:r>
        <w:rPr>
          <w:rFonts w:ascii="Times New Roman" w:hAnsi="Times New Roman" w:eastAsia="宋体"/>
          <w:color w:val="auto"/>
          <w:sz w:val="24"/>
          <w:szCs w:val="21"/>
          <w:highlight w:val="none"/>
          <w:u w:val="single" w:color="auto"/>
        </w:rPr>
        <w:t>项目</w:t>
      </w:r>
      <w:r>
        <w:rPr>
          <w:rFonts w:hint="eastAsia" w:ascii="Times New Roman" w:hAnsi="Times New Roman" w:eastAsia="宋体"/>
          <w:color w:val="auto"/>
          <w:sz w:val="24"/>
          <w:szCs w:val="21"/>
          <w:highlight w:val="none"/>
          <w:u w:val="single" w:color="auto"/>
        </w:rPr>
        <w:t>产品、主体工艺、</w:t>
      </w:r>
      <w:r>
        <w:rPr>
          <w:rFonts w:ascii="Times New Roman" w:hAnsi="Times New Roman" w:eastAsia="宋体"/>
          <w:color w:val="auto"/>
          <w:sz w:val="24"/>
          <w:szCs w:val="21"/>
          <w:highlight w:val="none"/>
          <w:u w:val="single" w:color="auto"/>
        </w:rPr>
        <w:t>生产设备不属于</w:t>
      </w:r>
      <w:r>
        <w:rPr>
          <w:rFonts w:hint="eastAsia" w:ascii="Times New Roman" w:hAnsi="Times New Roman" w:eastAsia="宋体"/>
          <w:color w:val="auto"/>
          <w:sz w:val="24"/>
          <w:szCs w:val="21"/>
          <w:highlight w:val="none"/>
          <w:u w:val="single" w:color="auto"/>
        </w:rPr>
        <w:t>目录中的</w:t>
      </w:r>
      <w:r>
        <w:rPr>
          <w:rFonts w:ascii="Times New Roman" w:hAnsi="Times New Roman" w:eastAsia="宋体"/>
          <w:color w:val="auto"/>
          <w:sz w:val="24"/>
          <w:szCs w:val="21"/>
          <w:highlight w:val="none"/>
          <w:u w:val="single" w:color="auto"/>
        </w:rPr>
        <w:t>鼓励类、限制类</w:t>
      </w:r>
      <w:r>
        <w:rPr>
          <w:rFonts w:hint="eastAsia" w:ascii="Times New Roman" w:hAnsi="Times New Roman" w:eastAsia="宋体"/>
          <w:color w:val="auto"/>
          <w:sz w:val="24"/>
          <w:szCs w:val="21"/>
          <w:highlight w:val="none"/>
          <w:u w:val="single" w:color="auto"/>
        </w:rPr>
        <w:t>或</w:t>
      </w:r>
      <w:r>
        <w:rPr>
          <w:rFonts w:ascii="Times New Roman" w:hAnsi="Times New Roman" w:eastAsia="宋体"/>
          <w:color w:val="auto"/>
          <w:sz w:val="24"/>
          <w:szCs w:val="21"/>
          <w:highlight w:val="none"/>
          <w:u w:val="single" w:color="auto"/>
        </w:rPr>
        <w:t>淘汰类，</w:t>
      </w:r>
      <w:r>
        <w:rPr>
          <w:rFonts w:hint="eastAsia" w:ascii="Times New Roman" w:hAnsi="Times New Roman" w:eastAsia="宋体"/>
          <w:color w:val="auto"/>
          <w:sz w:val="24"/>
          <w:szCs w:val="21"/>
          <w:highlight w:val="none"/>
          <w:u w:val="single" w:color="auto"/>
        </w:rPr>
        <w:t>与产业政策不相冲突</w:t>
      </w:r>
      <w:r>
        <w:rPr>
          <w:rFonts w:ascii="Times New Roman" w:hAnsi="Times New Roman" w:eastAsia="宋体"/>
          <w:color w:val="auto"/>
          <w:sz w:val="24"/>
          <w:szCs w:val="21"/>
          <w:highlight w:val="none"/>
          <w:u w:val="single" w:color="auto"/>
        </w:rPr>
        <w:t>。</w:t>
      </w:r>
    </w:p>
    <w:p w14:paraId="1F55AA2A">
      <w:pPr>
        <w:pStyle w:val="52"/>
        <w:rPr>
          <w:rFonts w:hint="eastAsia" w:ascii="Times New Roman" w:hAnsi="Times New Roman" w:eastAsia="宋体"/>
          <w:color w:val="auto"/>
          <w:sz w:val="24"/>
          <w:szCs w:val="24"/>
          <w:highlight w:val="none"/>
          <w:u w:val="single" w:color="auto"/>
        </w:rPr>
      </w:pPr>
      <w:r>
        <w:rPr>
          <w:rFonts w:hint="eastAsia" w:ascii="Times New Roman" w:hAnsi="Times New Roman" w:eastAsia="宋体"/>
          <w:color w:val="auto"/>
          <w:sz w:val="24"/>
          <w:szCs w:val="24"/>
          <w:highlight w:val="none"/>
          <w:u w:val="single" w:color="auto"/>
        </w:rPr>
        <w:t>本项目产品</w:t>
      </w:r>
      <w:r>
        <w:rPr>
          <w:rFonts w:ascii="Times New Roman" w:hAnsi="Times New Roman" w:eastAsia="宋体"/>
          <w:color w:val="auto"/>
          <w:sz w:val="24"/>
          <w:szCs w:val="24"/>
          <w:highlight w:val="none"/>
          <w:u w:val="single" w:color="auto"/>
        </w:rPr>
        <w:t>超硬材料砂轮、套瓦刀、磨头等广泛应用于稀土永磁材料加工</w:t>
      </w:r>
      <w:r>
        <w:rPr>
          <w:rFonts w:hint="eastAsia" w:ascii="Times New Roman" w:hAnsi="Times New Roman" w:eastAsia="宋体"/>
          <w:color w:val="auto"/>
          <w:sz w:val="24"/>
          <w:szCs w:val="24"/>
          <w:highlight w:val="none"/>
          <w:u w:val="single" w:color="auto"/>
        </w:rPr>
        <w:t>项目，而</w:t>
      </w:r>
      <w:r>
        <w:rPr>
          <w:rFonts w:ascii="Times New Roman" w:hAnsi="Times New Roman" w:eastAsia="宋体"/>
          <w:color w:val="auto"/>
          <w:sz w:val="24"/>
          <w:szCs w:val="21"/>
          <w:highlight w:val="none"/>
          <w:u w:val="single" w:color="auto"/>
        </w:rPr>
        <w:t>根据指导目录</w:t>
      </w:r>
      <w:r>
        <w:rPr>
          <w:rFonts w:hint="eastAsia" w:ascii="Times New Roman" w:hAnsi="Times New Roman" w:eastAsia="宋体"/>
          <w:color w:val="auto"/>
          <w:sz w:val="24"/>
          <w:szCs w:val="21"/>
          <w:highlight w:val="none"/>
          <w:u w:val="single" w:color="auto"/>
        </w:rPr>
        <w:t>，</w:t>
      </w:r>
      <w:r>
        <w:rPr>
          <w:rFonts w:ascii="Times New Roman" w:hAnsi="Times New Roman" w:eastAsia="宋体"/>
          <w:color w:val="auto"/>
          <w:sz w:val="24"/>
          <w:szCs w:val="24"/>
          <w:highlight w:val="none"/>
          <w:u w:val="single" w:color="auto"/>
        </w:rPr>
        <w:t>稀土</w:t>
      </w:r>
      <w:r>
        <w:rPr>
          <w:rFonts w:hint="eastAsia" w:ascii="Times New Roman" w:hAnsi="Times New Roman" w:eastAsia="宋体"/>
          <w:color w:val="auto"/>
          <w:sz w:val="24"/>
          <w:szCs w:val="24"/>
          <w:highlight w:val="none"/>
          <w:u w:val="single" w:color="auto"/>
        </w:rPr>
        <w:t>磁性材料的生产属鼓励类项目。此外，本项目属于高新技术行业，</w:t>
      </w:r>
      <w:r>
        <w:rPr>
          <w:rFonts w:hint="eastAsia" w:ascii="Times New Roman" w:hAnsi="Times New Roman" w:eastAsia="宋体"/>
          <w:color w:val="auto"/>
          <w:sz w:val="24"/>
          <w:szCs w:val="24"/>
          <w:highlight w:val="none"/>
          <w:u w:val="single" w:color="auto"/>
          <w:lang w:eastAsia="zh-CN"/>
        </w:rPr>
        <w:t>产品金刚石划片刀</w:t>
      </w:r>
      <w:r>
        <w:rPr>
          <w:rFonts w:hint="eastAsia" w:ascii="Times New Roman" w:hAnsi="Times New Roman" w:eastAsia="宋体"/>
          <w:color w:val="auto"/>
          <w:sz w:val="24"/>
          <w:szCs w:val="21"/>
          <w:highlight w:val="none"/>
          <w:u w:val="single" w:color="auto"/>
        </w:rPr>
        <w:t>服务于电子信息业</w:t>
      </w:r>
      <w:r>
        <w:rPr>
          <w:rFonts w:hint="eastAsia" w:ascii="Times New Roman" w:hAnsi="Times New Roman" w:eastAsia="宋体"/>
          <w:color w:val="auto"/>
          <w:sz w:val="24"/>
          <w:szCs w:val="24"/>
          <w:highlight w:val="none"/>
          <w:u w:val="single" w:color="auto"/>
        </w:rPr>
        <w:t>，是突破国外卡脖子技术的项目。</w:t>
      </w:r>
    </w:p>
    <w:p w14:paraId="047E8651">
      <w:pPr>
        <w:pStyle w:val="52"/>
        <w:rPr>
          <w:rFonts w:hint="default" w:ascii="Times New Roman" w:hAnsi="Times New Roman" w:eastAsia="宋体" w:cs="Times New Roman"/>
          <w:color w:val="auto"/>
          <w:kern w:val="2"/>
          <w:sz w:val="24"/>
          <w:szCs w:val="21"/>
          <w:highlight w:val="none"/>
          <w:u w:val="single" w:color="auto"/>
          <w:lang w:val="en-US" w:eastAsia="zh-CN" w:bidi="ar-SA"/>
        </w:rPr>
      </w:pPr>
      <w:r>
        <w:rPr>
          <w:rFonts w:hint="default" w:ascii="Times New Roman" w:hAnsi="Times New Roman" w:eastAsia="宋体" w:cs="Times New Roman"/>
          <w:color w:val="auto"/>
          <w:kern w:val="2"/>
          <w:sz w:val="24"/>
          <w:szCs w:val="21"/>
          <w:highlight w:val="none"/>
          <w:u w:val="single" w:color="auto"/>
          <w:lang w:val="en-US" w:eastAsia="zh-CN" w:bidi="ar-SA"/>
        </w:rPr>
        <w:t>项目已取得湖南衡阳松木经济开发区招商合作局出具的《关于湖南昂拓科技有限责任公司年产1000万件超硬材料制品项目备案的证明》（衡松备案[2022]36号）。</w:t>
      </w:r>
    </w:p>
    <w:p w14:paraId="742996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auto"/>
          <w:sz w:val="24"/>
          <w:szCs w:val="21"/>
          <w:highlight w:val="none"/>
          <w:u w:val="single" w:color="auto"/>
        </w:rPr>
      </w:pPr>
      <w:r>
        <w:rPr>
          <w:rFonts w:hint="eastAsia" w:ascii="Times New Roman" w:hAnsi="Times New Roman" w:eastAsia="宋体"/>
          <w:color w:val="auto"/>
          <w:sz w:val="24"/>
          <w:szCs w:val="21"/>
          <w:highlight w:val="none"/>
          <w:u w:val="single" w:color="auto"/>
        </w:rPr>
        <w:t>总体分析</w:t>
      </w:r>
      <w:r>
        <w:rPr>
          <w:rFonts w:ascii="Times New Roman" w:hAnsi="Times New Roman" w:eastAsia="宋体"/>
          <w:color w:val="auto"/>
          <w:sz w:val="24"/>
          <w:szCs w:val="21"/>
          <w:highlight w:val="none"/>
          <w:u w:val="single" w:color="auto"/>
        </w:rPr>
        <w:t>，本项目</w:t>
      </w:r>
      <w:r>
        <w:rPr>
          <w:rFonts w:hint="eastAsia" w:ascii="Times New Roman" w:hAnsi="Times New Roman" w:eastAsia="宋体"/>
          <w:color w:val="auto"/>
          <w:sz w:val="24"/>
          <w:szCs w:val="21"/>
          <w:highlight w:val="none"/>
          <w:u w:val="single" w:color="auto"/>
        </w:rPr>
        <w:t>的</w:t>
      </w:r>
      <w:r>
        <w:rPr>
          <w:rFonts w:ascii="Times New Roman" w:hAnsi="Times New Roman" w:eastAsia="宋体"/>
          <w:color w:val="auto"/>
          <w:sz w:val="24"/>
          <w:szCs w:val="21"/>
          <w:highlight w:val="none"/>
          <w:u w:val="single" w:color="auto"/>
        </w:rPr>
        <w:t>建设</w:t>
      </w:r>
      <w:r>
        <w:rPr>
          <w:rFonts w:hint="eastAsia" w:ascii="Times New Roman" w:hAnsi="Times New Roman" w:eastAsia="宋体"/>
          <w:color w:val="auto"/>
          <w:sz w:val="24"/>
          <w:szCs w:val="21"/>
          <w:highlight w:val="none"/>
          <w:u w:val="single" w:color="auto"/>
        </w:rPr>
        <w:t>符合</w:t>
      </w:r>
      <w:r>
        <w:rPr>
          <w:rFonts w:ascii="Times New Roman" w:hAnsi="Times New Roman" w:eastAsia="宋体"/>
          <w:color w:val="auto"/>
          <w:sz w:val="24"/>
          <w:szCs w:val="21"/>
          <w:highlight w:val="none"/>
          <w:u w:val="single" w:color="auto"/>
        </w:rPr>
        <w:t>国家产业政策</w:t>
      </w:r>
      <w:r>
        <w:rPr>
          <w:rFonts w:hint="eastAsia" w:ascii="Times New Roman" w:hAnsi="Times New Roman" w:eastAsia="宋体"/>
          <w:color w:val="auto"/>
          <w:sz w:val="24"/>
          <w:szCs w:val="21"/>
          <w:highlight w:val="none"/>
          <w:u w:val="single" w:color="auto"/>
        </w:rPr>
        <w:t>要求</w:t>
      </w:r>
      <w:r>
        <w:rPr>
          <w:rFonts w:ascii="Times New Roman" w:hAnsi="Times New Roman" w:eastAsia="宋体"/>
          <w:color w:val="auto"/>
          <w:sz w:val="24"/>
          <w:szCs w:val="21"/>
          <w:highlight w:val="none"/>
          <w:u w:val="single" w:color="auto"/>
        </w:rPr>
        <w:t>。</w:t>
      </w:r>
    </w:p>
    <w:p w14:paraId="0BDEDC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（2）相关规划符合性</w:t>
      </w:r>
    </w:p>
    <w:p w14:paraId="63F0EFBC">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根据《湖南衡阳松木经济开发区扩区规划（2020-2030）环境影响报告书的审查意见》（湘环评函[2021]30号）：“片区二规划为化工片区，面积 328公顷，东起距离湘江岸线1公里线，西至金华路及蒸阳北路，北起向衡路，南至衡大北路，主要发展盐卤化工及精细化工(含医药化工和制药)。……在距离湘江1-3公里的园区范围内，不得以“零排放”为名新引进实际存在重金属废水排放或突发情形下排放重金属废水的产业项目。后续法律法规及相关政策有新的禁止和限制性要求，或对沿江区域相关产业有污染整治、搬迁改造要求的，应严格予以执行。”</w:t>
      </w:r>
    </w:p>
    <w:p w14:paraId="580B336D">
      <w:pPr>
        <w:pStyle w:val="52"/>
        <w:rPr>
          <w:rFonts w:ascii="Times New Roman" w:hAnsi="Times New Roman" w:eastAsia="宋体"/>
          <w:color w:val="auto"/>
          <w:sz w:val="24"/>
          <w:szCs w:val="24"/>
          <w:u w:val="single"/>
        </w:rPr>
      </w:pPr>
      <w:r>
        <w:rPr>
          <w:rFonts w:ascii="Times New Roman" w:hAnsi="Times New Roman" w:eastAsia="宋体"/>
          <w:color w:val="auto"/>
          <w:sz w:val="24"/>
          <w:szCs w:val="24"/>
          <w:u w:val="single"/>
        </w:rPr>
        <w:t>本项目距离湘江为1.8km</w:t>
      </w:r>
      <w:r>
        <w:rPr>
          <w:rFonts w:hint="eastAsia" w:ascii="Times New Roman" w:hAnsi="Times New Roman" w:eastAsia="宋体"/>
          <w:color w:val="auto"/>
          <w:sz w:val="24"/>
          <w:szCs w:val="24"/>
          <w:u w:val="single"/>
        </w:rPr>
        <w:t>，</w:t>
      </w:r>
      <w:r>
        <w:rPr>
          <w:rFonts w:ascii="Times New Roman" w:hAnsi="Times New Roman" w:eastAsia="宋体"/>
          <w:color w:val="auto"/>
          <w:sz w:val="24"/>
          <w:szCs w:val="24"/>
          <w:u w:val="single"/>
        </w:rPr>
        <w:t>位于片区</w:t>
      </w:r>
      <w:r>
        <w:rPr>
          <w:rFonts w:hint="eastAsia" w:ascii="Times New Roman" w:hAnsi="Times New Roman" w:eastAsia="宋体"/>
          <w:color w:val="auto"/>
          <w:sz w:val="24"/>
          <w:szCs w:val="24"/>
          <w:u w:val="single"/>
        </w:rPr>
        <w:t>二，</w:t>
      </w:r>
      <w:r>
        <w:rPr>
          <w:rFonts w:ascii="Times New Roman" w:hAnsi="Times New Roman" w:eastAsia="宋体"/>
          <w:color w:val="auto"/>
          <w:sz w:val="24"/>
          <w:szCs w:val="24"/>
          <w:u w:val="single"/>
        </w:rPr>
        <w:t>根据该区的产业准入要求，本项目产品为超硬材料，</w:t>
      </w:r>
      <w:r>
        <w:rPr>
          <w:rFonts w:hint="eastAsia" w:ascii="Times New Roman" w:hAnsi="Times New Roman" w:eastAsia="宋体"/>
          <w:color w:val="auto"/>
          <w:sz w:val="24"/>
          <w:szCs w:val="24"/>
          <w:u w:val="single"/>
        </w:rPr>
        <w:t>涉及电镀工序，但不属于电镀工业项目。</w:t>
      </w:r>
    </w:p>
    <w:p w14:paraId="1949E338">
      <w:pPr>
        <w:pStyle w:val="52"/>
        <w:rPr>
          <w:rFonts w:ascii="Times New Roman" w:hAnsi="Times New Roman" w:eastAsia="宋体"/>
          <w:color w:val="auto"/>
          <w:sz w:val="24"/>
          <w:szCs w:val="24"/>
          <w:u w:val="single"/>
        </w:rPr>
      </w:pPr>
      <w:r>
        <w:rPr>
          <w:rFonts w:hint="eastAsia" w:ascii="Times New Roman" w:hAnsi="Times New Roman" w:eastAsia="宋体"/>
          <w:color w:val="auto"/>
          <w:sz w:val="24"/>
          <w:szCs w:val="24"/>
          <w:u w:val="single"/>
        </w:rPr>
        <w:t>本项目</w:t>
      </w:r>
      <w:r>
        <w:rPr>
          <w:rFonts w:hint="eastAsia" w:ascii="Times New Roman" w:hAnsi="Times New Roman" w:eastAsia="宋体"/>
          <w:color w:val="auto"/>
          <w:sz w:val="24"/>
          <w:szCs w:val="24"/>
          <w:u w:val="single"/>
          <w:lang w:val="en-US" w:eastAsia="zh-CN"/>
        </w:rPr>
        <w:t>电镀工序</w:t>
      </w:r>
      <w:r>
        <w:rPr>
          <w:rFonts w:hint="eastAsia" w:ascii="Times New Roman" w:hAnsi="Times New Roman" w:eastAsia="宋体"/>
          <w:color w:val="auto"/>
          <w:sz w:val="24"/>
          <w:szCs w:val="24"/>
          <w:u w:val="single"/>
        </w:rPr>
        <w:t>生产废水</w:t>
      </w:r>
      <w:r>
        <w:rPr>
          <w:rFonts w:hint="eastAsia" w:ascii="Times New Roman" w:hAnsi="Times New Roman" w:eastAsia="宋体"/>
          <w:color w:val="auto"/>
          <w:sz w:val="24"/>
          <w:szCs w:val="24"/>
          <w:u w:val="single"/>
          <w:lang w:val="en-US" w:eastAsia="zh-CN"/>
        </w:rPr>
        <w:t>及其辅助生产废水</w:t>
      </w:r>
      <w:r>
        <w:rPr>
          <w:rFonts w:hint="eastAsia" w:ascii="Times New Roman" w:hAnsi="Times New Roman" w:eastAsia="宋体"/>
          <w:color w:val="auto"/>
          <w:sz w:val="24"/>
          <w:szCs w:val="24"/>
          <w:u w:val="single"/>
        </w:rPr>
        <w:t>产生量约46.284</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/d</w:t>
      </w:r>
      <w:r>
        <w:rPr>
          <w:rFonts w:hint="eastAsia" w:ascii="Times New Roman" w:hAnsi="Times New Roman" w:eastAsia="宋体"/>
          <w:color w:val="auto"/>
          <w:sz w:val="24"/>
          <w:szCs w:val="24"/>
          <w:u w:val="single"/>
        </w:rPr>
        <w:t>，在线直接回用量约13.794</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/d</w:t>
      </w:r>
      <w:r>
        <w:rPr>
          <w:rFonts w:hint="eastAsia" w:ascii="Times New Roman" w:hAnsi="Times New Roman" w:eastAsia="宋体"/>
          <w:color w:val="auto"/>
          <w:sz w:val="24"/>
          <w:szCs w:val="24"/>
          <w:u w:val="single"/>
        </w:rPr>
        <w:t>，需处理的废水量约32.49</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/d</w:t>
      </w:r>
      <w:r>
        <w:rPr>
          <w:rFonts w:hint="eastAsia" w:ascii="Times New Roman" w:hAnsi="Times New Roman" w:eastAsia="宋体"/>
          <w:color w:val="auto"/>
          <w:sz w:val="24"/>
          <w:szCs w:val="24"/>
          <w:u w:val="single"/>
        </w:rPr>
        <w:t>，本项目</w:t>
      </w:r>
      <w:r>
        <w:rPr>
          <w:rFonts w:hint="eastAsia" w:ascii="Times New Roman" w:hAnsi="Times New Roman" w:eastAsia="宋体"/>
          <w:color w:val="auto"/>
          <w:sz w:val="24"/>
          <w:szCs w:val="24"/>
          <w:u w:val="single"/>
          <w:lang w:val="en-US" w:eastAsia="zh-CN"/>
        </w:rPr>
        <w:t>电镀工序</w:t>
      </w:r>
      <w:r>
        <w:rPr>
          <w:rFonts w:hint="eastAsia" w:ascii="Times New Roman" w:hAnsi="Times New Roman" w:eastAsia="宋体"/>
          <w:color w:val="auto"/>
          <w:sz w:val="24"/>
          <w:szCs w:val="24"/>
          <w:u w:val="single"/>
        </w:rPr>
        <w:t>生产废水</w:t>
      </w:r>
      <w:r>
        <w:rPr>
          <w:rFonts w:hint="eastAsia" w:ascii="Times New Roman" w:hAnsi="Times New Roman" w:eastAsia="宋体"/>
          <w:color w:val="auto"/>
          <w:sz w:val="24"/>
          <w:szCs w:val="24"/>
          <w:u w:val="single"/>
          <w:lang w:val="en-US" w:eastAsia="zh-CN"/>
        </w:rPr>
        <w:t>及其辅助生产废水</w:t>
      </w:r>
      <w:r>
        <w:rPr>
          <w:rFonts w:hint="eastAsia" w:ascii="Times New Roman" w:hAnsi="Times New Roman" w:eastAsia="宋体"/>
          <w:color w:val="auto"/>
          <w:sz w:val="24"/>
          <w:szCs w:val="24"/>
          <w:u w:val="single"/>
        </w:rPr>
        <w:t>处理量较小，废水可经三效蒸发器蒸发冷凝后全部回用于生产线，不外排</w:t>
      </w:r>
      <w:r>
        <w:rPr>
          <w:rFonts w:hint="eastAsia" w:ascii="Times New Roman" w:hAnsi="Times New Roman" w:eastAsia="宋体"/>
          <w:color w:val="auto"/>
          <w:sz w:val="24"/>
          <w:szCs w:val="24"/>
          <w:u w:val="single"/>
          <w:lang w:eastAsia="zh-CN"/>
        </w:rPr>
        <w:t>；</w:t>
      </w:r>
      <w:r>
        <w:rPr>
          <w:rFonts w:ascii="Times New Roman" w:hAnsi="Times New Roman" w:eastAsia="宋体"/>
          <w:color w:val="auto"/>
          <w:sz w:val="24"/>
          <w:szCs w:val="24"/>
          <w:u w:val="single"/>
        </w:rPr>
        <w:t>外排废水主要为生活污水</w:t>
      </w:r>
      <w:r>
        <w:rPr>
          <w:rFonts w:hint="eastAsia" w:ascii="Times New Roman" w:hAnsi="Times New Roman" w:eastAsia="宋体"/>
          <w:color w:val="auto"/>
          <w:sz w:val="24"/>
          <w:szCs w:val="24"/>
          <w:u w:val="single"/>
          <w:lang w:val="en-US" w:eastAsia="zh-CN"/>
        </w:rPr>
        <w:t>和机加工车间卫生废水、容器清洗废水、直接冷却废水</w:t>
      </w:r>
      <w:r>
        <w:rPr>
          <w:rFonts w:ascii="Times New Roman" w:hAnsi="Times New Roman" w:eastAsia="宋体"/>
          <w:color w:val="auto"/>
          <w:sz w:val="24"/>
          <w:szCs w:val="24"/>
          <w:u w:val="single"/>
        </w:rPr>
        <w:t>，不</w:t>
      </w:r>
      <w:r>
        <w:rPr>
          <w:rFonts w:hint="eastAsia" w:ascii="Times New Roman" w:hAnsi="Times New Roman" w:eastAsia="宋体"/>
          <w:color w:val="auto"/>
          <w:sz w:val="24"/>
          <w:szCs w:val="24"/>
          <w:u w:val="single"/>
          <w:lang w:val="en-US" w:eastAsia="zh-CN"/>
        </w:rPr>
        <w:t>涉及电镀工序且不</w:t>
      </w:r>
      <w:r>
        <w:rPr>
          <w:rFonts w:ascii="Times New Roman" w:hAnsi="Times New Roman" w:eastAsia="宋体"/>
          <w:color w:val="auto"/>
          <w:sz w:val="24"/>
          <w:szCs w:val="24"/>
          <w:u w:val="single"/>
        </w:rPr>
        <w:t>含重金属</w:t>
      </w:r>
      <w:r>
        <w:rPr>
          <w:rFonts w:hint="eastAsia" w:ascii="Times New Roman" w:hAnsi="Times New Roman" w:eastAsia="宋体"/>
          <w:color w:val="auto"/>
          <w:sz w:val="24"/>
          <w:szCs w:val="24"/>
          <w:u w:val="single"/>
        </w:rPr>
        <w:t>；项目</w:t>
      </w:r>
      <w:r>
        <w:rPr>
          <w:rFonts w:ascii="Times New Roman" w:hAnsi="Times New Roman" w:eastAsia="宋体"/>
          <w:color w:val="auto"/>
          <w:sz w:val="24"/>
          <w:szCs w:val="24"/>
          <w:u w:val="single"/>
        </w:rPr>
        <w:t>建设1座</w:t>
      </w:r>
      <w:r>
        <w:rPr>
          <w:rFonts w:hint="eastAsia" w:ascii="Times New Roman" w:hAnsi="Times New Roman" w:eastAsia="宋体"/>
          <w:color w:val="auto"/>
          <w:sz w:val="24"/>
          <w:szCs w:val="24"/>
          <w:u w:val="single"/>
        </w:rPr>
        <w:t>600</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的应急事故池、1座</w:t>
      </w:r>
      <w:r>
        <w:rPr>
          <w:rFonts w:hint="eastAsia" w:ascii="Times New Roman" w:hAnsi="Times New Roman" w:eastAsia="宋体"/>
          <w:color w:val="auto"/>
          <w:sz w:val="24"/>
          <w:szCs w:val="24"/>
          <w:u w:val="single"/>
        </w:rPr>
        <w:t>290</w:t>
      </w:r>
      <w:r>
        <w:rPr>
          <w:rFonts w:ascii="Times New Roman" w:hAnsi="Times New Roman" w:eastAsia="宋体"/>
          <w:color w:val="auto"/>
          <w:sz w:val="24"/>
          <w:szCs w:val="24"/>
          <w:u w:val="single"/>
        </w:rPr>
        <w:t>m</w:t>
      </w:r>
      <w:r>
        <w:rPr>
          <w:rFonts w:ascii="Times New Roman" w:hAnsi="Times New Roman" w:eastAsia="宋体"/>
          <w:color w:val="auto"/>
          <w:sz w:val="24"/>
          <w:szCs w:val="24"/>
          <w:u w:val="single"/>
          <w:vertAlign w:val="superscript"/>
        </w:rPr>
        <w:t>3</w:t>
      </w:r>
      <w:r>
        <w:rPr>
          <w:rFonts w:ascii="Times New Roman" w:hAnsi="Times New Roman" w:eastAsia="宋体"/>
          <w:color w:val="auto"/>
          <w:sz w:val="24"/>
          <w:szCs w:val="24"/>
          <w:u w:val="single"/>
        </w:rPr>
        <w:t>的初期雨水池，初期雨水收集池与事故应急池连通</w:t>
      </w:r>
      <w:r>
        <w:rPr>
          <w:rFonts w:hint="eastAsia" w:ascii="Times New Roman" w:hAnsi="Times New Roman" w:eastAsia="宋体"/>
          <w:color w:val="auto"/>
          <w:sz w:val="24"/>
          <w:szCs w:val="24"/>
          <w:u w:val="single"/>
        </w:rPr>
        <w:t>，</w:t>
      </w:r>
      <w:r>
        <w:rPr>
          <w:rFonts w:ascii="Times New Roman" w:hAnsi="Times New Roman" w:eastAsia="宋体"/>
          <w:color w:val="auto"/>
          <w:sz w:val="24"/>
          <w:szCs w:val="24"/>
          <w:u w:val="single"/>
        </w:rPr>
        <w:t>根据《事故状态下水体污染的预防与控制技术要求》（QSY1190-2009）的要求计算事故状态下的最大废水量</w:t>
      </w:r>
      <w:r>
        <w:rPr>
          <w:rFonts w:hint="eastAsia" w:ascii="Times New Roman" w:hAnsi="Times New Roman" w:eastAsia="宋体"/>
          <w:color w:val="auto"/>
          <w:sz w:val="24"/>
          <w:szCs w:val="24"/>
          <w:u w:val="single"/>
        </w:rPr>
        <w:t>约为552m</w:t>
      </w:r>
      <w:r>
        <w:rPr>
          <w:rFonts w:hint="eastAsia" w:ascii="Times New Roman" w:hAnsi="Times New Roman" w:eastAsia="宋体"/>
          <w:color w:val="auto"/>
          <w:sz w:val="24"/>
          <w:szCs w:val="24"/>
          <w:u w:val="single"/>
          <w:vertAlign w:val="superscript"/>
        </w:rPr>
        <w:t>3</w:t>
      </w:r>
      <w:r>
        <w:rPr>
          <w:rFonts w:hint="eastAsia" w:ascii="Times New Roman" w:hAnsi="Times New Roman" w:eastAsia="宋体"/>
          <w:color w:val="auto"/>
          <w:sz w:val="24"/>
          <w:szCs w:val="24"/>
          <w:u w:val="single"/>
        </w:rPr>
        <w:t>，项目事故应急系统及园区应急系统</w:t>
      </w:r>
      <w:r>
        <w:rPr>
          <w:rFonts w:hint="eastAsia" w:ascii="Times New Roman" w:hAnsi="Times New Roman" w:eastAsia="宋体"/>
          <w:color w:val="auto"/>
          <w:sz w:val="24"/>
          <w:szCs w:val="21"/>
          <w:u w:val="single"/>
        </w:rPr>
        <w:t>（</w:t>
      </w:r>
      <w:r>
        <w:rPr>
          <w:rFonts w:hint="eastAsia" w:ascii="Times New Roman" w:hAnsi="Times New Roman" w:eastAsia="宋体"/>
          <w:color w:val="auto"/>
          <w:sz w:val="24"/>
          <w:szCs w:val="21"/>
          <w:u w:val="single" w:color="auto"/>
          <w:lang w:eastAsia="zh-CN"/>
        </w:rPr>
        <w:t>有</w:t>
      </w:r>
      <w:r>
        <w:rPr>
          <w:rFonts w:hint="default" w:ascii="Times New Roman" w:hAnsi="Times New Roman" w:eastAsia="宋体" w:cs="Times New Roman"/>
          <w:color w:val="auto"/>
          <w:sz w:val="24"/>
          <w:szCs w:val="21"/>
          <w:highlight w:val="none"/>
          <w:u w:val="single" w:color="auto"/>
          <w:lang w:eastAsia="zh-CN"/>
        </w:rPr>
        <w:t>松木污水处理厂</w:t>
      </w:r>
      <w:r>
        <w:rPr>
          <w:rFonts w:ascii="Times New Roman" w:hAnsi="Times New Roman" w:eastAsia="宋体"/>
          <w:color w:val="auto"/>
          <w:sz w:val="24"/>
          <w:szCs w:val="21"/>
          <w:u w:val="single"/>
        </w:rPr>
        <w:t>兜底，一般情况下，不会造成流域级事件</w:t>
      </w:r>
      <w:r>
        <w:rPr>
          <w:rFonts w:hint="eastAsia" w:ascii="Times New Roman" w:hAnsi="Times New Roman" w:eastAsia="宋体"/>
          <w:color w:val="auto"/>
          <w:sz w:val="24"/>
          <w:szCs w:val="21"/>
          <w:u w:val="single"/>
        </w:rPr>
        <w:t>）可</w:t>
      </w:r>
      <w:r>
        <w:rPr>
          <w:rFonts w:hint="eastAsia" w:ascii="Times New Roman" w:hAnsi="Times New Roman" w:eastAsia="宋体"/>
          <w:color w:val="auto"/>
          <w:sz w:val="24"/>
          <w:szCs w:val="24"/>
          <w:u w:val="single"/>
        </w:rPr>
        <w:t>有效收集突发情形下排放重金属废水，避免废水处理站发生故障或者生产线发生火灾产生大量消防废水等突发情形下含重金属废水进入水体。</w:t>
      </w:r>
    </w:p>
    <w:p w14:paraId="643F9770">
      <w:pPr>
        <w:ind w:firstLine="561"/>
        <w:rPr>
          <w:rFonts w:ascii="Times New Roman" w:hAnsi="Times New Roman" w:eastAsia="宋体"/>
          <w:color w:val="auto"/>
          <w:sz w:val="24"/>
          <w:szCs w:val="21"/>
          <w:u w:val="single"/>
        </w:rPr>
      </w:pPr>
      <w:r>
        <w:rPr>
          <w:rFonts w:hint="eastAsia" w:ascii="Times New Roman" w:hAnsi="Times New Roman" w:eastAsia="宋体"/>
          <w:color w:val="auto"/>
          <w:sz w:val="24"/>
          <w:szCs w:val="21"/>
          <w:u w:val="single"/>
        </w:rPr>
        <w:t>综上所述，</w:t>
      </w:r>
      <w:r>
        <w:rPr>
          <w:rFonts w:ascii="Times New Roman" w:hAnsi="Times New Roman" w:eastAsia="宋体"/>
          <w:color w:val="auto"/>
          <w:sz w:val="24"/>
          <w:szCs w:val="21"/>
          <w:u w:val="single"/>
        </w:rPr>
        <w:t>与松木经开区产业准入要求</w:t>
      </w:r>
      <w:r>
        <w:rPr>
          <w:rFonts w:hint="eastAsia" w:ascii="Times New Roman" w:hAnsi="Times New Roman" w:eastAsia="宋体"/>
          <w:color w:val="auto"/>
          <w:sz w:val="24"/>
          <w:szCs w:val="21"/>
          <w:u w:val="single"/>
        </w:rPr>
        <w:t>不相冲突</w:t>
      </w:r>
      <w:r>
        <w:rPr>
          <w:rFonts w:ascii="Times New Roman" w:hAnsi="Times New Roman" w:eastAsia="宋体"/>
          <w:color w:val="auto"/>
          <w:sz w:val="24"/>
          <w:szCs w:val="21"/>
          <w:u w:val="single"/>
        </w:rPr>
        <w:t>。</w:t>
      </w:r>
    </w:p>
    <w:p w14:paraId="4BD893FB">
      <w:pPr>
        <w:ind w:firstLine="561"/>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（3）选址可行性</w:t>
      </w:r>
    </w:p>
    <w:p w14:paraId="5F92E4BD">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本项目选址于衡阳市松木经开区化工片区，目前松木经开区内道路、水、电、通讯、有线电视、网络、天然气、码头等基础设施日臻完善，具备了承接大型企业和大项目入园投资建设的条件。</w:t>
      </w:r>
    </w:p>
    <w:p w14:paraId="51814FF0">
      <w:pPr>
        <w:pStyle w:val="52"/>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本项目可充分利用工业园的道路、供水、供电、污水处理厂等基础设施。项目生活污水送松木污水处理厂处理，废水入湘江排污口位于衡阳市城区自来水厂取水口下游4000米，有利于保护衡阳市城区自来水厂取水口水质。根据湖南衡阳松木经济开发区扩区规划，本项目所在地为工业用地，本项目选址合理可行。</w:t>
      </w:r>
    </w:p>
    <w:p w14:paraId="08626F69">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63" w:name="_Toc28986"/>
      <w:r>
        <w:rPr>
          <w:rFonts w:hint="default" w:ascii="Times New Roman" w:hAnsi="Times New Roman" w:eastAsia="宋体" w:cs="Times New Roman"/>
          <w:color w:val="auto"/>
          <w:sz w:val="28"/>
          <w:szCs w:val="28"/>
          <w:highlight w:val="none"/>
          <w:u w:val="none" w:color="auto"/>
          <w:lang w:val="en-US" w:eastAsia="zh-CN"/>
        </w:rPr>
        <w:t>13.2总结论</w:t>
      </w:r>
      <w:bookmarkEnd w:id="163"/>
    </w:p>
    <w:p w14:paraId="5ED5A5D2">
      <w:pPr>
        <w:ind w:firstLine="480" w:firstLineChars="200"/>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本项目不属于电镀项目，项目不属于以“零排放”为名新引进实际存在重金属废水排放或突发情形下排放重金属废水的产业项目</w:t>
      </w:r>
      <w:r>
        <w:rPr>
          <w:rFonts w:hint="eastAsia" w:ascii="Times New Roman" w:hAnsi="Times New Roman" w:eastAsia="宋体" w:cs="Times New Roman"/>
          <w:b w:val="0"/>
          <w:bCs w:val="0"/>
          <w:color w:val="auto"/>
          <w:kern w:val="2"/>
          <w:sz w:val="24"/>
          <w:szCs w:val="21"/>
          <w:highlight w:val="none"/>
          <w:u w:val="single" w:color="auto"/>
          <w:lang w:val="en-US" w:eastAsia="zh-CN" w:bidi="ar-SA"/>
        </w:rPr>
        <w:t>，</w:t>
      </w:r>
      <w:r>
        <w:rPr>
          <w:rFonts w:hint="default" w:ascii="Times New Roman" w:hAnsi="Times New Roman" w:eastAsia="宋体" w:cs="Times New Roman"/>
          <w:b w:val="0"/>
          <w:bCs w:val="0"/>
          <w:color w:val="auto"/>
          <w:kern w:val="2"/>
          <w:sz w:val="24"/>
          <w:szCs w:val="21"/>
          <w:highlight w:val="none"/>
          <w:u w:val="single" w:color="auto"/>
          <w:lang w:val="en-US" w:eastAsia="zh-CN" w:bidi="ar-SA"/>
        </w:rPr>
        <w:t>符合国家相关产业政策及地方发展规划；</w:t>
      </w:r>
      <w:r>
        <w:rPr>
          <w:rFonts w:hint="default" w:ascii="Times New Roman" w:hAnsi="Times New Roman" w:eastAsia="宋体" w:cs="Times New Roman"/>
          <w:b w:val="0"/>
          <w:bCs w:val="0"/>
          <w:color w:val="auto"/>
          <w:kern w:val="2"/>
          <w:sz w:val="24"/>
          <w:szCs w:val="21"/>
          <w:highlight w:val="none"/>
          <w:u w:val="none" w:color="auto"/>
          <w:lang w:val="en-US" w:eastAsia="zh-CN" w:bidi="ar-SA"/>
        </w:rPr>
        <w:t>在认真落实各项环境保护措施后，污染物可以达标排放；项目建成后对周围环境的影响是可以接受的，不会改变项目周边当前环境空气、地下水环境、地表水环境、声环境等环境要素的功能区域要求；排放总量满足总量控制指标要求。本项目的建设有利于促进区域经济可持续发展。在实施污染物排放总量控制、落实报告书提出的各项环保措施、做好风险防范措施和应急预案的基础上，本项目建设不会对周围环境产生明显影响。</w:t>
      </w:r>
    </w:p>
    <w:p w14:paraId="6EB342F1">
      <w:pPr>
        <w:ind w:firstLine="480" w:firstLineChars="200"/>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因此，从环境保护角度而言，本项目的建设是可行的。</w:t>
      </w:r>
    </w:p>
    <w:p w14:paraId="3CC7399F">
      <w:pPr>
        <w:pStyle w:val="3"/>
        <w:pageBreakBefore w:val="0"/>
        <w:kinsoku/>
        <w:wordWrap/>
        <w:overflowPunct/>
        <w:topLinePunct w:val="0"/>
        <w:bidi w:val="0"/>
        <w:spacing w:before="0" w:after="0" w:line="360" w:lineRule="auto"/>
        <w:rPr>
          <w:rFonts w:hint="default" w:ascii="Times New Roman" w:hAnsi="Times New Roman" w:eastAsia="宋体" w:cs="Times New Roman"/>
          <w:color w:val="auto"/>
          <w:sz w:val="28"/>
          <w:szCs w:val="28"/>
          <w:highlight w:val="none"/>
          <w:u w:val="none" w:color="auto"/>
          <w:lang w:val="en-US" w:eastAsia="zh-CN"/>
        </w:rPr>
      </w:pPr>
      <w:bookmarkStart w:id="164" w:name="_Toc54079954"/>
      <w:bookmarkStart w:id="165" w:name="_Toc479713026"/>
      <w:bookmarkStart w:id="166" w:name="_Toc24321"/>
      <w:r>
        <w:rPr>
          <w:rFonts w:hint="default" w:ascii="Times New Roman" w:hAnsi="Times New Roman" w:eastAsia="宋体" w:cs="Times New Roman"/>
          <w:color w:val="auto"/>
          <w:sz w:val="28"/>
          <w:szCs w:val="28"/>
          <w:highlight w:val="none"/>
          <w:u w:val="none" w:color="auto"/>
          <w:lang w:val="en-US" w:eastAsia="zh-CN"/>
        </w:rPr>
        <w:t>13.3建议与要求</w:t>
      </w:r>
      <w:bookmarkEnd w:id="164"/>
      <w:bookmarkEnd w:id="165"/>
      <w:bookmarkEnd w:id="166"/>
    </w:p>
    <w:p w14:paraId="59D6B1D8">
      <w:pPr>
        <w:ind w:firstLine="480" w:firstLineChars="200"/>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（1）项目污染治理措施应与主体工程同时设计、同时施工、同时运行，当地环保部门应加强对企业“三废”处理设施运转后的监督管理，保证总量控制和达标排放的贯彻实施。</w:t>
      </w:r>
    </w:p>
    <w:p w14:paraId="760D17F6">
      <w:pPr>
        <w:ind w:firstLine="480" w:firstLineChars="200"/>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（2）排污口实行规范化管理，按照《环境保护图形标志</w:t>
      </w:r>
      <w:r>
        <w:rPr>
          <w:rFonts w:hint="default" w:ascii="Times New Roman" w:hAnsi="Times New Roman" w:eastAsia="宋体" w:cs="Times New Roman"/>
          <w:b w:val="0"/>
          <w:bCs w:val="0"/>
          <w:color w:val="auto"/>
          <w:kern w:val="2"/>
          <w:sz w:val="24"/>
          <w:szCs w:val="21"/>
          <w:highlight w:val="none"/>
          <w:u w:val="none" w:color="auto"/>
          <w:lang w:val="en-US" w:eastAsia="zh-CN" w:bidi="ar-SA"/>
        </w:rPr>
        <w:softHyphen/>
      </w:r>
      <w:r>
        <w:rPr>
          <w:rFonts w:hint="default" w:ascii="Times New Roman" w:hAnsi="Times New Roman" w:eastAsia="宋体" w:cs="Times New Roman"/>
          <w:b w:val="0"/>
          <w:bCs w:val="0"/>
          <w:color w:val="auto"/>
          <w:kern w:val="2"/>
          <w:sz w:val="24"/>
          <w:szCs w:val="21"/>
          <w:highlight w:val="none"/>
          <w:u w:val="none" w:color="auto"/>
          <w:lang w:val="en-US" w:eastAsia="zh-CN" w:bidi="ar-SA"/>
        </w:rPr>
        <w:softHyphen/>
      </w:r>
      <w:r>
        <w:rPr>
          <w:rFonts w:hint="default" w:ascii="Times New Roman" w:hAnsi="Times New Roman" w:eastAsia="宋体" w:cs="Times New Roman"/>
          <w:b w:val="0"/>
          <w:bCs w:val="0"/>
          <w:color w:val="auto"/>
          <w:kern w:val="2"/>
          <w:sz w:val="24"/>
          <w:szCs w:val="21"/>
          <w:highlight w:val="none"/>
          <w:u w:val="none" w:color="auto"/>
          <w:lang w:val="en-US" w:eastAsia="zh-CN" w:bidi="ar-SA"/>
        </w:rPr>
        <w:t>—排放口》规定的图形，在废水排放口挂牌标志，并使用《中华人民共和国规范化排污口标志登记证》填写相关内容，建立排污台账，供上级部门检查。</w:t>
      </w:r>
    </w:p>
    <w:p w14:paraId="1ECB54EC">
      <w:pPr>
        <w:ind w:firstLine="480" w:firstLineChars="200"/>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（3）建立和健全环保机构及各项环保规章制度，加强环境监测与环境管理，杜绝污染事故的发生。</w:t>
      </w:r>
    </w:p>
    <w:p w14:paraId="559D1057">
      <w:pPr>
        <w:ind w:firstLine="480" w:firstLineChars="200"/>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（4）采用节能、减排措施及工艺设备，进一步减少能耗，减少排污量。</w:t>
      </w:r>
    </w:p>
    <w:p w14:paraId="00E40EB7">
      <w:pPr>
        <w:ind w:firstLine="480" w:firstLineChars="200"/>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（5）项目施工时应委托相关单位开展施工监理。</w:t>
      </w:r>
    </w:p>
    <w:p w14:paraId="301346A3">
      <w:pPr>
        <w:ind w:firstLine="480" w:firstLineChars="200"/>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default" w:ascii="Times New Roman" w:hAnsi="Times New Roman" w:eastAsia="宋体" w:cs="Times New Roman"/>
          <w:b w:val="0"/>
          <w:bCs w:val="0"/>
          <w:color w:val="auto"/>
          <w:kern w:val="2"/>
          <w:sz w:val="24"/>
          <w:szCs w:val="21"/>
          <w:highlight w:val="none"/>
          <w:u w:val="none" w:color="auto"/>
          <w:lang w:val="en-US" w:eastAsia="zh-CN" w:bidi="ar-SA"/>
        </w:rPr>
        <w:t>（6）建议项目废水收集及处理采用可视可监控方式，能有效发现废水收集或处理环节的渗漏问题。</w:t>
      </w:r>
    </w:p>
    <w:p w14:paraId="2205545F">
      <w:pPr>
        <w:ind w:firstLine="480" w:firstLineChars="200"/>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（7）认真落实生产废水零排工艺；</w:t>
      </w:r>
      <w:r>
        <w:rPr>
          <w:rFonts w:hint="default" w:ascii="Times New Roman" w:hAnsi="Times New Roman" w:eastAsia="宋体" w:cs="Times New Roman"/>
          <w:strike w:val="0"/>
          <w:dstrike w:val="0"/>
          <w:color w:val="auto"/>
          <w:sz w:val="24"/>
          <w:szCs w:val="21"/>
          <w:highlight w:val="none"/>
          <w:u w:val="single" w:color="auto"/>
          <w:lang w:val="en-GB" w:eastAsia="zh-CN"/>
        </w:rPr>
        <w:t>建设单位电镀车间</w:t>
      </w:r>
      <w:r>
        <w:rPr>
          <w:rFonts w:hint="eastAsia" w:ascii="Times New Roman" w:hAnsi="Times New Roman" w:eastAsia="宋体" w:cs="Times New Roman"/>
          <w:strike w:val="0"/>
          <w:dstrike w:val="0"/>
          <w:color w:val="auto"/>
          <w:sz w:val="24"/>
          <w:szCs w:val="21"/>
          <w:highlight w:val="none"/>
          <w:u w:val="single" w:color="auto"/>
          <w:lang w:val="en-GB" w:eastAsia="zh-CN"/>
        </w:rPr>
        <w:t>、</w:t>
      </w:r>
      <w:r>
        <w:rPr>
          <w:rFonts w:hint="eastAsia" w:ascii="Times New Roman" w:hAnsi="Times New Roman" w:eastAsia="宋体" w:cs="Times New Roman"/>
          <w:strike w:val="0"/>
          <w:dstrike w:val="0"/>
          <w:color w:val="auto"/>
          <w:sz w:val="24"/>
          <w:szCs w:val="21"/>
          <w:highlight w:val="none"/>
          <w:u w:val="single" w:color="auto"/>
          <w:lang w:val="en-US" w:eastAsia="zh-CN"/>
        </w:rPr>
        <w:t>电镀工序</w:t>
      </w:r>
      <w:r>
        <w:rPr>
          <w:rFonts w:hint="default" w:ascii="Times New Roman" w:hAnsi="Times New Roman" w:eastAsia="宋体" w:cs="Times New Roman"/>
          <w:strike w:val="0"/>
          <w:dstrike w:val="0"/>
          <w:color w:val="auto"/>
          <w:sz w:val="24"/>
          <w:szCs w:val="21"/>
          <w:highlight w:val="none"/>
          <w:u w:val="single" w:color="auto"/>
          <w:lang w:val="en-GB" w:eastAsia="zh-CN"/>
        </w:rPr>
        <w:t>废水处理站蒸发车间不得设置排污口，且厂区雨水排口</w:t>
      </w:r>
      <w:r>
        <w:rPr>
          <w:rFonts w:hint="eastAsia" w:ascii="Times New Roman" w:hAnsi="Times New Roman" w:eastAsia="宋体" w:cs="Times New Roman"/>
          <w:strike w:val="0"/>
          <w:dstrike w:val="0"/>
          <w:color w:val="auto"/>
          <w:sz w:val="24"/>
          <w:szCs w:val="21"/>
          <w:highlight w:val="none"/>
          <w:u w:val="single" w:color="auto"/>
          <w:lang w:val="en-GB" w:eastAsia="zh-CN"/>
        </w:rPr>
        <w:t>、</w:t>
      </w:r>
      <w:r>
        <w:rPr>
          <w:rFonts w:hint="eastAsia" w:ascii="Times New Roman" w:hAnsi="Times New Roman" w:eastAsia="宋体" w:cs="Times New Roman"/>
          <w:strike w:val="0"/>
          <w:dstrike w:val="0"/>
          <w:color w:val="auto"/>
          <w:sz w:val="24"/>
          <w:szCs w:val="21"/>
          <w:highlight w:val="none"/>
          <w:u w:val="single" w:color="auto"/>
          <w:lang w:val="en-US" w:eastAsia="zh-CN"/>
        </w:rPr>
        <w:t>生活污水排口、机加工废水沉淀池</w:t>
      </w:r>
      <w:r>
        <w:rPr>
          <w:rFonts w:hint="default" w:ascii="Times New Roman" w:hAnsi="Times New Roman" w:eastAsia="宋体" w:cs="Times New Roman"/>
          <w:strike w:val="0"/>
          <w:dstrike w:val="0"/>
          <w:color w:val="auto"/>
          <w:sz w:val="24"/>
          <w:szCs w:val="21"/>
          <w:highlight w:val="none"/>
          <w:u w:val="single" w:color="auto"/>
          <w:lang w:val="en-GB" w:eastAsia="zh-CN"/>
        </w:rPr>
        <w:t>排口重金属不得检出</w:t>
      </w:r>
      <w:r>
        <w:rPr>
          <w:rFonts w:hint="eastAsia" w:ascii="Times New Roman" w:hAnsi="Times New Roman" w:eastAsia="宋体" w:cs="Times New Roman"/>
          <w:strike w:val="0"/>
          <w:dstrike w:val="0"/>
          <w:color w:val="auto"/>
          <w:sz w:val="24"/>
          <w:szCs w:val="21"/>
          <w:highlight w:val="none"/>
          <w:u w:val="single" w:color="auto"/>
          <w:lang w:val="en-GB" w:eastAsia="zh-CN"/>
        </w:rPr>
        <w:t>，同时建设单位</w:t>
      </w:r>
      <w:r>
        <w:rPr>
          <w:rFonts w:hint="eastAsia" w:ascii="Times New Roman" w:hAnsi="Times New Roman" w:eastAsia="宋体" w:cs="Times New Roman"/>
          <w:strike w:val="0"/>
          <w:dstrike w:val="0"/>
          <w:color w:val="auto"/>
          <w:sz w:val="24"/>
          <w:szCs w:val="21"/>
          <w:highlight w:val="none"/>
          <w:u w:val="single" w:color="auto"/>
          <w:lang w:val="en-US" w:eastAsia="zh-CN"/>
        </w:rPr>
        <w:t>需</w:t>
      </w:r>
      <w:r>
        <w:rPr>
          <w:rFonts w:hint="eastAsia" w:ascii="Times New Roman" w:hAnsi="Times New Roman" w:eastAsia="宋体" w:cs="Times New Roman"/>
          <w:strike w:val="0"/>
          <w:dstrike w:val="0"/>
          <w:color w:val="auto"/>
          <w:sz w:val="24"/>
          <w:szCs w:val="21"/>
          <w:highlight w:val="none"/>
          <w:u w:val="single" w:color="auto"/>
          <w:lang w:val="en-GB" w:eastAsia="zh-CN"/>
        </w:rPr>
        <w:t>在雨水排放口及</w:t>
      </w:r>
      <w:r>
        <w:rPr>
          <w:rFonts w:hint="eastAsia" w:ascii="Times New Roman" w:hAnsi="Times New Roman" w:eastAsia="宋体" w:cs="Times New Roman"/>
          <w:strike w:val="0"/>
          <w:dstrike w:val="0"/>
          <w:color w:val="auto"/>
          <w:sz w:val="24"/>
          <w:szCs w:val="21"/>
          <w:highlight w:val="none"/>
          <w:u w:val="single" w:color="auto"/>
          <w:lang w:val="en-US" w:eastAsia="zh-CN"/>
        </w:rPr>
        <w:t>生活污水排口、机加工废水沉淀池</w:t>
      </w:r>
      <w:r>
        <w:rPr>
          <w:rFonts w:hint="default" w:ascii="Times New Roman" w:hAnsi="Times New Roman" w:eastAsia="宋体" w:cs="Times New Roman"/>
          <w:strike w:val="0"/>
          <w:dstrike w:val="0"/>
          <w:color w:val="auto"/>
          <w:sz w:val="24"/>
          <w:szCs w:val="21"/>
          <w:highlight w:val="none"/>
          <w:u w:val="single" w:color="auto"/>
          <w:lang w:val="en-GB" w:eastAsia="zh-CN"/>
        </w:rPr>
        <w:t>排口</w:t>
      </w:r>
      <w:r>
        <w:rPr>
          <w:rFonts w:hint="eastAsia" w:ascii="Times New Roman" w:hAnsi="Times New Roman" w:eastAsia="宋体" w:cs="Times New Roman"/>
          <w:strike w:val="0"/>
          <w:dstrike w:val="0"/>
          <w:color w:val="auto"/>
          <w:sz w:val="24"/>
          <w:szCs w:val="21"/>
          <w:highlight w:val="none"/>
          <w:u w:val="single" w:color="auto"/>
          <w:lang w:val="en-GB" w:eastAsia="zh-CN"/>
        </w:rPr>
        <w:t>设置</w:t>
      </w:r>
      <w:r>
        <w:rPr>
          <w:rFonts w:hint="eastAsia" w:ascii="Times New Roman" w:hAnsi="Times New Roman" w:eastAsia="宋体" w:cs="Times New Roman"/>
          <w:strike w:val="0"/>
          <w:dstrike w:val="0"/>
          <w:color w:val="auto"/>
          <w:sz w:val="24"/>
          <w:szCs w:val="21"/>
          <w:highlight w:val="none"/>
          <w:u w:val="single" w:color="auto"/>
          <w:lang w:val="en-US" w:eastAsia="zh-CN"/>
        </w:rPr>
        <w:t>Ni在线监测装置，并与生态环境部门联网</w:t>
      </w:r>
      <w:r>
        <w:rPr>
          <w:rFonts w:hint="default" w:ascii="Times New Roman" w:hAnsi="Times New Roman" w:eastAsia="宋体" w:cs="Times New Roman"/>
          <w:b w:val="0"/>
          <w:bCs w:val="0"/>
          <w:color w:val="auto"/>
          <w:kern w:val="2"/>
          <w:sz w:val="24"/>
          <w:szCs w:val="21"/>
          <w:highlight w:val="none"/>
          <w:u w:val="single" w:color="auto"/>
          <w:lang w:val="en-US" w:eastAsia="zh-CN" w:bidi="ar-SA"/>
        </w:rPr>
        <w:t>。</w:t>
      </w:r>
    </w:p>
    <w:p w14:paraId="1A6A3021">
      <w:pPr>
        <w:ind w:firstLine="480" w:firstLineChars="200"/>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（8）严格管理、控制生产过程中废水、废渣（液）的全过程污染控制管理。</w:t>
      </w:r>
    </w:p>
    <w:p w14:paraId="60F72D4B">
      <w:pPr>
        <w:ind w:firstLine="480" w:firstLineChars="200"/>
        <w:rPr>
          <w:rFonts w:hint="default" w:ascii="Times New Roman" w:hAnsi="Times New Roman" w:eastAsia="宋体" w:cs="Times New Roman"/>
          <w:b w:val="0"/>
          <w:bCs w:val="0"/>
          <w:color w:val="auto"/>
          <w:kern w:val="2"/>
          <w:sz w:val="24"/>
          <w:szCs w:val="21"/>
          <w:highlight w:val="none"/>
          <w:u w:val="single" w:color="auto"/>
          <w:lang w:val="en-US" w:eastAsia="zh-CN" w:bidi="ar-SA"/>
        </w:rPr>
      </w:pPr>
      <w:r>
        <w:rPr>
          <w:rFonts w:hint="default" w:ascii="Times New Roman" w:hAnsi="Times New Roman" w:eastAsia="宋体" w:cs="Times New Roman"/>
          <w:b w:val="0"/>
          <w:bCs w:val="0"/>
          <w:color w:val="auto"/>
          <w:kern w:val="2"/>
          <w:sz w:val="24"/>
          <w:szCs w:val="21"/>
          <w:highlight w:val="none"/>
          <w:u w:val="single" w:color="auto"/>
          <w:lang w:val="en-US" w:eastAsia="zh-CN" w:bidi="ar-SA"/>
        </w:rPr>
        <w:t>（9）</w:t>
      </w:r>
      <w:r>
        <w:rPr>
          <w:rFonts w:hint="eastAsia" w:ascii="Times New Roman" w:hAnsi="Times New Roman" w:eastAsia="宋体" w:cs="Times New Roman"/>
          <w:b w:val="0"/>
          <w:bCs w:val="0"/>
          <w:color w:val="auto"/>
          <w:kern w:val="2"/>
          <w:sz w:val="24"/>
          <w:szCs w:val="21"/>
          <w:highlight w:val="none"/>
          <w:u w:val="single" w:color="auto"/>
          <w:lang w:val="en-US" w:eastAsia="zh-CN" w:bidi="ar-SA"/>
        </w:rPr>
        <w:t>若后续园区电镀中心技术可满足本项目要求，建设单位应委托园区电镀中心对本项目产品进行电镀。</w:t>
      </w:r>
    </w:p>
    <w:p w14:paraId="471EEC0E">
      <w:pPr>
        <w:ind w:firstLine="480" w:firstLineChars="200"/>
        <w:rPr>
          <w:rFonts w:hint="default" w:ascii="Times New Roman" w:hAnsi="Times New Roman" w:eastAsia="宋体" w:cs="Times New Roman"/>
          <w:b w:val="0"/>
          <w:bCs w:val="0"/>
          <w:color w:val="auto"/>
          <w:kern w:val="2"/>
          <w:sz w:val="24"/>
          <w:szCs w:val="21"/>
          <w:highlight w:val="none"/>
          <w:u w:val="none" w:color="auto"/>
          <w:lang w:val="en-US" w:eastAsia="zh-CN" w:bidi="ar-SA"/>
        </w:rPr>
      </w:pPr>
      <w:r>
        <w:rPr>
          <w:rFonts w:hint="eastAsia" w:ascii="Times New Roman" w:hAnsi="Times New Roman" w:eastAsia="宋体" w:cs="Times New Roman"/>
          <w:b w:val="0"/>
          <w:bCs w:val="0"/>
          <w:color w:val="auto"/>
          <w:kern w:val="2"/>
          <w:sz w:val="24"/>
          <w:szCs w:val="21"/>
          <w:highlight w:val="none"/>
          <w:u w:val="none" w:color="auto"/>
          <w:lang w:val="en-US" w:eastAsia="zh-CN" w:bidi="ar-SA"/>
        </w:rPr>
        <w:t>（10）</w:t>
      </w:r>
      <w:r>
        <w:rPr>
          <w:rFonts w:hint="default" w:ascii="Times New Roman" w:hAnsi="Times New Roman" w:eastAsia="宋体" w:cs="Times New Roman"/>
          <w:b w:val="0"/>
          <w:bCs w:val="0"/>
          <w:color w:val="auto"/>
          <w:kern w:val="2"/>
          <w:sz w:val="24"/>
          <w:szCs w:val="21"/>
          <w:highlight w:val="none"/>
          <w:u w:val="none" w:color="auto"/>
          <w:lang w:val="en-US" w:eastAsia="zh-CN" w:bidi="ar-SA"/>
        </w:rPr>
        <w:t>今后若企业的生产工艺发生变化或生产规模扩大、生产技术更新改造等，都必须重新进行环境影响评价，并征得环保部门审批同意后方可实施。</w:t>
      </w:r>
    </w:p>
    <w:p w14:paraId="52344B2F">
      <w:pPr>
        <w:rPr>
          <w:rFonts w:hint="default" w:ascii="Times New Roman" w:hAnsi="Times New Roman" w:cs="Times New Roman"/>
          <w:color w:val="auto"/>
          <w:highlight w:val="none"/>
          <w:u w:val="none" w:color="auto"/>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decorative"/>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Sim Sun+ 2">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18030">
    <w:altName w:val="微软雅黑"/>
    <w:panose1 w:val="02010609060101010101"/>
    <w:charset w:val="86"/>
    <w:family w:val="auto"/>
    <w:pitch w:val="default"/>
    <w:sig w:usb0="00000000" w:usb1="00000000" w:usb2="000A005E" w:usb3="00000000" w:csb0="00040001" w:csb1="00000000"/>
  </w:font>
  <w:font w:name="方正宋三简体">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2375">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2D914">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3F5E9">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636EA">
    <w:pPr>
      <w:pStyle w:val="14"/>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115</w:t>
    </w:r>
    <w:r>
      <w:rPr>
        <w:rFonts w:ascii="Times New Roman" w:hAnsi="Times New Roman"/>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0C71E">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2A9C3">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2907F">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30FF5">
    <w:pPr>
      <w:pStyle w:val="15"/>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湖南昂拓科技有限责任公司年产1000万件超硬材料制品建设项目</w:t>
    </w:r>
    <w:r>
      <w:rPr>
        <w:rFonts w:hint="default" w:ascii="Times New Roman" w:hAnsi="Times New Roman" w:eastAsia="宋体" w:cs="Times New Roman"/>
        <w:sz w:val="21"/>
        <w:szCs w:val="21"/>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171A80"/>
    <w:multiLevelType w:val="singleLevel"/>
    <w:tmpl w:val="F7171A8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lNGIwZmI4ZTFmN2U2MzBlYTUxMzQyY2VkMWEwOWQifQ=="/>
  </w:docVars>
  <w:rsids>
    <w:rsidRoot w:val="00000000"/>
    <w:rsid w:val="006F1C92"/>
    <w:rsid w:val="00DF50B9"/>
    <w:rsid w:val="00FA7C6B"/>
    <w:rsid w:val="01187E0B"/>
    <w:rsid w:val="012C1DB7"/>
    <w:rsid w:val="01E47864"/>
    <w:rsid w:val="023B2820"/>
    <w:rsid w:val="027D7181"/>
    <w:rsid w:val="0285748C"/>
    <w:rsid w:val="0317318F"/>
    <w:rsid w:val="0357518C"/>
    <w:rsid w:val="037B02ED"/>
    <w:rsid w:val="03CA386A"/>
    <w:rsid w:val="0496129D"/>
    <w:rsid w:val="04E568EF"/>
    <w:rsid w:val="054A7C51"/>
    <w:rsid w:val="055A6875"/>
    <w:rsid w:val="05E827B1"/>
    <w:rsid w:val="05FE7B6A"/>
    <w:rsid w:val="05FF794E"/>
    <w:rsid w:val="067948D8"/>
    <w:rsid w:val="06973ED8"/>
    <w:rsid w:val="069F36F3"/>
    <w:rsid w:val="06CF1CA7"/>
    <w:rsid w:val="07F10626"/>
    <w:rsid w:val="0839028E"/>
    <w:rsid w:val="086631D8"/>
    <w:rsid w:val="08727514"/>
    <w:rsid w:val="08A3150F"/>
    <w:rsid w:val="08D60CE5"/>
    <w:rsid w:val="0941604B"/>
    <w:rsid w:val="0A011659"/>
    <w:rsid w:val="0A283998"/>
    <w:rsid w:val="0A456833"/>
    <w:rsid w:val="0A917CCA"/>
    <w:rsid w:val="0B5E2F85"/>
    <w:rsid w:val="0C1F5E09"/>
    <w:rsid w:val="0E2E1A4C"/>
    <w:rsid w:val="0E390D66"/>
    <w:rsid w:val="0E48265E"/>
    <w:rsid w:val="0E553681"/>
    <w:rsid w:val="0EBD108E"/>
    <w:rsid w:val="0F28410F"/>
    <w:rsid w:val="0F73624F"/>
    <w:rsid w:val="0FDD5480"/>
    <w:rsid w:val="103866EE"/>
    <w:rsid w:val="110768C7"/>
    <w:rsid w:val="12B55CC6"/>
    <w:rsid w:val="13196AAF"/>
    <w:rsid w:val="131F17B7"/>
    <w:rsid w:val="138A4579"/>
    <w:rsid w:val="15020200"/>
    <w:rsid w:val="15977F8D"/>
    <w:rsid w:val="15BC1EC9"/>
    <w:rsid w:val="15D8609E"/>
    <w:rsid w:val="163653BC"/>
    <w:rsid w:val="163C514D"/>
    <w:rsid w:val="16B94DA3"/>
    <w:rsid w:val="17B4453E"/>
    <w:rsid w:val="17CB2FB3"/>
    <w:rsid w:val="18086083"/>
    <w:rsid w:val="18200D68"/>
    <w:rsid w:val="191E07B4"/>
    <w:rsid w:val="19912AF6"/>
    <w:rsid w:val="1A18350F"/>
    <w:rsid w:val="1A50725A"/>
    <w:rsid w:val="1B5542A7"/>
    <w:rsid w:val="1B8252D5"/>
    <w:rsid w:val="1BD23C9F"/>
    <w:rsid w:val="1BFA7804"/>
    <w:rsid w:val="1C3303E2"/>
    <w:rsid w:val="1CBA4E5F"/>
    <w:rsid w:val="1CF754A4"/>
    <w:rsid w:val="1D11451C"/>
    <w:rsid w:val="1D2764ED"/>
    <w:rsid w:val="1E1E5CA6"/>
    <w:rsid w:val="1E590956"/>
    <w:rsid w:val="1EF1171F"/>
    <w:rsid w:val="1F2B5BA0"/>
    <w:rsid w:val="1F340D44"/>
    <w:rsid w:val="1F8D25DD"/>
    <w:rsid w:val="1FDB5917"/>
    <w:rsid w:val="202251F5"/>
    <w:rsid w:val="207E43F5"/>
    <w:rsid w:val="20D1035C"/>
    <w:rsid w:val="217B5071"/>
    <w:rsid w:val="22C617A0"/>
    <w:rsid w:val="240B5FA0"/>
    <w:rsid w:val="242C3EAA"/>
    <w:rsid w:val="24600086"/>
    <w:rsid w:val="24783A57"/>
    <w:rsid w:val="24D8157B"/>
    <w:rsid w:val="24EF6A83"/>
    <w:rsid w:val="257B3F10"/>
    <w:rsid w:val="257C119A"/>
    <w:rsid w:val="25AA1792"/>
    <w:rsid w:val="26034629"/>
    <w:rsid w:val="2637000A"/>
    <w:rsid w:val="26BE70E3"/>
    <w:rsid w:val="276D6E4A"/>
    <w:rsid w:val="278A5AD1"/>
    <w:rsid w:val="280F0250"/>
    <w:rsid w:val="2826004D"/>
    <w:rsid w:val="28400275"/>
    <w:rsid w:val="294C1516"/>
    <w:rsid w:val="29B4191E"/>
    <w:rsid w:val="2A9036A3"/>
    <w:rsid w:val="2AA16E34"/>
    <w:rsid w:val="2AB73A3B"/>
    <w:rsid w:val="2B0B21CE"/>
    <w:rsid w:val="2B524BFC"/>
    <w:rsid w:val="2C7E1A70"/>
    <w:rsid w:val="2C895B5D"/>
    <w:rsid w:val="2D241E80"/>
    <w:rsid w:val="2D255D42"/>
    <w:rsid w:val="2D537EF5"/>
    <w:rsid w:val="2DAE6A51"/>
    <w:rsid w:val="2DB515BE"/>
    <w:rsid w:val="2DBF4071"/>
    <w:rsid w:val="2E116A13"/>
    <w:rsid w:val="2EBD4CEF"/>
    <w:rsid w:val="2F6C5313"/>
    <w:rsid w:val="2F9652B7"/>
    <w:rsid w:val="30CC4D09"/>
    <w:rsid w:val="318346B8"/>
    <w:rsid w:val="31A00015"/>
    <w:rsid w:val="31CB5EF9"/>
    <w:rsid w:val="31CD297B"/>
    <w:rsid w:val="31D5453E"/>
    <w:rsid w:val="31F451DA"/>
    <w:rsid w:val="31FA2EAE"/>
    <w:rsid w:val="32353BCA"/>
    <w:rsid w:val="32F94D77"/>
    <w:rsid w:val="33054A4D"/>
    <w:rsid w:val="33154F2A"/>
    <w:rsid w:val="334D26D4"/>
    <w:rsid w:val="33686A7F"/>
    <w:rsid w:val="339E0BDF"/>
    <w:rsid w:val="34142C4F"/>
    <w:rsid w:val="346D0112"/>
    <w:rsid w:val="348C5F98"/>
    <w:rsid w:val="34EC7728"/>
    <w:rsid w:val="3513228F"/>
    <w:rsid w:val="356967B4"/>
    <w:rsid w:val="3587712D"/>
    <w:rsid w:val="35B446E9"/>
    <w:rsid w:val="35C7590E"/>
    <w:rsid w:val="35D22DC1"/>
    <w:rsid w:val="35E44AAD"/>
    <w:rsid w:val="35F8765F"/>
    <w:rsid w:val="36120125"/>
    <w:rsid w:val="36216D25"/>
    <w:rsid w:val="3700570C"/>
    <w:rsid w:val="376260A7"/>
    <w:rsid w:val="37682AB2"/>
    <w:rsid w:val="37F544C0"/>
    <w:rsid w:val="38741F0E"/>
    <w:rsid w:val="38BD2226"/>
    <w:rsid w:val="390F5955"/>
    <w:rsid w:val="39112059"/>
    <w:rsid w:val="395104A1"/>
    <w:rsid w:val="39C42A21"/>
    <w:rsid w:val="3A12378C"/>
    <w:rsid w:val="3A17104F"/>
    <w:rsid w:val="3A577E9C"/>
    <w:rsid w:val="3A7A7584"/>
    <w:rsid w:val="3AE77325"/>
    <w:rsid w:val="3AFA1CF8"/>
    <w:rsid w:val="3BFE4AA1"/>
    <w:rsid w:val="3C05702E"/>
    <w:rsid w:val="3C3447CE"/>
    <w:rsid w:val="3CCF7785"/>
    <w:rsid w:val="3D6201BD"/>
    <w:rsid w:val="3DED06DE"/>
    <w:rsid w:val="3DFB6F34"/>
    <w:rsid w:val="3E387A6B"/>
    <w:rsid w:val="3E411CC2"/>
    <w:rsid w:val="3E467A55"/>
    <w:rsid w:val="3E5C0687"/>
    <w:rsid w:val="3FA44EA4"/>
    <w:rsid w:val="3FA45B89"/>
    <w:rsid w:val="3FA9496E"/>
    <w:rsid w:val="400B3A0E"/>
    <w:rsid w:val="404061ED"/>
    <w:rsid w:val="40DB15EA"/>
    <w:rsid w:val="41CC0BF5"/>
    <w:rsid w:val="41F32F91"/>
    <w:rsid w:val="420724D8"/>
    <w:rsid w:val="420B026D"/>
    <w:rsid w:val="42F76080"/>
    <w:rsid w:val="433028BE"/>
    <w:rsid w:val="43312BC4"/>
    <w:rsid w:val="43B81849"/>
    <w:rsid w:val="448048A7"/>
    <w:rsid w:val="44C31A63"/>
    <w:rsid w:val="45F356E8"/>
    <w:rsid w:val="46D53DA4"/>
    <w:rsid w:val="46FF7EF9"/>
    <w:rsid w:val="470740B6"/>
    <w:rsid w:val="471E2059"/>
    <w:rsid w:val="4761585B"/>
    <w:rsid w:val="48847158"/>
    <w:rsid w:val="48F91FF4"/>
    <w:rsid w:val="490D66D2"/>
    <w:rsid w:val="494A3D94"/>
    <w:rsid w:val="49975A5C"/>
    <w:rsid w:val="49F43622"/>
    <w:rsid w:val="4A011D30"/>
    <w:rsid w:val="4A230BEB"/>
    <w:rsid w:val="4A5D4606"/>
    <w:rsid w:val="4AAB6782"/>
    <w:rsid w:val="4B3F63AB"/>
    <w:rsid w:val="4B555FC2"/>
    <w:rsid w:val="4B73315D"/>
    <w:rsid w:val="4B771616"/>
    <w:rsid w:val="4BB1223F"/>
    <w:rsid w:val="4BE53201"/>
    <w:rsid w:val="4C261319"/>
    <w:rsid w:val="4C473587"/>
    <w:rsid w:val="4D772340"/>
    <w:rsid w:val="4DC92CD7"/>
    <w:rsid w:val="4E0C523B"/>
    <w:rsid w:val="4E51700F"/>
    <w:rsid w:val="4EA905B1"/>
    <w:rsid w:val="4FB82BD0"/>
    <w:rsid w:val="50A870BC"/>
    <w:rsid w:val="50CC6933"/>
    <w:rsid w:val="512C68E1"/>
    <w:rsid w:val="51436C2F"/>
    <w:rsid w:val="51F14D5D"/>
    <w:rsid w:val="520635F9"/>
    <w:rsid w:val="523666A2"/>
    <w:rsid w:val="532340DF"/>
    <w:rsid w:val="538463EE"/>
    <w:rsid w:val="53983A49"/>
    <w:rsid w:val="53C03E02"/>
    <w:rsid w:val="540A4D9B"/>
    <w:rsid w:val="544630E6"/>
    <w:rsid w:val="545A4990"/>
    <w:rsid w:val="54604B65"/>
    <w:rsid w:val="54AB4C5D"/>
    <w:rsid w:val="55E80B40"/>
    <w:rsid w:val="56142D6E"/>
    <w:rsid w:val="562C4BF8"/>
    <w:rsid w:val="563E1146"/>
    <w:rsid w:val="56424FA2"/>
    <w:rsid w:val="56613574"/>
    <w:rsid w:val="56BD7CA4"/>
    <w:rsid w:val="56CC38D1"/>
    <w:rsid w:val="571B75B6"/>
    <w:rsid w:val="573A47F4"/>
    <w:rsid w:val="58672308"/>
    <w:rsid w:val="597A1831"/>
    <w:rsid w:val="59822A6F"/>
    <w:rsid w:val="5A834A94"/>
    <w:rsid w:val="5AA57AF1"/>
    <w:rsid w:val="5B6D3744"/>
    <w:rsid w:val="5C1271C4"/>
    <w:rsid w:val="5C207587"/>
    <w:rsid w:val="5C9E37FD"/>
    <w:rsid w:val="5CA153E7"/>
    <w:rsid w:val="5CDF71EF"/>
    <w:rsid w:val="5D211DB5"/>
    <w:rsid w:val="5D474D3A"/>
    <w:rsid w:val="5D775839"/>
    <w:rsid w:val="5DD31752"/>
    <w:rsid w:val="5E04633B"/>
    <w:rsid w:val="5E082F75"/>
    <w:rsid w:val="5E1E4252"/>
    <w:rsid w:val="5EF02FE9"/>
    <w:rsid w:val="5F07392B"/>
    <w:rsid w:val="5F473629"/>
    <w:rsid w:val="5F55678C"/>
    <w:rsid w:val="5F681F1D"/>
    <w:rsid w:val="5F864151"/>
    <w:rsid w:val="60C018E5"/>
    <w:rsid w:val="60E530F9"/>
    <w:rsid w:val="614454DC"/>
    <w:rsid w:val="615F59FF"/>
    <w:rsid w:val="61C84D42"/>
    <w:rsid w:val="62036003"/>
    <w:rsid w:val="622765A0"/>
    <w:rsid w:val="624C602C"/>
    <w:rsid w:val="62615055"/>
    <w:rsid w:val="627658F7"/>
    <w:rsid w:val="62F4520D"/>
    <w:rsid w:val="632717A7"/>
    <w:rsid w:val="63687A68"/>
    <w:rsid w:val="63A52BD8"/>
    <w:rsid w:val="64746BE2"/>
    <w:rsid w:val="64836EB1"/>
    <w:rsid w:val="64BE613B"/>
    <w:rsid w:val="659D2CB2"/>
    <w:rsid w:val="65A65C82"/>
    <w:rsid w:val="65BD3F77"/>
    <w:rsid w:val="668760F0"/>
    <w:rsid w:val="66E14363"/>
    <w:rsid w:val="66FC1C79"/>
    <w:rsid w:val="67344FE3"/>
    <w:rsid w:val="67CC11E0"/>
    <w:rsid w:val="680F0E3D"/>
    <w:rsid w:val="6835523C"/>
    <w:rsid w:val="68AB1E75"/>
    <w:rsid w:val="68E50ABA"/>
    <w:rsid w:val="69750844"/>
    <w:rsid w:val="69BD2E65"/>
    <w:rsid w:val="69E37C74"/>
    <w:rsid w:val="69F66F81"/>
    <w:rsid w:val="6ABF5516"/>
    <w:rsid w:val="6AC51BC7"/>
    <w:rsid w:val="6B882371"/>
    <w:rsid w:val="6BD57A53"/>
    <w:rsid w:val="6C8874A8"/>
    <w:rsid w:val="6D6C769B"/>
    <w:rsid w:val="6E295363"/>
    <w:rsid w:val="6ED053E9"/>
    <w:rsid w:val="6F4D74D3"/>
    <w:rsid w:val="6F7D2077"/>
    <w:rsid w:val="6FB22598"/>
    <w:rsid w:val="6FE45F60"/>
    <w:rsid w:val="708015FF"/>
    <w:rsid w:val="71734327"/>
    <w:rsid w:val="719942C8"/>
    <w:rsid w:val="7257734C"/>
    <w:rsid w:val="725C5822"/>
    <w:rsid w:val="72A9136A"/>
    <w:rsid w:val="72EB2162"/>
    <w:rsid w:val="731813D1"/>
    <w:rsid w:val="73236BFA"/>
    <w:rsid w:val="73AD522B"/>
    <w:rsid w:val="755212F7"/>
    <w:rsid w:val="75676A68"/>
    <w:rsid w:val="75A5137D"/>
    <w:rsid w:val="75E77E21"/>
    <w:rsid w:val="766C7226"/>
    <w:rsid w:val="768524C3"/>
    <w:rsid w:val="7765025A"/>
    <w:rsid w:val="7771264E"/>
    <w:rsid w:val="77AB42E7"/>
    <w:rsid w:val="77B50608"/>
    <w:rsid w:val="77B75398"/>
    <w:rsid w:val="788233BA"/>
    <w:rsid w:val="78966265"/>
    <w:rsid w:val="78B436C0"/>
    <w:rsid w:val="79381447"/>
    <w:rsid w:val="79507900"/>
    <w:rsid w:val="79796826"/>
    <w:rsid w:val="79C363A3"/>
    <w:rsid w:val="79EC4995"/>
    <w:rsid w:val="7A454EDD"/>
    <w:rsid w:val="7A5E643A"/>
    <w:rsid w:val="7BAA3227"/>
    <w:rsid w:val="7C7E6FA2"/>
    <w:rsid w:val="7D7439FB"/>
    <w:rsid w:val="7E2E063C"/>
    <w:rsid w:val="7E636097"/>
    <w:rsid w:val="7E8606AD"/>
    <w:rsid w:val="7EA816A6"/>
    <w:rsid w:val="7EB5619D"/>
    <w:rsid w:val="7F2C15B3"/>
    <w:rsid w:val="7F2F1D25"/>
    <w:rsid w:val="7F4F0D24"/>
    <w:rsid w:val="7F880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99"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pPr>
    <w:rPr>
      <w:rFonts w:ascii="Calibri" w:hAnsi="Calibri" w:eastAsia="仿宋_GB2312" w:cs="Times New Roman"/>
      <w:kern w:val="2"/>
      <w:sz w:val="28"/>
      <w:szCs w:val="22"/>
      <w:lang w:val="en-US" w:eastAsia="zh-CN" w:bidi="ar-SA"/>
    </w:rPr>
  </w:style>
  <w:style w:type="paragraph" w:styleId="2">
    <w:name w:val="heading 1"/>
    <w:basedOn w:val="1"/>
    <w:next w:val="1"/>
    <w:qFormat/>
    <w:uiPriority w:val="0"/>
    <w:pPr>
      <w:keepNext/>
      <w:keepLines/>
      <w:spacing w:before="120" w:after="120"/>
      <w:outlineLvl w:val="0"/>
    </w:pPr>
    <w:rPr>
      <w:b/>
      <w:bCs/>
      <w:kern w:val="44"/>
      <w:sz w:val="44"/>
      <w:szCs w:val="44"/>
    </w:rPr>
  </w:style>
  <w:style w:type="paragraph" w:styleId="3">
    <w:name w:val="heading 2"/>
    <w:basedOn w:val="1"/>
    <w:next w:val="1"/>
    <w:unhideWhenUsed/>
    <w:qFormat/>
    <w:uiPriority w:val="9"/>
    <w:pPr>
      <w:keepNext/>
      <w:keepLines/>
      <w:spacing w:before="120" w:after="120"/>
      <w:outlineLvl w:val="1"/>
    </w:pPr>
    <w:rPr>
      <w:rFonts w:ascii="Cambria" w:hAnsi="Cambria"/>
      <w:b/>
      <w:bCs/>
      <w:sz w:val="32"/>
      <w:szCs w:val="32"/>
    </w:rPr>
  </w:style>
  <w:style w:type="paragraph" w:styleId="4">
    <w:name w:val="heading 3"/>
    <w:basedOn w:val="1"/>
    <w:next w:val="1"/>
    <w:unhideWhenUsed/>
    <w:qFormat/>
    <w:uiPriority w:val="9"/>
    <w:pPr>
      <w:keepNext/>
      <w:keepLines/>
      <w:spacing w:before="120" w:after="120"/>
      <w:outlineLvl w:val="2"/>
    </w:pPr>
    <w:rPr>
      <w:b/>
      <w:bCs/>
      <w:sz w:val="32"/>
      <w:szCs w:val="32"/>
    </w:rPr>
  </w:style>
  <w:style w:type="paragraph" w:styleId="5">
    <w:name w:val="heading 4"/>
    <w:basedOn w:val="1"/>
    <w:next w:val="1"/>
    <w:unhideWhenUsed/>
    <w:qFormat/>
    <w:uiPriority w:val="0"/>
    <w:pPr>
      <w:keepNext/>
      <w:keepLines/>
      <w:spacing w:before="120" w:after="120"/>
      <w:outlineLvl w:val="3"/>
    </w:pPr>
    <w:rPr>
      <w:rFonts w:ascii="Cambria" w:hAnsi="Cambria"/>
      <w:b/>
      <w:bCs/>
      <w:szCs w:val="28"/>
    </w:rPr>
  </w:style>
  <w:style w:type="paragraph" w:styleId="6">
    <w:name w:val="heading 5"/>
    <w:basedOn w:val="1"/>
    <w:next w:val="1"/>
    <w:qFormat/>
    <w:uiPriority w:val="1"/>
    <w:pPr>
      <w:ind w:left="0"/>
      <w:outlineLvl w:val="4"/>
    </w:pPr>
    <w:rPr>
      <w:rFonts w:ascii="Times New Roman" w:hAnsi="Times New Roman"/>
      <w:b/>
      <w:bCs/>
      <w:szCs w:val="30"/>
    </w:rPr>
  </w:style>
  <w:style w:type="character" w:default="1" w:styleId="25">
    <w:name w:val="Default Paragraph Font"/>
    <w:autoRedefine/>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7">
    <w:name w:val="Normal Indent"/>
    <w:basedOn w:val="1"/>
    <w:next w:val="1"/>
    <w:qFormat/>
    <w:uiPriority w:val="0"/>
    <w:pPr>
      <w:spacing w:line="240" w:lineRule="auto"/>
      <w:ind w:firstLine="420"/>
    </w:pPr>
    <w:rPr>
      <w:sz w:val="21"/>
    </w:rPr>
  </w:style>
  <w:style w:type="paragraph" w:styleId="8">
    <w:name w:val="caption"/>
    <w:basedOn w:val="1"/>
    <w:next w:val="1"/>
    <w:autoRedefine/>
    <w:qFormat/>
    <w:uiPriority w:val="0"/>
    <w:rPr>
      <w:rFonts w:ascii="Arial" w:hAnsi="Arial" w:eastAsia="黑体" w:cs="Arial"/>
      <w:sz w:val="20"/>
      <w:szCs w:val="20"/>
    </w:rPr>
  </w:style>
  <w:style w:type="paragraph" w:styleId="9">
    <w:name w:val="index 5"/>
    <w:basedOn w:val="1"/>
    <w:next w:val="1"/>
    <w:autoRedefine/>
    <w:qFormat/>
    <w:uiPriority w:val="0"/>
    <w:pPr>
      <w:ind w:left="1680"/>
    </w:pPr>
  </w:style>
  <w:style w:type="paragraph" w:styleId="10">
    <w:name w:val="Body Text"/>
    <w:basedOn w:val="1"/>
    <w:next w:val="1"/>
    <w:autoRedefine/>
    <w:qFormat/>
    <w:uiPriority w:val="99"/>
    <w:pPr>
      <w:spacing w:line="280" w:lineRule="exact"/>
    </w:pPr>
    <w:rPr>
      <w:rFonts w:ascii="宋体" w:hAnsi="宋体" w:eastAsia="宋体"/>
      <w:kern w:val="0"/>
      <w:sz w:val="18"/>
      <w:szCs w:val="18"/>
    </w:rPr>
  </w:style>
  <w:style w:type="paragraph" w:styleId="11">
    <w:name w:val="Body Text Indent"/>
    <w:basedOn w:val="1"/>
    <w:next w:val="12"/>
    <w:autoRedefine/>
    <w:qFormat/>
    <w:uiPriority w:val="99"/>
    <w:pPr>
      <w:spacing w:line="348" w:lineRule="auto"/>
      <w:ind w:firstLine="555"/>
    </w:pPr>
    <w:rPr>
      <w:sz w:val="28"/>
      <w:szCs w:val="20"/>
    </w:rPr>
  </w:style>
  <w:style w:type="paragraph" w:styleId="12">
    <w:name w:val="Body Text First Indent 2"/>
    <w:basedOn w:val="11"/>
    <w:next w:val="1"/>
    <w:autoRedefine/>
    <w:qFormat/>
    <w:uiPriority w:val="0"/>
    <w:pPr>
      <w:ind w:firstLine="420" w:firstLineChars="200"/>
    </w:pPr>
    <w:rPr>
      <w:kern w:val="2"/>
      <w:sz w:val="21"/>
      <w:szCs w:val="24"/>
    </w:rPr>
  </w:style>
  <w:style w:type="paragraph" w:styleId="13">
    <w:name w:val="Plain Text"/>
    <w:basedOn w:val="1"/>
    <w:autoRedefine/>
    <w:qFormat/>
    <w:uiPriority w:val="0"/>
    <w:rPr>
      <w:rFonts w:ascii="宋体" w:hAnsi="Courier New" w:cs="Courier New"/>
      <w:szCs w:val="21"/>
    </w:rPr>
  </w:style>
  <w:style w:type="paragraph" w:styleId="14">
    <w:name w:val="footer"/>
    <w:basedOn w:val="1"/>
    <w:unhideWhenUsed/>
    <w:qFormat/>
    <w:uiPriority w:val="99"/>
    <w:pPr>
      <w:tabs>
        <w:tab w:val="center" w:pos="4153"/>
        <w:tab w:val="right" w:pos="8306"/>
      </w:tabs>
      <w:snapToGrid w:val="0"/>
    </w:pPr>
    <w:rPr>
      <w:sz w:val="18"/>
      <w:szCs w:val="18"/>
    </w:rPr>
  </w:style>
  <w:style w:type="paragraph" w:styleId="15">
    <w:name w:val="header"/>
    <w:basedOn w:val="1"/>
    <w:next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Body Text Indent 3"/>
    <w:basedOn w:val="1"/>
    <w:qFormat/>
    <w:uiPriority w:val="0"/>
    <w:pPr>
      <w:adjustRightInd w:val="0"/>
      <w:spacing w:line="360" w:lineRule="atLeast"/>
      <w:ind w:firstLine="510"/>
      <w:textAlignment w:val="baseline"/>
    </w:pPr>
    <w:rPr>
      <w:rFonts w:ascii="宋体"/>
      <w:sz w:val="28"/>
    </w:rPr>
  </w:style>
  <w:style w:type="paragraph" w:styleId="18">
    <w:name w:val="toc 2"/>
    <w:basedOn w:val="1"/>
    <w:next w:val="1"/>
    <w:autoRedefine/>
    <w:unhideWhenUsed/>
    <w:qFormat/>
    <w:uiPriority w:val="39"/>
    <w:pPr>
      <w:tabs>
        <w:tab w:val="right" w:leader="dot" w:pos="8296"/>
      </w:tabs>
      <w:ind w:left="560" w:leftChars="200"/>
    </w:pPr>
    <w:rPr>
      <w:rFonts w:ascii="Times New Roman" w:hAnsi="Times New Roman"/>
    </w:r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Title"/>
    <w:basedOn w:val="1"/>
    <w:next w:val="1"/>
    <w:qFormat/>
    <w:uiPriority w:val="10"/>
    <w:pPr>
      <w:spacing w:before="120" w:after="120"/>
      <w:outlineLvl w:val="2"/>
    </w:pPr>
    <w:rPr>
      <w:rFonts w:ascii="Cambria" w:hAnsi="Cambria"/>
      <w:b/>
      <w:bCs/>
      <w:szCs w:val="32"/>
    </w:rPr>
  </w:style>
  <w:style w:type="paragraph" w:styleId="21">
    <w:name w:val="Body Text First Indent"/>
    <w:basedOn w:val="10"/>
    <w:next w:val="1"/>
    <w:qFormat/>
    <w:uiPriority w:val="99"/>
    <w:pPr>
      <w:spacing w:after="120"/>
      <w:ind w:firstLine="420" w:firstLineChars="100"/>
      <w:jc w:val="center"/>
    </w:pPr>
    <w:rPr>
      <w:sz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Grid 1"/>
    <w:basedOn w:val="22"/>
    <w:qFormat/>
    <w:uiPriority w:val="99"/>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6">
    <w:name w:val="Strong"/>
    <w:basedOn w:val="25"/>
    <w:qFormat/>
    <w:uiPriority w:val="0"/>
    <w:rPr>
      <w:b/>
    </w:rPr>
  </w:style>
  <w:style w:type="character" w:styleId="27">
    <w:name w:val="Hyperlink"/>
    <w:basedOn w:val="25"/>
    <w:unhideWhenUsed/>
    <w:qFormat/>
    <w:uiPriority w:val="99"/>
    <w:rPr>
      <w:color w:val="0000FF"/>
      <w:u w:val="single"/>
    </w:rPr>
  </w:style>
  <w:style w:type="paragraph" w:customStyle="1" w:styleId="28">
    <w:name w:val="Default"/>
    <w:basedOn w:val="29"/>
    <w:next w:val="1"/>
    <w:autoRedefine/>
    <w:semiHidden/>
    <w:qFormat/>
    <w:uiPriority w:val="0"/>
    <w:pPr>
      <w:widowControl w:val="0"/>
      <w:autoSpaceDE w:val="0"/>
      <w:autoSpaceDN w:val="0"/>
      <w:adjustRightInd w:val="0"/>
    </w:pPr>
    <w:rPr>
      <w:rFonts w:ascii="Sim Sun+ 2" w:eastAsia="Sim Sun+ 2" w:cs="Sim Sun+ 2"/>
      <w:color w:val="000000"/>
      <w:sz w:val="24"/>
      <w:szCs w:val="24"/>
      <w:lang w:val="en-US" w:eastAsia="zh-CN" w:bidi="ar-SA"/>
    </w:rPr>
  </w:style>
  <w:style w:type="paragraph" w:customStyle="1" w:styleId="29">
    <w:name w:val="！正文 Alt+0"/>
    <w:basedOn w:val="1"/>
    <w:autoRedefine/>
    <w:qFormat/>
    <w:uiPriority w:val="0"/>
    <w:pPr>
      <w:ind w:firstLine="200"/>
    </w:pPr>
    <w:rPr>
      <w:sz w:val="28"/>
      <w:szCs w:val="28"/>
    </w:rPr>
  </w:style>
  <w:style w:type="paragraph" w:customStyle="1" w:styleId="30">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1">
    <w:name w:val="样式 表格 32 + 首行缩进:  2 字符"/>
    <w:basedOn w:val="1"/>
    <w:autoRedefine/>
    <w:qFormat/>
    <w:uiPriority w:val="0"/>
    <w:pPr>
      <w:autoSpaceDE w:val="0"/>
      <w:autoSpaceDN w:val="0"/>
      <w:adjustRightInd w:val="0"/>
      <w:spacing w:line="0" w:lineRule="atLeast"/>
      <w:jc w:val="center"/>
    </w:pPr>
    <w:rPr>
      <w:rFonts w:ascii="方正宋三简体" w:hAnsi="方正宋三简体" w:eastAsia="宋体" w:cs="方正宋三简体"/>
      <w:kern w:val="0"/>
      <w:sz w:val="21"/>
      <w:szCs w:val="21"/>
    </w:rPr>
  </w:style>
  <w:style w:type="paragraph" w:styleId="32">
    <w:name w:val="No Spacing"/>
    <w:basedOn w:val="1"/>
    <w:next w:val="33"/>
    <w:autoRedefine/>
    <w:qFormat/>
    <w:uiPriority w:val="1"/>
    <w:pPr>
      <w:widowControl w:val="0"/>
      <w:autoSpaceDE w:val="0"/>
      <w:autoSpaceDN w:val="0"/>
      <w:adjustRightInd w:val="0"/>
      <w:ind w:firstLine="200" w:firstLineChars="200"/>
      <w:jc w:val="both"/>
    </w:pPr>
    <w:rPr>
      <w:rFonts w:ascii="Calibri" w:hAnsi="Calibri" w:eastAsia="宋体" w:cs="Times New Roman"/>
      <w:sz w:val="24"/>
      <w:szCs w:val="24"/>
      <w:lang w:val="en-US" w:eastAsia="zh-CN" w:bidi="ar-SA"/>
    </w:rPr>
  </w:style>
  <w:style w:type="paragraph" w:customStyle="1" w:styleId="33">
    <w:name w:val="！正文"/>
    <w:basedOn w:val="1"/>
    <w:qFormat/>
    <w:uiPriority w:val="0"/>
    <w:pPr>
      <w:spacing w:line="560" w:lineRule="exact"/>
    </w:pPr>
    <w:rPr>
      <w:rFonts w:eastAsia="宋体" w:cs="宋体"/>
      <w:szCs w:val="20"/>
    </w:rPr>
  </w:style>
  <w:style w:type="paragraph" w:customStyle="1" w:styleId="34">
    <w:name w:val="1正文"/>
    <w:autoRedefine/>
    <w:qFormat/>
    <w:uiPriority w:val="0"/>
    <w:pPr>
      <w:snapToGrid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35">
    <w:name w:val="表格文字卢仁杰"/>
    <w:basedOn w:val="1"/>
    <w:autoRedefine/>
    <w:qFormat/>
    <w:uiPriority w:val="0"/>
    <w:pPr>
      <w:adjustRightInd w:val="0"/>
      <w:snapToGrid w:val="0"/>
      <w:spacing w:line="240" w:lineRule="auto"/>
      <w:jc w:val="center"/>
    </w:pPr>
    <w:rPr>
      <w:rFonts w:eastAsia="宋体"/>
      <w:sz w:val="21"/>
      <w:szCs w:val="21"/>
    </w:rPr>
  </w:style>
  <w:style w:type="character" w:customStyle="1" w:styleId="36">
    <w:name w:val="fontstyle01"/>
    <w:basedOn w:val="25"/>
    <w:qFormat/>
    <w:uiPriority w:val="0"/>
    <w:rPr>
      <w:rFonts w:ascii="宋体" w:hAnsi="宋体" w:eastAsia="宋体" w:cs="宋体"/>
      <w:color w:val="000000"/>
      <w:sz w:val="24"/>
      <w:szCs w:val="24"/>
    </w:rPr>
  </w:style>
  <w:style w:type="character" w:customStyle="1" w:styleId="37">
    <w:name w:val="fontstyle11"/>
    <w:basedOn w:val="25"/>
    <w:autoRedefine/>
    <w:qFormat/>
    <w:uiPriority w:val="0"/>
    <w:rPr>
      <w:rFonts w:ascii="TimesNewRomanPSMT" w:hAnsi="TimesNewRomanPSMT" w:eastAsia="TimesNewRomanPSMT" w:cs="TimesNewRomanPSMT"/>
      <w:color w:val="000000"/>
      <w:sz w:val="24"/>
      <w:szCs w:val="24"/>
    </w:rPr>
  </w:style>
  <w:style w:type="paragraph" w:styleId="38">
    <w:name w:val="List Paragraph"/>
    <w:basedOn w:val="1"/>
    <w:autoRedefine/>
    <w:qFormat/>
    <w:uiPriority w:val="99"/>
    <w:pPr>
      <w:ind w:firstLine="420" w:firstLineChars="200"/>
    </w:pPr>
  </w:style>
  <w:style w:type="paragraph" w:customStyle="1" w:styleId="39">
    <w:name w:val="表头自己"/>
    <w:basedOn w:val="40"/>
    <w:autoRedefine/>
    <w:qFormat/>
    <w:uiPriority w:val="0"/>
    <w:pPr>
      <w:keepNext/>
      <w:spacing w:line="240" w:lineRule="auto"/>
      <w:ind w:firstLine="482" w:firstLineChars="0"/>
    </w:pPr>
    <w:rPr>
      <w:rFonts w:ascii="宋体" w:hAnsi="宋体" w:eastAsia="Times New Roman" w:cs="宋体"/>
      <w:b/>
      <w:kern w:val="2"/>
      <w:sz w:val="21"/>
      <w:szCs w:val="24"/>
    </w:rPr>
  </w:style>
  <w:style w:type="paragraph" w:customStyle="1" w:styleId="40">
    <w:name w:val="表格头"/>
    <w:basedOn w:val="1"/>
    <w:autoRedefine/>
    <w:qFormat/>
    <w:uiPriority w:val="0"/>
    <w:pPr>
      <w:ind w:firstLine="480" w:firstLineChars="200"/>
      <w:jc w:val="center"/>
    </w:pPr>
    <w:rPr>
      <w:rFonts w:ascii="黑体" w:hAnsi="Arial" w:eastAsia="黑体" w:cs="Times New Roman"/>
      <w:kern w:val="0"/>
      <w:szCs w:val="20"/>
    </w:rPr>
  </w:style>
  <w:style w:type="paragraph" w:customStyle="1" w:styleId="41">
    <w:name w:val="样式 样式 标题 3Level 3 HeadH3Heading 3 - oldh3sect1.2.3Head33l3... + ..."/>
    <w:basedOn w:val="42"/>
    <w:autoRedefine/>
    <w:qFormat/>
    <w:uiPriority w:val="0"/>
    <w:pPr>
      <w:tabs>
        <w:tab w:val="left" w:pos="709"/>
        <w:tab w:val="left" w:pos="2142"/>
      </w:tabs>
      <w:spacing w:before="120" w:beforeLines="50" w:after="120" w:afterLines="50" w:line="360" w:lineRule="auto"/>
    </w:pPr>
    <w:rPr>
      <w:rFonts w:ascii="Times New Roman" w:cs="Times New Roman"/>
      <w:bCs w:val="0"/>
      <w:color w:val="auto"/>
      <w:szCs w:val="21"/>
    </w:rPr>
  </w:style>
  <w:style w:type="paragraph" w:customStyle="1" w:styleId="42">
    <w:name w:val="样式 标题 3Level 3 HeadH3Heading 3 - oldh3sect1.2.3Head33l3..."/>
    <w:basedOn w:val="4"/>
    <w:autoRedefine/>
    <w:qFormat/>
    <w:uiPriority w:val="0"/>
    <w:pPr>
      <w:tabs>
        <w:tab w:val="left" w:pos="709"/>
      </w:tabs>
      <w:spacing w:before="156" w:after="156" w:line="500" w:lineRule="exact"/>
    </w:pPr>
    <w:rPr>
      <w:rFonts w:ascii="宋体" w:hAnsi="宋体" w:cs="宋体"/>
      <w:color w:val="000000"/>
      <w:szCs w:val="20"/>
    </w:rPr>
  </w:style>
  <w:style w:type="paragraph" w:customStyle="1" w:styleId="43">
    <w:name w:val="lh-表格文字-报告书"/>
    <w:autoRedefine/>
    <w:qFormat/>
    <w:uiPriority w:val="0"/>
    <w:pPr>
      <w:jc w:val="center"/>
    </w:pPr>
    <w:rPr>
      <w:rFonts w:ascii="Times New Roman" w:hAnsi="Times New Roman" w:eastAsia="宋体" w:cstheme="minorBidi"/>
      <w:snapToGrid w:val="0"/>
      <w:sz w:val="21"/>
      <w:szCs w:val="24"/>
      <w:lang w:val="en-US" w:eastAsia="zh-CN" w:bidi="ar-SA"/>
    </w:rPr>
  </w:style>
  <w:style w:type="character" w:customStyle="1" w:styleId="44">
    <w:name w:val="fontstyle21"/>
    <w:basedOn w:val="25"/>
    <w:autoRedefine/>
    <w:qFormat/>
    <w:uiPriority w:val="0"/>
    <w:rPr>
      <w:rFonts w:ascii="TimesNewRomanPSMT" w:hAnsi="TimesNewRomanPSMT" w:eastAsia="TimesNewRomanPSMT" w:cs="TimesNewRomanPSMT"/>
      <w:color w:val="000000"/>
      <w:sz w:val="28"/>
      <w:szCs w:val="28"/>
    </w:rPr>
  </w:style>
  <w:style w:type="character" w:customStyle="1" w:styleId="45">
    <w:name w:val="font51"/>
    <w:basedOn w:val="25"/>
    <w:autoRedefine/>
    <w:qFormat/>
    <w:uiPriority w:val="0"/>
    <w:rPr>
      <w:rFonts w:hint="eastAsia" w:ascii="宋体" w:hAnsi="宋体" w:eastAsia="宋体" w:cs="宋体"/>
      <w:color w:val="000000"/>
      <w:sz w:val="18"/>
      <w:szCs w:val="18"/>
      <w:u w:val="none"/>
    </w:rPr>
  </w:style>
  <w:style w:type="character" w:customStyle="1" w:styleId="46">
    <w:name w:val="font01"/>
    <w:basedOn w:val="25"/>
    <w:autoRedefine/>
    <w:qFormat/>
    <w:uiPriority w:val="0"/>
    <w:rPr>
      <w:rFonts w:hint="default" w:ascii="Times New Roman" w:hAnsi="Times New Roman" w:cs="Times New Roman"/>
      <w:color w:val="000000"/>
      <w:sz w:val="18"/>
      <w:szCs w:val="18"/>
      <w:u w:val="none"/>
      <w:vertAlign w:val="superscript"/>
    </w:rPr>
  </w:style>
  <w:style w:type="character" w:customStyle="1" w:styleId="47">
    <w:name w:val="font61"/>
    <w:basedOn w:val="25"/>
    <w:qFormat/>
    <w:uiPriority w:val="0"/>
    <w:rPr>
      <w:rFonts w:hint="default" w:ascii="Times New Roman" w:hAnsi="Times New Roman" w:cs="Times New Roman"/>
      <w:color w:val="000000"/>
      <w:sz w:val="18"/>
      <w:szCs w:val="18"/>
      <w:u w:val="none"/>
      <w:vertAlign w:val="subscript"/>
    </w:rPr>
  </w:style>
  <w:style w:type="paragraph" w:customStyle="1" w:styleId="48">
    <w:name w:val="表头"/>
    <w:basedOn w:val="1"/>
    <w:autoRedefine/>
    <w:qFormat/>
    <w:uiPriority w:val="0"/>
    <w:pPr>
      <w:jc w:val="center"/>
    </w:pPr>
    <w:rPr>
      <w:rFonts w:ascii="Times New Roman" w:hAnsi="Times New Roman"/>
      <w:b/>
      <w:kern w:val="0"/>
      <w:szCs w:val="20"/>
    </w:rPr>
  </w:style>
  <w:style w:type="paragraph" w:customStyle="1" w:styleId="49">
    <w:name w:val="表格文字"/>
    <w:basedOn w:val="21"/>
    <w:qFormat/>
    <w:uiPriority w:val="0"/>
    <w:pPr>
      <w:jc w:val="center"/>
    </w:pPr>
    <w:rPr>
      <w:rFonts w:ascii="Times New Roman" w:hAnsi="Times New Roman" w:eastAsia="宋体"/>
      <w:kern w:val="0"/>
      <w:sz w:val="20"/>
      <w:szCs w:val="20"/>
    </w:rPr>
  </w:style>
  <w:style w:type="paragraph" w:customStyle="1" w:styleId="50">
    <w:name w:val="报告书 正文"/>
    <w:basedOn w:val="1"/>
    <w:autoRedefine/>
    <w:qFormat/>
    <w:uiPriority w:val="0"/>
    <w:pPr>
      <w:spacing w:line="500" w:lineRule="exact"/>
      <w:ind w:firstLine="200" w:firstLineChars="200"/>
    </w:pPr>
    <w:rPr>
      <w:rFonts w:eastAsia="仿宋_GB2312"/>
      <w:sz w:val="28"/>
      <w:szCs w:val="28"/>
    </w:rPr>
  </w:style>
  <w:style w:type="character" w:customStyle="1" w:styleId="51">
    <w:name w:val="15"/>
    <w:qFormat/>
    <w:uiPriority w:val="0"/>
    <w:rPr>
      <w:rFonts w:hint="default" w:ascii="Times New Roman" w:hAnsi="Times New Roman" w:eastAsia="仿宋_GB2312" w:cs="Times New Roman"/>
      <w:b/>
      <w:kern w:val="2"/>
      <w:sz w:val="24"/>
      <w:szCs w:val="24"/>
    </w:rPr>
  </w:style>
  <w:style w:type="paragraph" w:customStyle="1" w:styleId="52">
    <w:name w:val="巍山怀鲁污水处理厂"/>
    <w:basedOn w:val="1"/>
    <w:qFormat/>
    <w:uiPriority w:val="0"/>
    <w:pPr>
      <w:spacing w:before="60" w:line="460" w:lineRule="exact"/>
      <w:ind w:firstLine="480" w:firstLineChars="200"/>
    </w:pPr>
  </w:style>
  <w:style w:type="paragraph" w:customStyle="1" w:styleId="53">
    <w:name w:val="样式 标题 3 + (中文) 仿宋_GB2312 四号 非加粗"/>
    <w:basedOn w:val="4"/>
    <w:qFormat/>
    <w:uiPriority w:val="0"/>
    <w:pPr>
      <w:keepLines w:val="0"/>
      <w:widowControl/>
      <w:spacing w:before="0" w:after="0" w:line="360" w:lineRule="auto"/>
    </w:pPr>
    <w:rPr>
      <w:rFonts w:ascii="Times New Roman" w:hAnsi="Times New Roman"/>
      <w:bCs w:val="0"/>
      <w:kern w:val="0"/>
      <w:sz w:val="28"/>
      <w:szCs w:val="26"/>
      <w:lang w:bidi="en-US"/>
    </w:rPr>
  </w:style>
  <w:style w:type="paragraph" w:customStyle="1" w:styleId="54">
    <w:name w:val="表格03"/>
    <w:basedOn w:val="1"/>
    <w:qFormat/>
    <w:uiPriority w:val="0"/>
    <w:pPr>
      <w:spacing w:line="400" w:lineRule="exact"/>
      <w:jc w:val="center"/>
    </w:pPr>
    <w:rPr>
      <w:rFonts w:ascii="Times New Roman" w:hAnsi="Times New Roman" w:eastAsia="宋体"/>
      <w:sz w:val="21"/>
      <w:szCs w:val="20"/>
    </w:rPr>
  </w:style>
  <w:style w:type="table" w:customStyle="1" w:styleId="55">
    <w:name w:val="网格型10"/>
    <w:basedOn w:val="22"/>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6">
    <w:name w:val="表格"/>
    <w:basedOn w:val="1"/>
    <w:next w:val="1"/>
    <w:autoRedefine/>
    <w:qFormat/>
    <w:uiPriority w:val="0"/>
    <w:pPr>
      <w:spacing w:line="240" w:lineRule="auto"/>
      <w:jc w:val="center"/>
    </w:pPr>
    <w:rPr>
      <w:rFonts w:ascii="宋体" w:hAnsi="宋体" w:eastAsia="宋体"/>
      <w:sz w:val="24"/>
      <w:szCs w:val="24"/>
    </w:rPr>
  </w:style>
  <w:style w:type="paragraph" w:customStyle="1" w:styleId="57">
    <w:name w:val="正文首行缩进 2 + Times New Roman"/>
    <w:basedOn w:val="1"/>
    <w:qFormat/>
    <w:uiPriority w:val="0"/>
    <w:pPr>
      <w:tabs>
        <w:tab w:val="left" w:pos="0"/>
        <w:tab w:val="left" w:pos="3150"/>
        <w:tab w:val="left" w:pos="3780"/>
      </w:tabs>
      <w:autoSpaceDE w:val="0"/>
      <w:autoSpaceDN w:val="0"/>
      <w:spacing w:line="360" w:lineRule="auto"/>
      <w:ind w:firstLine="480"/>
    </w:pPr>
    <w:rPr>
      <w:kern w:val="0"/>
      <w:sz w:val="24"/>
      <w:szCs w:val="32"/>
    </w:rPr>
  </w:style>
  <w:style w:type="paragraph" w:customStyle="1" w:styleId="58">
    <w:name w:val="表格表头"/>
    <w:basedOn w:val="59"/>
    <w:autoRedefine/>
    <w:qFormat/>
    <w:uiPriority w:val="0"/>
    <w:pPr>
      <w:tabs>
        <w:tab w:val="left" w:pos="902"/>
      </w:tabs>
    </w:pPr>
    <w:rPr>
      <w:b/>
    </w:rPr>
  </w:style>
  <w:style w:type="paragraph" w:customStyle="1" w:styleId="59">
    <w:name w:val="表格内容"/>
    <w:basedOn w:val="60"/>
    <w:autoRedefine/>
    <w:semiHidden/>
    <w:qFormat/>
    <w:uiPriority w:val="0"/>
    <w:pPr>
      <w:tabs>
        <w:tab w:val="left" w:pos="902"/>
      </w:tabs>
      <w:adjustRightInd w:val="0"/>
      <w:jc w:val="center"/>
    </w:pPr>
    <w:rPr>
      <w:kern w:val="0"/>
      <w:sz w:val="24"/>
    </w:rPr>
  </w:style>
  <w:style w:type="paragraph" w:customStyle="1" w:styleId="60">
    <w:name w:val="表格标题"/>
    <w:basedOn w:val="8"/>
    <w:next w:val="1"/>
    <w:autoRedefine/>
    <w:semiHidden/>
    <w:qFormat/>
    <w:uiPriority w:val="0"/>
    <w:pPr>
      <w:tabs>
        <w:tab w:val="left" w:pos="902"/>
      </w:tabs>
      <w:adjustRightInd w:val="0"/>
      <w:snapToGrid w:val="0"/>
      <w:spacing w:line="360" w:lineRule="auto"/>
      <w:ind w:left="902" w:hanging="420"/>
      <w:jc w:val="center"/>
      <w:textAlignment w:val="baseline"/>
    </w:pPr>
    <w:rPr>
      <w:rFonts w:ascii="Times New Roman" w:hAnsi="Times New Roman" w:eastAsia="宋体" w:cs="Times New Roman"/>
      <w:sz w:val="24"/>
      <w:szCs w:val="24"/>
    </w:rPr>
  </w:style>
  <w:style w:type="paragraph" w:customStyle="1" w:styleId="61">
    <w:name w:val="文"/>
    <w:basedOn w:val="1"/>
    <w:autoRedefine/>
    <w:qFormat/>
    <w:uiPriority w:val="0"/>
    <w:pPr>
      <w:spacing w:line="500" w:lineRule="exact"/>
      <w:ind w:firstLine="560" w:firstLineChars="200"/>
    </w:pPr>
    <w:rPr>
      <w:sz w:val="28"/>
    </w:rPr>
  </w:style>
  <w:style w:type="paragraph" w:customStyle="1" w:styleId="62">
    <w:name w:val="正文1"/>
    <w:basedOn w:val="1"/>
    <w:qFormat/>
    <w:uiPriority w:val="0"/>
    <w:pPr>
      <w:spacing w:line="0" w:lineRule="atLeast"/>
      <w:jc w:val="both"/>
    </w:pPr>
    <w:rPr>
      <w:rFonts w:ascii="Times New Roman" w:hAnsi="Times New Roman" w:eastAsia="宋体" w:cs="Courier New"/>
      <w:sz w:val="24"/>
      <w:szCs w:val="21"/>
    </w:rPr>
  </w:style>
  <w:style w:type="paragraph" w:customStyle="1" w:styleId="63">
    <w:name w:val="11表格标题"/>
    <w:next w:val="64"/>
    <w:autoRedefine/>
    <w:qFormat/>
    <w:uiPriority w:val="0"/>
    <w:pPr>
      <w:snapToGrid w:val="0"/>
      <w:spacing w:line="520" w:lineRule="exact"/>
      <w:jc w:val="center"/>
    </w:pPr>
    <w:rPr>
      <w:rFonts w:ascii="Times New Roman" w:hAnsi="Times New Roman" w:eastAsia="宋体" w:cs="Times New Roman"/>
      <w:b/>
      <w:kern w:val="2"/>
      <w:sz w:val="21"/>
      <w:szCs w:val="24"/>
      <w:lang w:val="en-US" w:eastAsia="zh-CN" w:bidi="ar-SA"/>
    </w:rPr>
  </w:style>
  <w:style w:type="paragraph" w:customStyle="1" w:styleId="64">
    <w:name w:val="11表格"/>
    <w:basedOn w:val="1"/>
    <w:autoRedefine/>
    <w:qFormat/>
    <w:uiPriority w:val="0"/>
    <w:pPr>
      <w:adjustRightInd w:val="0"/>
      <w:snapToGrid w:val="0"/>
      <w:spacing w:line="440" w:lineRule="exact"/>
      <w:jc w:val="center"/>
      <w:textAlignment w:val="baseline"/>
    </w:pPr>
    <w:rPr>
      <w:rFonts w:eastAsia="宋体" w:cs="Times New Roman"/>
      <w:snapToGrid w:val="0"/>
      <w:kern w:val="24"/>
      <w:sz w:val="21"/>
      <w:szCs w:val="20"/>
    </w:rPr>
  </w:style>
  <w:style w:type="paragraph" w:customStyle="1" w:styleId="65">
    <w:name w:val="Table Paragraph"/>
    <w:basedOn w:val="1"/>
    <w:autoRedefine/>
    <w:qFormat/>
    <w:uiPriority w:val="1"/>
    <w:pPr>
      <w:autoSpaceDE w:val="0"/>
      <w:autoSpaceDN w:val="0"/>
      <w:adjustRightInd w:val="0"/>
      <w:spacing w:line="240" w:lineRule="auto"/>
    </w:pPr>
    <w:rPr>
      <w:rFonts w:ascii="Times New Roman" w:hAnsi="Times New Roman" w:eastAsia="宋体"/>
      <w:kern w:val="0"/>
      <w:sz w:val="24"/>
      <w:szCs w:val="24"/>
    </w:rPr>
  </w:style>
  <w:style w:type="paragraph" w:customStyle="1" w:styleId="66">
    <w:name w:val="表格正文"/>
    <w:basedOn w:val="1"/>
    <w:qFormat/>
    <w:uiPriority w:val="0"/>
    <w:pPr>
      <w:adjustRightInd w:val="0"/>
      <w:snapToGrid w:val="0"/>
      <w:spacing w:line="240" w:lineRule="auto"/>
      <w:jc w:val="center"/>
    </w:pPr>
    <w:rPr>
      <w:rFonts w:ascii="Times New Roman" w:hAnsi="Times New Roman" w:eastAsia="宋体"/>
      <w:sz w:val="21"/>
      <w:szCs w:val="24"/>
    </w:rPr>
  </w:style>
  <w:style w:type="paragraph" w:customStyle="1" w:styleId="67">
    <w:name w:val="L表格内容"/>
    <w:basedOn w:val="1"/>
    <w:autoRedefine/>
    <w:qFormat/>
    <w:uiPriority w:val="0"/>
    <w:pPr>
      <w:spacing w:line="240" w:lineRule="auto"/>
      <w:ind w:firstLine="0" w:firstLineChars="0"/>
      <w:jc w:val="center"/>
    </w:pPr>
    <w:rPr>
      <w:rFonts w:ascii="Times New Roman" w:hAnsi="Times New Roman" w:eastAsia="宋体"/>
      <w:sz w:val="21"/>
      <w:szCs w:val="21"/>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0" Type="http://schemas.openxmlformats.org/officeDocument/2006/relationships/fontTable" Target="fontTable.xml"/><Relationship Id="rId8" Type="http://schemas.openxmlformats.org/officeDocument/2006/relationships/footer" Target="footer1.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44.jpeg"/><Relationship Id="rId76" Type="http://schemas.openxmlformats.org/officeDocument/2006/relationships/image" Target="media/image43.jpeg"/><Relationship Id="rId75" Type="http://schemas.openxmlformats.org/officeDocument/2006/relationships/image" Target="media/image42.jpeg"/><Relationship Id="rId74" Type="http://schemas.openxmlformats.org/officeDocument/2006/relationships/image" Target="media/image41.jpeg"/><Relationship Id="rId73" Type="http://schemas.openxmlformats.org/officeDocument/2006/relationships/image" Target="media/image40.jpeg"/><Relationship Id="rId72" Type="http://schemas.openxmlformats.org/officeDocument/2006/relationships/image" Target="media/image39.jpeg"/><Relationship Id="rId71" Type="http://schemas.openxmlformats.org/officeDocument/2006/relationships/image" Target="media/image38.jpeg"/><Relationship Id="rId70" Type="http://schemas.openxmlformats.org/officeDocument/2006/relationships/image" Target="media/image37.jpeg"/><Relationship Id="rId7" Type="http://schemas.openxmlformats.org/officeDocument/2006/relationships/header" Target="header3.xml"/><Relationship Id="rId69" Type="http://schemas.openxmlformats.org/officeDocument/2006/relationships/image" Target="media/image36.jpeg"/><Relationship Id="rId68" Type="http://schemas.openxmlformats.org/officeDocument/2006/relationships/image" Target="media/image35.png"/><Relationship Id="rId67" Type="http://schemas.openxmlformats.org/officeDocument/2006/relationships/oleObject" Target="embeddings/oleObject20.bin"/><Relationship Id="rId66" Type="http://schemas.openxmlformats.org/officeDocument/2006/relationships/image" Target="media/image34.emf"/><Relationship Id="rId65" Type="http://schemas.openxmlformats.org/officeDocument/2006/relationships/oleObject" Target="embeddings/oleObject19.bin"/><Relationship Id="rId64" Type="http://schemas.openxmlformats.org/officeDocument/2006/relationships/image" Target="media/image33.emf"/><Relationship Id="rId63" Type="http://schemas.openxmlformats.org/officeDocument/2006/relationships/oleObject" Target="embeddings/oleObject18.bin"/><Relationship Id="rId62" Type="http://schemas.openxmlformats.org/officeDocument/2006/relationships/image" Target="media/image32.wmf"/><Relationship Id="rId61" Type="http://schemas.openxmlformats.org/officeDocument/2006/relationships/image" Target="media/image31.png"/><Relationship Id="rId60" Type="http://schemas.openxmlformats.org/officeDocument/2006/relationships/image" Target="media/image30.png"/><Relationship Id="rId6" Type="http://schemas.openxmlformats.org/officeDocument/2006/relationships/header" Target="header2.xml"/><Relationship Id="rId59" Type="http://schemas.openxmlformats.org/officeDocument/2006/relationships/image" Target="media/image29.wmf"/><Relationship Id="rId58" Type="http://schemas.openxmlformats.org/officeDocument/2006/relationships/oleObject" Target="embeddings/oleObject17.bin"/><Relationship Id="rId57" Type="http://schemas.openxmlformats.org/officeDocument/2006/relationships/image" Target="media/image28.wmf"/><Relationship Id="rId56" Type="http://schemas.openxmlformats.org/officeDocument/2006/relationships/oleObject" Target="embeddings/oleObject16.bin"/><Relationship Id="rId55" Type="http://schemas.openxmlformats.org/officeDocument/2006/relationships/image" Target="media/image27.wmf"/><Relationship Id="rId54" Type="http://schemas.openxmlformats.org/officeDocument/2006/relationships/oleObject" Target="embeddings/oleObject15.bin"/><Relationship Id="rId53" Type="http://schemas.openxmlformats.org/officeDocument/2006/relationships/image" Target="media/image26.wmf"/><Relationship Id="rId52" Type="http://schemas.openxmlformats.org/officeDocument/2006/relationships/oleObject" Target="embeddings/oleObject14.bin"/><Relationship Id="rId51" Type="http://schemas.openxmlformats.org/officeDocument/2006/relationships/image" Target="media/image25.wmf"/><Relationship Id="rId50" Type="http://schemas.openxmlformats.org/officeDocument/2006/relationships/oleObject" Target="embeddings/oleObject13.bin"/><Relationship Id="rId5" Type="http://schemas.openxmlformats.org/officeDocument/2006/relationships/header" Target="header1.xml"/><Relationship Id="rId49" Type="http://schemas.openxmlformats.org/officeDocument/2006/relationships/image" Target="media/image24.png"/><Relationship Id="rId48" Type="http://schemas.openxmlformats.org/officeDocument/2006/relationships/image" Target="media/image23.wmf"/><Relationship Id="rId47" Type="http://schemas.openxmlformats.org/officeDocument/2006/relationships/oleObject" Target="embeddings/oleObject12.bin"/><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emf"/><Relationship Id="rId41" Type="http://schemas.openxmlformats.org/officeDocument/2006/relationships/oleObject" Target="embeddings/oleObject11.bin"/><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png"/><Relationship Id="rId36" Type="http://schemas.openxmlformats.org/officeDocument/2006/relationships/image" Target="media/image13.emf"/><Relationship Id="rId35" Type="http://schemas.openxmlformats.org/officeDocument/2006/relationships/oleObject" Target="embeddings/oleObject10.bin"/><Relationship Id="rId34" Type="http://schemas.openxmlformats.org/officeDocument/2006/relationships/image" Target="media/image12.emf"/><Relationship Id="rId33" Type="http://schemas.openxmlformats.org/officeDocument/2006/relationships/oleObject" Target="embeddings/oleObject9.bin"/><Relationship Id="rId32" Type="http://schemas.openxmlformats.org/officeDocument/2006/relationships/image" Target="media/image11.wmf"/><Relationship Id="rId31" Type="http://schemas.openxmlformats.org/officeDocument/2006/relationships/image" Target="media/image10.wmf"/><Relationship Id="rId30" Type="http://schemas.openxmlformats.org/officeDocument/2006/relationships/oleObject" Target="embeddings/oleObject8.bin"/><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emf"/><Relationship Id="rId27" Type="http://schemas.openxmlformats.org/officeDocument/2006/relationships/oleObject" Target="embeddings/oleObject7.bin"/><Relationship Id="rId26" Type="http://schemas.openxmlformats.org/officeDocument/2006/relationships/image" Target="media/image7.emf"/><Relationship Id="rId25" Type="http://schemas.openxmlformats.org/officeDocument/2006/relationships/oleObject" Target="embeddings/oleObject6.bin"/><Relationship Id="rId24" Type="http://schemas.openxmlformats.org/officeDocument/2006/relationships/image" Target="media/image6.emf"/><Relationship Id="rId23" Type="http://schemas.openxmlformats.org/officeDocument/2006/relationships/oleObject" Target="embeddings/oleObject5.bin"/><Relationship Id="rId22" Type="http://schemas.openxmlformats.org/officeDocument/2006/relationships/image" Target="media/image5.emf"/><Relationship Id="rId21" Type="http://schemas.openxmlformats.org/officeDocument/2006/relationships/oleObject" Target="embeddings/oleObject4.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3.emf"/><Relationship Id="rId17" Type="http://schemas.openxmlformats.org/officeDocument/2006/relationships/oleObject" Target="embeddings/oleObject2.bin"/><Relationship Id="rId16" Type="http://schemas.openxmlformats.org/officeDocument/2006/relationships/image" Target="media/image2.emf"/><Relationship Id="rId15" Type="http://schemas.openxmlformats.org/officeDocument/2006/relationships/oleObject" Target="embeddings/oleObject1.bin"/><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181</Pages>
  <Words>7636</Words>
  <Characters>8712</Characters>
  <Lines>0</Lines>
  <Paragraphs>0</Paragraphs>
  <TotalTime>28</TotalTime>
  <ScaleCrop>false</ScaleCrop>
  <LinksUpToDate>false</LinksUpToDate>
  <CharactersWithSpaces>8812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2022-04-18T06:33:00Z</dcterms:created>
  <dc:creator>Administrator</dc:creator>
  <cp:lastModifiedBy>邓婷</cp:lastModifiedBy>
  <cp:lastPrinted>2022-08-05T01:35:00Z</cp:lastPrinted>
  <dcterms:modified xsi:type="dcterms:W3CDTF">2025-07-11T06:19:19Z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0423A54B571448E0BB3EE48BA8E557BB</vt:lpwstr>
  </property>
  <property fmtid="{D5CDD505-2E9C-101B-9397-08002B2CF9AE}" pid="4" name="KSOTemplateDocerSaveRecord">
    <vt:lpwstr>eyJoZGlkIjoiZTY2MWM4MWY1Nzc3YTU2NWFiNzU3MWZmM2EwMGNkMjgiLCJ1c2VySWQiOiIxMDY5MjgzMDcxIn0=</vt:lpwstr>
  </property>
</Properties>
</file>