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403" w:line="221" w:lineRule="auto"/>
        <w:ind w:left="1976"/>
        <w:outlineLvl w:val="0"/>
        <w:rPr>
          <w:sz w:val="124"/>
          <w:szCs w:val="124"/>
        </w:rPr>
      </w:pPr>
      <w:bookmarkStart w:id="0" w:name="_GoBack"/>
      <w:r>
        <w:rPr>
          <w:b/>
          <w:bCs/>
          <w:spacing w:val="72"/>
          <w:sz w:val="124"/>
          <w:szCs w:val="124"/>
        </w:rPr>
        <w:t>行政复议工作流程图</w:t>
      </w:r>
    </w:p>
    <w:bookmarkEnd w:id="0"/>
    <w:p>
      <w:pPr>
        <w:spacing w:line="351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pStyle w:val="2"/>
        <w:spacing w:before="107" w:line="222" w:lineRule="auto"/>
        <w:ind w:left="3040"/>
      </w:pPr>
      <w:r>
        <w:pict>
          <v:shape id="_x0000_s1026" o:spid="_x0000_s1026" o:spt="202" type="#_x0000_t202" style="position:absolute;left:0pt;margin-left:457.45pt;margin-top:3.3pt;height:73.4pt;width:79.35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2" w:lineRule="auto"/>
                    <w:ind w:left="76"/>
                  </w:pPr>
                  <w:r>
                    <w:rPr>
                      <w:spacing w:val="22"/>
                    </w:rPr>
                    <w:t>书面申请</w:t>
                  </w:r>
                </w:p>
                <w:p>
                  <w:pPr>
                    <w:spacing w:line="24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4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2"/>
                    <w:spacing w:before="113" w:line="227" w:lineRule="auto"/>
                    <w:ind w:left="20"/>
                    <w:rPr>
                      <w:sz w:val="35"/>
                      <w:szCs w:val="35"/>
                    </w:rPr>
                  </w:pPr>
                  <w:r>
                    <w:rPr>
                      <w:spacing w:val="36"/>
                      <w:sz w:val="35"/>
                      <w:szCs w:val="35"/>
                    </w:rPr>
                    <w:t>网上申请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612.65pt;margin-top:4.1pt;height:139.8pt;width:113.9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311" w:lineRule="auto"/>
                    <w:ind w:left="20" w:right="20"/>
                    <w:jc w:val="both"/>
                    <w:rPr>
                      <w:sz w:val="35"/>
                      <w:szCs w:val="35"/>
                    </w:rPr>
                  </w:pPr>
                  <w:r>
                    <w:rPr>
                      <w:spacing w:val="16"/>
                      <w:sz w:val="35"/>
                      <w:szCs w:val="35"/>
                    </w:rPr>
                    <w:t>申请人认为具</w:t>
                  </w:r>
                  <w:r>
                    <w:rPr>
                      <w:sz w:val="35"/>
                      <w:szCs w:val="35"/>
                    </w:rPr>
                    <w:t xml:space="preserve"> </w:t>
                  </w:r>
                  <w:r>
                    <w:rPr>
                      <w:spacing w:val="21"/>
                      <w:sz w:val="35"/>
                      <w:szCs w:val="35"/>
                    </w:rPr>
                    <w:t>体行政行为所</w:t>
                  </w:r>
                  <w:r>
                    <w:rPr>
                      <w:spacing w:val="1"/>
                      <w:sz w:val="35"/>
                      <w:szCs w:val="35"/>
                    </w:rPr>
                    <w:t xml:space="preserve"> </w:t>
                  </w:r>
                  <w:r>
                    <w:rPr>
                      <w:spacing w:val="23"/>
                      <w:sz w:val="35"/>
                      <w:szCs w:val="35"/>
                    </w:rPr>
                    <w:t>依据的规定违</w:t>
                  </w:r>
                  <w:r>
                    <w:rPr>
                      <w:sz w:val="35"/>
                      <w:szCs w:val="35"/>
                    </w:rPr>
                    <w:t xml:space="preserve"> </w:t>
                  </w:r>
                  <w:r>
                    <w:rPr>
                      <w:spacing w:val="19"/>
                      <w:sz w:val="35"/>
                      <w:szCs w:val="35"/>
                    </w:rPr>
                    <w:t>法，可一并提</w:t>
                  </w:r>
                </w:p>
                <w:p>
                  <w:pPr>
                    <w:pStyle w:val="2"/>
                    <w:spacing w:line="222" w:lineRule="auto"/>
                    <w:ind w:left="20"/>
                  </w:pPr>
                  <w:r>
                    <w:rPr>
                      <w:spacing w:val="29"/>
                    </w:rPr>
                    <w:t>出审查申请。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-233680</wp:posOffset>
            </wp:positionV>
            <wp:extent cx="10307955" cy="1445450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08096" cy="14454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1"/>
        </w:rPr>
        <w:t>申请条件：</w:t>
      </w:r>
    </w:p>
    <w:p>
      <w:pPr>
        <w:pStyle w:val="2"/>
        <w:spacing w:before="203" w:line="221" w:lineRule="auto"/>
        <w:ind w:left="2949"/>
      </w:pPr>
      <w:r>
        <w:rPr>
          <w:spacing w:val="-6"/>
        </w:rPr>
        <w:t>1、</w:t>
      </w:r>
      <w:r>
        <w:rPr>
          <w:spacing w:val="-81"/>
        </w:rPr>
        <w:t xml:space="preserve"> </w:t>
      </w:r>
      <w:r>
        <w:rPr>
          <w:spacing w:val="-6"/>
        </w:rPr>
        <w:t>有明确的被申请人</w:t>
      </w:r>
    </w:p>
    <w:p>
      <w:pPr>
        <w:pStyle w:val="2"/>
        <w:spacing w:before="182" w:line="553" w:lineRule="exact"/>
        <w:ind w:left="2949"/>
      </w:pPr>
      <w:r>
        <w:pict>
          <v:shape id="_x0000_s1028" o:spid="_x0000_s1028" o:spt="202" type="#_x0000_t202" style="position:absolute;left:0pt;margin-left:17.8pt;margin-top:4.4pt;height:21.9pt;width:66.95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2" w:lineRule="auto"/>
                    <w:ind w:left="20"/>
                  </w:pPr>
                  <w:r>
                    <w:rPr>
                      <w:b/>
                      <w:bCs/>
                      <w:spacing w:val="-28"/>
                    </w:rPr>
                    <w:t>申</w:t>
                  </w:r>
                  <w:r>
                    <w:rPr>
                      <w:spacing w:val="8"/>
                    </w:rPr>
                    <w:t xml:space="preserve">    </w:t>
                  </w:r>
                  <w:r>
                    <w:rPr>
                      <w:b/>
                      <w:bCs/>
                      <w:spacing w:val="-20"/>
                    </w:rPr>
                    <w:t>请</w:t>
                  </w:r>
                </w:p>
              </w:txbxContent>
            </v:textbox>
          </v:shape>
        </w:pict>
      </w:r>
      <w:r>
        <w:rPr>
          <w:spacing w:val="-5"/>
          <w:position w:val="16"/>
        </w:rPr>
        <w:t>2、 有复议请求、事实根据</w:t>
      </w:r>
    </w:p>
    <w:p>
      <w:pPr>
        <w:pStyle w:val="2"/>
        <w:spacing w:before="1" w:line="182" w:lineRule="auto"/>
        <w:ind w:left="2949"/>
      </w:pPr>
      <w:r>
        <w:rPr>
          <w:spacing w:val="-6"/>
        </w:rPr>
        <w:t>3、 属于复议申请范围</w:t>
      </w:r>
    </w:p>
    <w:p>
      <w:pPr>
        <w:pStyle w:val="2"/>
        <w:spacing w:before="1" w:line="170" w:lineRule="auto"/>
        <w:ind w:left="9232"/>
      </w:pPr>
      <w:r>
        <w:rPr>
          <w:spacing w:val="21"/>
        </w:rPr>
        <w:t>口头申请</w:t>
      </w:r>
    </w:p>
    <w:p>
      <w:pPr>
        <w:pStyle w:val="2"/>
        <w:spacing w:before="1" w:line="218" w:lineRule="auto"/>
        <w:ind w:left="2949"/>
      </w:pPr>
      <w:r>
        <w:rPr>
          <w:spacing w:val="18"/>
        </w:rPr>
        <w:t>4、</w:t>
      </w:r>
      <w:r>
        <w:rPr>
          <w:spacing w:val="-22"/>
        </w:rPr>
        <w:t xml:space="preserve"> </w:t>
      </w:r>
      <w:r>
        <w:rPr>
          <w:spacing w:val="18"/>
        </w:rPr>
        <w:t>符合60日复议申请期限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108" w:line="567" w:lineRule="exact"/>
        <w:ind w:left="2949"/>
      </w:pPr>
      <w:r>
        <w:rPr>
          <w:spacing w:val="31"/>
          <w:position w:val="17"/>
        </w:rPr>
        <w:t>自收到复议申请之日起5日内审查</w:t>
      </w:r>
    </w:p>
    <w:p>
      <w:pPr>
        <w:pStyle w:val="2"/>
        <w:spacing w:before="2" w:line="212" w:lineRule="auto"/>
        <w:ind w:left="2949"/>
      </w:pPr>
      <w:r>
        <w:rPr>
          <w:spacing w:val="22"/>
        </w:rPr>
        <w:t>是否予以受理，对不符合《行政复</w:t>
      </w:r>
    </w:p>
    <w:p>
      <w:pPr>
        <w:pStyle w:val="2"/>
        <w:spacing w:before="202" w:line="213" w:lineRule="auto"/>
        <w:ind w:left="2949"/>
      </w:pPr>
      <w:r>
        <w:rPr>
          <w:spacing w:val="22"/>
        </w:rPr>
        <w:t>议法》规定的，决定不予受理，并</w:t>
      </w:r>
    </w:p>
    <w:p>
      <w:pPr>
        <w:pStyle w:val="2"/>
        <w:spacing w:before="219" w:line="222" w:lineRule="auto"/>
        <w:ind w:left="2949"/>
      </w:pPr>
      <w:r>
        <w:pict>
          <v:shape id="_x0000_s1029" o:spid="_x0000_s1029" o:spt="202" type="#_x0000_t202" style="position:absolute;left:0pt;margin-left:473.6pt;margin-top:-3.35pt;height:110.9pt;width:132.3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313" w:lineRule="auto"/>
                    <w:ind w:left="20" w:right="20" w:firstLine="42"/>
                    <w:jc w:val="both"/>
                  </w:pPr>
                  <w:r>
                    <w:rPr>
                      <w:spacing w:val="16"/>
                      <w:sz w:val="35"/>
                      <w:szCs w:val="35"/>
                    </w:rPr>
                    <w:t>除不予受理、转</w:t>
                  </w:r>
                  <w:r>
                    <w:rPr>
                      <w:sz w:val="35"/>
                      <w:szCs w:val="35"/>
                    </w:rPr>
                    <w:t xml:space="preserve"> </w:t>
                  </w:r>
                  <w:r>
                    <w:rPr>
                      <w:spacing w:val="18"/>
                      <w:sz w:val="35"/>
                      <w:szCs w:val="35"/>
                    </w:rPr>
                    <w:t>送外，自收到复</w:t>
                  </w:r>
                  <w:r>
                    <w:rPr>
                      <w:spacing w:val="1"/>
                      <w:sz w:val="35"/>
                      <w:szCs w:val="35"/>
                    </w:rPr>
                    <w:t xml:space="preserve"> </w:t>
                  </w:r>
                  <w:r>
                    <w:rPr>
                      <w:spacing w:val="37"/>
                    </w:rPr>
                    <w:t>议申请之日起即</w:t>
                  </w:r>
                </w:p>
                <w:p>
                  <w:pPr>
                    <w:pStyle w:val="2"/>
                    <w:spacing w:line="228" w:lineRule="auto"/>
                    <w:ind w:left="20"/>
                    <w:rPr>
                      <w:sz w:val="35"/>
                      <w:szCs w:val="35"/>
                    </w:rPr>
                  </w:pPr>
                  <w:r>
                    <w:rPr>
                      <w:spacing w:val="19"/>
                      <w:sz w:val="35"/>
                      <w:szCs w:val="35"/>
                    </w:rPr>
                    <w:t>为受理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683.9pt;margin-top:14.15pt;height:80.6pt;width:92.9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1" w:line="311" w:lineRule="auto"/>
                    <w:ind w:left="20" w:right="20"/>
                    <w:jc w:val="both"/>
                  </w:pPr>
                  <w:r>
                    <w:rPr>
                      <w:spacing w:val="13"/>
                      <w:sz w:val="35"/>
                      <w:szCs w:val="35"/>
                    </w:rPr>
                    <w:t>决定具体行</w:t>
                  </w:r>
                  <w:r>
                    <w:rPr>
                      <w:spacing w:val="1"/>
                      <w:sz w:val="35"/>
                      <w:szCs w:val="35"/>
                    </w:rPr>
                    <w:t xml:space="preserve"> </w:t>
                  </w:r>
                  <w:r>
                    <w:rPr>
                      <w:spacing w:val="33"/>
                    </w:rPr>
                    <w:t>政行为是否</w:t>
                  </w:r>
                </w:p>
                <w:p>
                  <w:pPr>
                    <w:pStyle w:val="2"/>
                    <w:spacing w:before="1" w:line="223" w:lineRule="auto"/>
                    <w:ind w:left="20"/>
                    <w:rPr>
                      <w:sz w:val="35"/>
                      <w:szCs w:val="35"/>
                    </w:rPr>
                  </w:pPr>
                  <w:r>
                    <w:rPr>
                      <w:spacing w:val="11"/>
                      <w:sz w:val="35"/>
                      <w:szCs w:val="35"/>
                    </w:rPr>
                    <w:t>停止执行</w:t>
                  </w:r>
                </w:p>
              </w:txbxContent>
            </v:textbox>
          </v:shape>
        </w:pict>
      </w:r>
      <w:r>
        <w:rPr>
          <w:spacing w:val="19"/>
        </w:rPr>
        <w:t>书面告知申请人。</w:t>
      </w:r>
    </w:p>
    <w:p>
      <w:pPr>
        <w:pStyle w:val="2"/>
        <w:spacing w:before="80" w:line="229" w:lineRule="auto"/>
        <w:ind w:left="372"/>
        <w:rPr>
          <w:sz w:val="35"/>
          <w:szCs w:val="35"/>
        </w:rPr>
      </w:pPr>
      <w:r>
        <w:rPr>
          <w:spacing w:val="-15"/>
        </w:rPr>
        <w:t>受</w:t>
      </w:r>
      <w:r>
        <w:rPr>
          <w:spacing w:val="7"/>
        </w:rPr>
        <w:t xml:space="preserve">    </w:t>
      </w:r>
      <w:r>
        <w:rPr>
          <w:spacing w:val="-15"/>
          <w:sz w:val="35"/>
          <w:szCs w:val="35"/>
        </w:rPr>
        <w:t>理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pStyle w:val="2"/>
        <w:spacing w:before="108" w:line="553" w:lineRule="exact"/>
        <w:ind w:left="2920"/>
      </w:pPr>
      <w:r>
        <w:rPr>
          <w:spacing w:val="23"/>
          <w:position w:val="15"/>
        </w:rPr>
        <w:t>对符合《行政复议法》规定但不属</w:t>
      </w:r>
    </w:p>
    <w:p>
      <w:pPr>
        <w:pStyle w:val="2"/>
        <w:spacing w:before="2" w:line="212" w:lineRule="auto"/>
        <w:ind w:left="2949"/>
      </w:pPr>
      <w:r>
        <w:rPr>
          <w:spacing w:val="20"/>
        </w:rPr>
        <w:t>于本机关受理的复议申请，应当告</w:t>
      </w:r>
    </w:p>
    <w:p>
      <w:pPr>
        <w:pStyle w:val="2"/>
        <w:spacing w:before="202" w:line="222" w:lineRule="auto"/>
        <w:ind w:left="2949"/>
      </w:pPr>
      <w:r>
        <w:rPr>
          <w:spacing w:val="45"/>
        </w:rPr>
        <w:t>知申请人向有关行政复议机关提</w:t>
      </w:r>
    </w:p>
    <w:p>
      <w:pPr>
        <w:spacing w:before="181" w:line="223" w:lineRule="auto"/>
        <w:ind w:left="294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21"/>
          <w:sz w:val="33"/>
          <w:szCs w:val="33"/>
        </w:rPr>
        <w:t>出</w:t>
      </w:r>
      <w:r>
        <w:rPr>
          <w:rFonts w:ascii="宋体" w:hAnsi="宋体" w:eastAsia="宋体" w:cs="宋体"/>
          <w:spacing w:val="-87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-21"/>
          <w:sz w:val="33"/>
          <w:szCs w:val="33"/>
        </w:rPr>
        <w:t>。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7" w:line="581" w:lineRule="exact"/>
        <w:ind w:left="2949"/>
      </w:pPr>
      <w:r>
        <w:pict>
          <v:shape id="_x0000_s1031" o:spid="_x0000_s1031" o:spt="202" type="#_x0000_t202" style="position:absolute;left:0pt;margin-left:492.6pt;margin-top:4.25pt;height:81.2pt;width:250.7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575" w:lineRule="exact"/>
                    <w:ind w:left="20"/>
                  </w:pPr>
                  <w:r>
                    <w:rPr>
                      <w:spacing w:val="23"/>
                      <w:position w:val="17"/>
                    </w:rPr>
                    <w:t>一般自受理复议申请之日起60日</w:t>
                  </w:r>
                </w:p>
                <w:p>
                  <w:pPr>
                    <w:pStyle w:val="2"/>
                    <w:spacing w:before="1" w:line="212" w:lineRule="auto"/>
                    <w:ind w:left="20"/>
                  </w:pPr>
                  <w:r>
                    <w:rPr>
                      <w:spacing w:val="22"/>
                    </w:rPr>
                    <w:t>内作出复议决议。情况复杂，可</w:t>
                  </w:r>
                </w:p>
                <w:p>
                  <w:pPr>
                    <w:pStyle w:val="2"/>
                    <w:spacing w:before="231" w:line="222" w:lineRule="auto"/>
                    <w:ind w:left="20"/>
                  </w:pPr>
                  <w:r>
                    <w:rPr>
                      <w:spacing w:val="35"/>
                    </w:rPr>
                    <w:t>延长期限(最多不超过30日)</w:t>
                  </w:r>
                </w:p>
              </w:txbxContent>
            </v:textbox>
          </v:shape>
        </w:pict>
      </w:r>
      <w:r>
        <w:rPr>
          <w:spacing w:val="6"/>
          <w:position w:val="18"/>
        </w:rPr>
        <w:t>1、</w:t>
      </w:r>
      <w:r>
        <w:rPr>
          <w:spacing w:val="-61"/>
          <w:position w:val="18"/>
        </w:rPr>
        <w:t xml:space="preserve"> </w:t>
      </w:r>
      <w:r>
        <w:rPr>
          <w:spacing w:val="6"/>
          <w:position w:val="18"/>
        </w:rPr>
        <w:t>被申请人收到复议申请书副本或</w:t>
      </w:r>
    </w:p>
    <w:p>
      <w:pPr>
        <w:pStyle w:val="2"/>
        <w:spacing w:before="2" w:line="212" w:lineRule="auto"/>
        <w:ind w:left="2949"/>
      </w:pPr>
      <w:r>
        <w:rPr>
          <w:spacing w:val="20"/>
        </w:rPr>
        <w:t>申请笔录复印件之日起10日内，提</w:t>
      </w:r>
    </w:p>
    <w:p>
      <w:pPr>
        <w:pStyle w:val="2"/>
        <w:spacing w:before="216" w:line="213" w:lineRule="auto"/>
        <w:ind w:left="2949"/>
      </w:pPr>
      <w:r>
        <w:pict>
          <v:shape id="_x0000_s1032" o:spid="_x0000_s1032" o:spt="202" type="#_x0000_t202" style="position:absolute;left:0pt;margin-left:17.8pt;margin-top:5.1pt;height:21.9pt;width:67.45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222" w:lineRule="auto"/>
                    <w:ind w:left="20"/>
                  </w:pPr>
                  <w:r>
                    <w:rPr>
                      <w:b/>
                      <w:bCs/>
                      <w:spacing w:val="-15"/>
                    </w:rPr>
                    <w:t>审</w:t>
                  </w:r>
                  <w:r>
                    <w:rPr>
                      <w:spacing w:val="5"/>
                    </w:rPr>
                    <w:t xml:space="preserve">    </w:t>
                  </w:r>
                  <w:r>
                    <w:rPr>
                      <w:b/>
                      <w:bCs/>
                      <w:spacing w:val="-15"/>
                    </w:rPr>
                    <w:t>理</w:t>
                  </w:r>
                </w:p>
              </w:txbxContent>
            </v:textbox>
          </v:shape>
        </w:pict>
      </w:r>
      <w:r>
        <w:rPr>
          <w:spacing w:val="22"/>
        </w:rPr>
        <w:t>出书面答复，并提交当初做出具体</w:t>
      </w:r>
    </w:p>
    <w:p>
      <w:pPr>
        <w:pStyle w:val="2"/>
        <w:spacing w:before="231" w:line="222" w:lineRule="auto"/>
        <w:ind w:left="2949"/>
      </w:pPr>
      <w:r>
        <w:rPr>
          <w:spacing w:val="22"/>
        </w:rPr>
        <w:t>行政行为的证据、依据和其他有关</w:t>
      </w:r>
    </w:p>
    <w:p>
      <w:pPr>
        <w:pStyle w:val="2"/>
        <w:spacing w:before="202" w:line="222" w:lineRule="auto"/>
        <w:ind w:left="2949"/>
      </w:pPr>
      <w:r>
        <w:rPr>
          <w:spacing w:val="-3"/>
        </w:rPr>
        <w:t>材料。</w:t>
      </w:r>
    </w:p>
    <w:p>
      <w:pPr>
        <w:pStyle w:val="2"/>
        <w:spacing w:before="205" w:line="564" w:lineRule="exact"/>
        <w:ind w:left="2949"/>
      </w:pPr>
      <w:r>
        <w:rPr>
          <w:spacing w:val="5"/>
          <w:position w:val="17"/>
        </w:rPr>
        <w:t>2、</w:t>
      </w:r>
      <w:r>
        <w:rPr>
          <w:spacing w:val="-46"/>
          <w:position w:val="17"/>
        </w:rPr>
        <w:t xml:space="preserve"> </w:t>
      </w:r>
      <w:r>
        <w:rPr>
          <w:spacing w:val="5"/>
          <w:position w:val="17"/>
        </w:rPr>
        <w:t>复议机关审查具体行政行为是否</w:t>
      </w:r>
    </w:p>
    <w:p>
      <w:pPr>
        <w:pStyle w:val="2"/>
        <w:spacing w:before="1" w:line="185" w:lineRule="auto"/>
        <w:ind w:left="2949"/>
      </w:pPr>
      <w:r>
        <w:rPr>
          <w:spacing w:val="6"/>
        </w:rPr>
        <w:t>合法、适当。</w:t>
      </w:r>
    </w:p>
    <w:p>
      <w:pPr>
        <w:pStyle w:val="2"/>
        <w:spacing w:line="217" w:lineRule="auto"/>
        <w:ind w:left="11662"/>
      </w:pPr>
      <w:r>
        <w:rPr>
          <w:spacing w:val="7"/>
        </w:rPr>
        <w:t>维持</w:t>
      </w:r>
    </w:p>
    <w:p>
      <w:pPr>
        <w:spacing w:line="337" w:lineRule="auto"/>
        <w:rPr>
          <w:rFonts w:ascii="Arial"/>
          <w:sz w:val="21"/>
        </w:rPr>
      </w:pPr>
    </w:p>
    <w:p>
      <w:pPr>
        <w:spacing w:line="338" w:lineRule="auto"/>
        <w:rPr>
          <w:rFonts w:ascii="Arial"/>
          <w:sz w:val="21"/>
        </w:rPr>
      </w:pPr>
    </w:p>
    <w:p>
      <w:pPr>
        <w:pStyle w:val="2"/>
        <w:spacing w:before="108" w:line="222" w:lineRule="auto"/>
        <w:ind w:left="5259"/>
      </w:pPr>
      <w:r>
        <w:pict>
          <v:shape id="_x0000_s1033" o:spid="_x0000_s1033" o:spt="202" type="#_x0000_t202" style="position:absolute;left:0pt;margin-left:565.25pt;margin-top:4.4pt;height:21.85pt;width:70.7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22" w:lineRule="auto"/>
                    <w:ind w:left="20"/>
                  </w:pPr>
                  <w:r>
                    <w:rPr>
                      <w:spacing w:val="13"/>
                    </w:rPr>
                    <w:t>限期履行</w:t>
                  </w:r>
                </w:p>
              </w:txbxContent>
            </v:textbox>
          </v:shape>
        </w:pict>
      </w:r>
      <w:r>
        <w:rPr>
          <w:spacing w:val="25"/>
        </w:rPr>
        <w:t>复议决定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107" w:line="575" w:lineRule="exact"/>
        <w:ind w:left="4016"/>
      </w:pPr>
      <w:r>
        <w:pict>
          <v:shape id="_x0000_s1034" o:spid="_x0000_s1034" o:spt="202" type="#_x0000_t202" style="position:absolute;left:0pt;margin-left:582.1pt;margin-top:2.25pt;height:82pt;width:36.05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22" w:lineRule="auto"/>
                    <w:ind w:left="20"/>
                  </w:pPr>
                  <w:r>
                    <w:rPr>
                      <w:spacing w:val="10"/>
                    </w:rPr>
                    <w:t>变更</w:t>
                  </w:r>
                </w:p>
                <w:p>
                  <w:pPr>
                    <w:spacing w:line="34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34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2"/>
                    <w:spacing w:before="108" w:line="224" w:lineRule="auto"/>
                    <w:ind w:left="20"/>
                  </w:pPr>
                  <w:r>
                    <w:rPr>
                      <w:spacing w:val="9"/>
                    </w:rPr>
                    <w:t>撤销</w:t>
                  </w:r>
                </w:p>
              </w:txbxContent>
            </v:textbox>
          </v:shape>
        </w:pict>
      </w:r>
      <w:r>
        <w:rPr>
          <w:spacing w:val="12"/>
          <w:position w:val="17"/>
        </w:rPr>
        <w:t>对《复议法》第七条所列</w:t>
      </w:r>
    </w:p>
    <w:p>
      <w:pPr>
        <w:pStyle w:val="2"/>
        <w:spacing w:before="1" w:line="212" w:lineRule="auto"/>
        <w:ind w:left="4016"/>
      </w:pPr>
      <w:r>
        <w:rPr>
          <w:spacing w:val="12"/>
        </w:rPr>
        <w:t>有关规定有权处理的，依</w:t>
      </w:r>
    </w:p>
    <w:p>
      <w:pPr>
        <w:pStyle w:val="2"/>
        <w:spacing w:before="231" w:line="213" w:lineRule="auto"/>
        <w:ind w:left="4016"/>
      </w:pPr>
      <w:r>
        <w:pict>
          <v:shape id="_x0000_s1035" o:spid="_x0000_s1035" o:spt="202" type="#_x0000_t202" style="position:absolute;left:0pt;margin-left:17.6pt;margin-top:-0.6pt;height:22.1pt;width:69.7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225" w:lineRule="auto"/>
                    <w:ind w:left="20"/>
                  </w:pPr>
                  <w:r>
                    <w:rPr>
                      <w:spacing w:val="-7"/>
                    </w:rPr>
                    <w:t>决</w:t>
                  </w:r>
                  <w:r>
                    <w:rPr>
                      <w:spacing w:val="13"/>
                    </w:rPr>
                    <w:t xml:space="preserve">    </w:t>
                  </w:r>
                  <w:r>
                    <w:rPr>
                      <w:spacing w:val="-7"/>
                    </w:rPr>
                    <w:t>定</w:t>
                  </w:r>
                </w:p>
              </w:txbxContent>
            </v:textbox>
          </v:shape>
        </w:pict>
      </w:r>
      <w:r>
        <w:rPr>
          <w:spacing w:val="-3"/>
        </w:rPr>
        <w:t>法处理，无权处理的，在7</w:t>
      </w:r>
    </w:p>
    <w:p>
      <w:pPr>
        <w:pStyle w:val="2"/>
        <w:spacing w:before="219" w:line="222" w:lineRule="auto"/>
        <w:ind w:left="4048"/>
      </w:pPr>
      <w:r>
        <w:pict>
          <v:shape id="_x0000_s1036" o:spid="_x0000_s1036" o:spt="202" type="#_x0000_t202" style="position:absolute;left:0pt;margin-left:736.2pt;margin-top:11.3pt;height:49.5pt;width:53.8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553" w:lineRule="exact"/>
                    <w:ind w:left="20"/>
                  </w:pPr>
                  <w:r>
                    <w:rPr>
                      <w:spacing w:val="15"/>
                      <w:position w:val="16"/>
                    </w:rPr>
                    <w:t>可责令</w:t>
                  </w:r>
                </w:p>
                <w:p>
                  <w:pPr>
                    <w:pStyle w:val="2"/>
                    <w:spacing w:before="1" w:line="221" w:lineRule="auto"/>
                    <w:ind w:left="202"/>
                  </w:pPr>
                  <w:r>
                    <w:rPr>
                      <w:spacing w:val="12"/>
                    </w:rPr>
                    <w:t>重作</w:t>
                  </w:r>
                </w:p>
              </w:txbxContent>
            </v:textbox>
          </v:shape>
        </w:pict>
      </w:r>
      <w:r>
        <w:rPr>
          <w:b/>
          <w:bCs/>
          <w:spacing w:val="5"/>
        </w:rPr>
        <w:t>日内转送有权处理的机关</w:t>
      </w:r>
    </w:p>
    <w:p>
      <w:pPr>
        <w:pStyle w:val="2"/>
        <w:spacing w:before="199" w:line="174" w:lineRule="auto"/>
        <w:ind w:left="4044"/>
      </w:pPr>
      <w:r>
        <w:rPr>
          <w:spacing w:val="6"/>
        </w:rPr>
        <w:t>依法处理。</w:t>
      </w:r>
    </w:p>
    <w:p>
      <w:pPr>
        <w:pStyle w:val="2"/>
        <w:spacing w:line="208" w:lineRule="auto"/>
        <w:ind w:left="11297"/>
      </w:pPr>
      <w:r>
        <w:rPr>
          <w:spacing w:val="16"/>
        </w:rPr>
        <w:t>确认违法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08" w:line="178" w:lineRule="auto"/>
        <w:ind w:left="5102"/>
      </w:pPr>
      <w:r>
        <w:rPr>
          <w:b/>
          <w:bCs/>
          <w:spacing w:val="13"/>
        </w:rPr>
        <w:t>撤回复议申请</w:t>
      </w:r>
    </w:p>
    <w:p>
      <w:pPr>
        <w:pStyle w:val="2"/>
        <w:spacing w:before="1" w:line="211" w:lineRule="auto"/>
        <w:ind w:left="10201"/>
      </w:pPr>
      <w:r>
        <w:rPr>
          <w:spacing w:val="19"/>
        </w:rPr>
        <w:t>经复议机关同意并做出终止通知书</w:t>
      </w:r>
    </w:p>
    <w:p>
      <w:pPr>
        <w:spacing w:line="468" w:lineRule="auto"/>
        <w:rPr>
          <w:rFonts w:ascii="Arial"/>
          <w:sz w:val="21"/>
        </w:rPr>
      </w:pPr>
    </w:p>
    <w:p>
      <w:pPr>
        <w:pStyle w:val="2"/>
        <w:spacing w:before="225" w:line="947" w:lineRule="exact"/>
        <w:ind w:left="2949"/>
        <w:rPr>
          <w:sz w:val="69"/>
          <w:szCs w:val="69"/>
        </w:rPr>
      </w:pPr>
      <w:r>
        <w:rPr>
          <w:spacing w:val="33"/>
          <w:position w:val="16"/>
          <w:sz w:val="69"/>
          <w:szCs w:val="69"/>
        </w:rPr>
        <w:t>衡阳市人民政府行政复议办公室</w:t>
      </w:r>
    </w:p>
    <w:p>
      <w:pPr>
        <w:pStyle w:val="2"/>
        <w:spacing w:before="2" w:line="226" w:lineRule="auto"/>
        <w:ind w:left="2949"/>
        <w:rPr>
          <w:sz w:val="58"/>
          <w:szCs w:val="58"/>
        </w:rPr>
      </w:pPr>
      <w:r>
        <w:rPr>
          <w:spacing w:val="-17"/>
          <w:sz w:val="58"/>
          <w:szCs w:val="58"/>
        </w:rPr>
        <w:t>电</w:t>
      </w:r>
      <w:r>
        <w:rPr>
          <w:spacing w:val="-105"/>
          <w:sz w:val="58"/>
          <w:szCs w:val="58"/>
        </w:rPr>
        <w:t xml:space="preserve"> </w:t>
      </w:r>
      <w:r>
        <w:rPr>
          <w:spacing w:val="-17"/>
          <w:sz w:val="58"/>
          <w:szCs w:val="58"/>
        </w:rPr>
        <w:t>话</w:t>
      </w:r>
      <w:r>
        <w:rPr>
          <w:spacing w:val="-115"/>
          <w:sz w:val="58"/>
          <w:szCs w:val="58"/>
        </w:rPr>
        <w:t xml:space="preserve"> </w:t>
      </w:r>
      <w:r>
        <w:rPr>
          <w:spacing w:val="-17"/>
          <w:sz w:val="58"/>
          <w:szCs w:val="58"/>
        </w:rPr>
        <w:t>0</w:t>
      </w:r>
      <w:r>
        <w:rPr>
          <w:spacing w:val="-109"/>
          <w:sz w:val="58"/>
          <w:szCs w:val="58"/>
        </w:rPr>
        <w:t xml:space="preserve"> </w:t>
      </w:r>
      <w:r>
        <w:rPr>
          <w:spacing w:val="-17"/>
          <w:sz w:val="58"/>
          <w:szCs w:val="58"/>
        </w:rPr>
        <w:t>7</w:t>
      </w:r>
      <w:r>
        <w:rPr>
          <w:spacing w:val="-110"/>
          <w:sz w:val="58"/>
          <w:szCs w:val="58"/>
        </w:rPr>
        <w:t xml:space="preserve"> </w:t>
      </w:r>
      <w:r>
        <w:rPr>
          <w:spacing w:val="-17"/>
          <w:sz w:val="58"/>
          <w:szCs w:val="58"/>
        </w:rPr>
        <w:t>3</w:t>
      </w:r>
      <w:r>
        <w:rPr>
          <w:spacing w:val="-127"/>
          <w:sz w:val="58"/>
          <w:szCs w:val="58"/>
        </w:rPr>
        <w:t xml:space="preserve"> </w:t>
      </w:r>
      <w:r>
        <w:rPr>
          <w:spacing w:val="-17"/>
          <w:sz w:val="58"/>
          <w:szCs w:val="58"/>
        </w:rPr>
        <w:t>4</w:t>
      </w:r>
      <w:r>
        <w:rPr>
          <w:spacing w:val="-122"/>
          <w:sz w:val="58"/>
          <w:szCs w:val="58"/>
        </w:rPr>
        <w:t xml:space="preserve"> </w:t>
      </w:r>
      <w:r>
        <w:rPr>
          <w:spacing w:val="-17"/>
          <w:sz w:val="58"/>
          <w:szCs w:val="58"/>
        </w:rPr>
        <w:t>-</w:t>
      </w:r>
      <w:r>
        <w:rPr>
          <w:spacing w:val="-117"/>
          <w:sz w:val="58"/>
          <w:szCs w:val="58"/>
        </w:rPr>
        <w:t xml:space="preserve"> </w:t>
      </w:r>
      <w:r>
        <w:rPr>
          <w:spacing w:val="-17"/>
          <w:sz w:val="58"/>
          <w:szCs w:val="58"/>
        </w:rPr>
        <w:t>8</w:t>
      </w:r>
      <w:r>
        <w:rPr>
          <w:spacing w:val="-81"/>
          <w:sz w:val="58"/>
          <w:szCs w:val="58"/>
        </w:rPr>
        <w:t xml:space="preserve"> </w:t>
      </w:r>
      <w:r>
        <w:rPr>
          <w:spacing w:val="-17"/>
          <w:sz w:val="58"/>
          <w:szCs w:val="58"/>
        </w:rPr>
        <w:t>1</w:t>
      </w:r>
      <w:r>
        <w:rPr>
          <w:spacing w:val="-126"/>
          <w:sz w:val="58"/>
          <w:szCs w:val="58"/>
        </w:rPr>
        <w:t xml:space="preserve"> </w:t>
      </w:r>
      <w:r>
        <w:rPr>
          <w:spacing w:val="-17"/>
          <w:sz w:val="58"/>
          <w:szCs w:val="58"/>
        </w:rPr>
        <w:t>9</w:t>
      </w:r>
      <w:r>
        <w:rPr>
          <w:spacing w:val="-111"/>
          <w:sz w:val="58"/>
          <w:szCs w:val="58"/>
        </w:rPr>
        <w:t xml:space="preserve"> </w:t>
      </w:r>
      <w:r>
        <w:rPr>
          <w:spacing w:val="-17"/>
          <w:sz w:val="58"/>
          <w:szCs w:val="58"/>
        </w:rPr>
        <w:t>3</w:t>
      </w:r>
      <w:r>
        <w:rPr>
          <w:spacing w:val="-115"/>
          <w:sz w:val="58"/>
          <w:szCs w:val="58"/>
        </w:rPr>
        <w:t xml:space="preserve"> </w:t>
      </w:r>
      <w:r>
        <w:rPr>
          <w:spacing w:val="-17"/>
          <w:sz w:val="58"/>
          <w:szCs w:val="58"/>
        </w:rPr>
        <w:t>0</w:t>
      </w:r>
      <w:r>
        <w:rPr>
          <w:spacing w:val="-116"/>
          <w:sz w:val="58"/>
          <w:szCs w:val="58"/>
        </w:rPr>
        <w:t xml:space="preserve"> </w:t>
      </w:r>
      <w:r>
        <w:rPr>
          <w:spacing w:val="-17"/>
          <w:sz w:val="58"/>
          <w:szCs w:val="58"/>
        </w:rPr>
        <w:t>2</w:t>
      </w:r>
      <w:r>
        <w:rPr>
          <w:spacing w:val="-126"/>
          <w:sz w:val="58"/>
          <w:szCs w:val="58"/>
        </w:rPr>
        <w:t xml:space="preserve"> </w:t>
      </w:r>
      <w:r>
        <w:rPr>
          <w:spacing w:val="-17"/>
          <w:sz w:val="58"/>
          <w:szCs w:val="58"/>
        </w:rPr>
        <w:t>9</w:t>
      </w:r>
    </w:p>
    <w:sectPr>
      <w:headerReference r:id="rId5" w:type="default"/>
      <w:pgSz w:w="20938" w:h="31680"/>
      <w:pgMar w:top="400" w:right="2415" w:bottom="0" w:left="22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NmODE5NjY3ZTBjZjJiYzg2OTcyNDE5NjU5MWM5M2EifQ=="/>
  </w:docVars>
  <w:rsids>
    <w:rsidRoot w:val="00000000"/>
    <w:rsid w:val="6E8110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33"/>
      <w:szCs w:val="33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2024-02-23T11:33:00Z</dcterms:created>
  <dc:creator>Kingsoft-PDF</dc:creator>
  <cp:lastModifiedBy>兮</cp:lastModifiedBy>
  <dcterms:modified xsi:type="dcterms:W3CDTF">2024-02-23T03:33:47Z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2024-02-23T11:33:05Z</vt:filetime>
  </property>
  <property fmtid="{D5CDD505-2E9C-101B-9397-08002B2CF9AE}" pid="4" name="UsrData">
    <vt:lpwstr>65d811ea9d6e4a001f4fe368wl</vt:lpwstr>
  </property>
  <property fmtid="{D5CDD505-2E9C-101B-9397-08002B2CF9AE}" pid="5" name="KSOProductBuildVer">
    <vt:lpwstr>2052-12.1.0.16388</vt:lpwstr>
  </property>
  <property fmtid="{D5CDD505-2E9C-101B-9397-08002B2CF9AE}" pid="6" name="ICV">
    <vt:lpwstr>FF2E538E96EB4FED82BC1CDCCF71B9B2_13</vt:lpwstr>
  </property>
</Properties>
</file>