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920" w:lineRule="exact"/>
        <w:jc w:val="center"/>
        <w:outlineLvl w:val="1"/>
        <w:rPr>
          <w:rFonts w:hint="eastAsia" w:ascii="方正小标宋_GBK" w:hAnsi="宋体" w:eastAsia="方正小标宋_GBK"/>
          <w:bCs/>
          <w:sz w:val="44"/>
          <w:szCs w:val="44"/>
        </w:rPr>
      </w:pPr>
      <w:bookmarkStart w:id="0" w:name="_GoBack"/>
      <w:bookmarkEnd w:id="0"/>
    </w:p>
    <w:p>
      <w:pPr>
        <w:widowControl/>
        <w:spacing w:line="920" w:lineRule="exact"/>
        <w:jc w:val="center"/>
        <w:outlineLvl w:val="1"/>
        <w:rPr>
          <w:rFonts w:hint="eastAsia" w:ascii="方正小标宋_GBK" w:hAnsi="宋体" w:eastAsia="方正小标宋_GBK"/>
          <w:bCs/>
          <w:sz w:val="44"/>
          <w:szCs w:val="44"/>
        </w:rPr>
      </w:pPr>
      <w:r>
        <w:rPr>
          <w:rFonts w:hint="eastAsia" w:ascii="方正小标宋_GBK" w:hAnsi="宋体" w:eastAsia="方正小标宋_GBK"/>
          <w:bCs/>
          <w:sz w:val="44"/>
          <w:szCs w:val="44"/>
        </w:rPr>
        <w:t>007县道衡东县吴集镇路段“4·25”</w:t>
      </w:r>
    </w:p>
    <w:p>
      <w:pPr>
        <w:widowControl/>
        <w:spacing w:line="920" w:lineRule="exact"/>
        <w:jc w:val="center"/>
        <w:outlineLvl w:val="1"/>
        <w:rPr>
          <w:rFonts w:hint="eastAsia" w:ascii="方正小标宋_GBK" w:hAnsi="宋体" w:eastAsia="方正小标宋_GBK"/>
          <w:bCs/>
          <w:sz w:val="44"/>
          <w:szCs w:val="44"/>
        </w:rPr>
      </w:pPr>
      <w:r>
        <w:rPr>
          <w:rFonts w:hint="eastAsia" w:ascii="方正小标宋_GBK" w:hAnsi="宋体" w:eastAsia="方正小标宋_GBK"/>
          <w:bCs/>
          <w:sz w:val="44"/>
          <w:szCs w:val="44"/>
        </w:rPr>
        <w:t>一般道路交通事故调查报告</w:t>
      </w:r>
    </w:p>
    <w:p>
      <w:pPr>
        <w:spacing w:line="600" w:lineRule="exact"/>
        <w:ind w:left="-420" w:leftChars="-200" w:right="-168" w:rightChars="-80" w:firstLine="600" w:firstLineChars="200"/>
        <w:rPr>
          <w:rFonts w:hint="eastAsia" w:ascii="宋体" w:hAnsi="宋体" w:cs="宋体"/>
          <w:color w:val="000000"/>
          <w:sz w:val="30"/>
          <w:szCs w:val="30"/>
          <w:shd w:val="clear" w:color="auto" w:fill="FBFBFB"/>
        </w:rPr>
      </w:pPr>
    </w:p>
    <w:p>
      <w:pPr>
        <w:spacing w:line="600" w:lineRule="exact"/>
        <w:ind w:left="-420" w:leftChars="-200" w:right="-168" w:rightChars="-80" w:firstLine="600" w:firstLineChars="200"/>
        <w:rPr>
          <w:rFonts w:hint="eastAsia" w:ascii="宋体" w:hAnsi="宋体" w:cs="宋体"/>
          <w:color w:val="000000"/>
          <w:sz w:val="30"/>
          <w:szCs w:val="30"/>
          <w:shd w:val="clear" w:color="auto" w:fill="FBFBFB"/>
        </w:rPr>
      </w:pPr>
    </w:p>
    <w:p>
      <w:pPr>
        <w:spacing w:line="600" w:lineRule="exact"/>
        <w:ind w:left="-420" w:leftChars="-200" w:right="-168" w:rightChars="-80" w:firstLine="600" w:firstLineChars="200"/>
        <w:rPr>
          <w:rFonts w:hint="eastAsia" w:ascii="宋体" w:hAnsi="宋体" w:cs="宋体"/>
          <w:color w:val="000000"/>
          <w:sz w:val="30"/>
          <w:szCs w:val="30"/>
          <w:shd w:val="clear" w:color="auto" w:fill="FBFBFB"/>
        </w:rPr>
      </w:pPr>
    </w:p>
    <w:p>
      <w:pPr>
        <w:widowControl/>
        <w:spacing w:line="576" w:lineRule="exact"/>
        <w:jc w:val="center"/>
        <w:rPr>
          <w:rFonts w:eastAsia="楷体_GB2312"/>
          <w:color w:val="000000"/>
          <w:sz w:val="32"/>
          <w:szCs w:val="32"/>
        </w:rPr>
      </w:pPr>
    </w:p>
    <w:p>
      <w:pPr>
        <w:pStyle w:val="3"/>
        <w:rPr>
          <w:rFonts w:eastAsia="楷体_GB2312"/>
          <w:color w:val="000000"/>
          <w:sz w:val="32"/>
          <w:szCs w:val="32"/>
        </w:rPr>
      </w:pPr>
    </w:p>
    <w:p>
      <w:pPr>
        <w:pStyle w:val="3"/>
        <w:rPr>
          <w:rFonts w:eastAsia="楷体_GB2312"/>
          <w:color w:val="000000"/>
          <w:sz w:val="32"/>
          <w:szCs w:val="32"/>
        </w:rPr>
      </w:pPr>
    </w:p>
    <w:p>
      <w:pPr>
        <w:pStyle w:val="11"/>
        <w:spacing w:after="0" w:line="576" w:lineRule="exact"/>
        <w:ind w:left="0" w:leftChars="0"/>
        <w:rPr>
          <w:color w:val="000000"/>
        </w:rPr>
      </w:pPr>
    </w:p>
    <w:p>
      <w:pPr>
        <w:pStyle w:val="11"/>
        <w:spacing w:after="0" w:line="576" w:lineRule="exact"/>
        <w:ind w:left="0" w:leftChars="0"/>
        <w:rPr>
          <w:color w:val="000000"/>
        </w:rPr>
      </w:pPr>
    </w:p>
    <w:p>
      <w:pPr>
        <w:widowControl/>
        <w:spacing w:line="580" w:lineRule="exact"/>
        <w:jc w:val="center"/>
        <w:outlineLvl w:val="1"/>
        <w:rPr>
          <w:rFonts w:hint="eastAsia" w:ascii="仿宋_GB2312" w:hAnsi="Calibri" w:eastAsia="仿宋_GB2312"/>
          <w:sz w:val="32"/>
          <w:szCs w:val="52"/>
        </w:rPr>
      </w:pPr>
    </w:p>
    <w:p>
      <w:pPr>
        <w:pStyle w:val="11"/>
        <w:spacing w:after="0" w:line="576" w:lineRule="exact"/>
        <w:ind w:left="0" w:leftChars="0" w:firstLine="640"/>
        <w:rPr>
          <w:rFonts w:hint="eastAsia" w:ascii="仿宋_GB2312" w:hAnsi="Calibri" w:eastAsia="仿宋_GB2312"/>
          <w:sz w:val="32"/>
          <w:szCs w:val="52"/>
        </w:rPr>
      </w:pPr>
    </w:p>
    <w:p>
      <w:pPr>
        <w:spacing w:line="560" w:lineRule="exact"/>
        <w:jc w:val="center"/>
        <w:rPr>
          <w:rFonts w:hint="eastAsia" w:ascii="仿宋_GB2312" w:hAnsi="Calibri" w:eastAsia="仿宋_GB2312"/>
          <w:sz w:val="32"/>
          <w:szCs w:val="52"/>
        </w:rPr>
      </w:pPr>
    </w:p>
    <w:p>
      <w:pPr>
        <w:pStyle w:val="2"/>
        <w:rPr>
          <w:rFonts w:hint="eastAsia"/>
        </w:rPr>
      </w:pPr>
    </w:p>
    <w:p>
      <w:pPr>
        <w:widowControl/>
        <w:spacing w:line="580" w:lineRule="exact"/>
        <w:jc w:val="center"/>
        <w:outlineLvl w:val="1"/>
        <w:rPr>
          <w:rFonts w:hint="eastAsia" w:ascii="仿宋_GB2312" w:hAnsi="Calibri" w:eastAsia="仿宋_GB2312"/>
          <w:sz w:val="32"/>
          <w:szCs w:val="52"/>
        </w:rPr>
      </w:pPr>
      <w:r>
        <w:rPr>
          <w:rFonts w:hint="eastAsia" w:ascii="仿宋_GB2312" w:hAnsi="Calibri" w:eastAsia="仿宋_GB2312"/>
          <w:sz w:val="32"/>
          <w:szCs w:val="52"/>
        </w:rPr>
        <w:t>007县道衡东县吴集镇路段“4·25”</w:t>
      </w:r>
    </w:p>
    <w:p>
      <w:pPr>
        <w:widowControl/>
        <w:spacing w:line="580" w:lineRule="exact"/>
        <w:jc w:val="center"/>
        <w:outlineLvl w:val="1"/>
        <w:rPr>
          <w:rFonts w:hint="eastAsia" w:ascii="仿宋_GB2312" w:hAnsi="Calibri" w:eastAsia="仿宋_GB2312"/>
          <w:sz w:val="32"/>
          <w:szCs w:val="52"/>
        </w:rPr>
      </w:pPr>
      <w:r>
        <w:rPr>
          <w:rFonts w:hint="eastAsia" w:ascii="仿宋_GB2312" w:hAnsi="Calibri" w:eastAsia="仿宋_GB2312"/>
          <w:sz w:val="32"/>
          <w:szCs w:val="52"/>
        </w:rPr>
        <w:t>一般道路交通事故调查组</w:t>
      </w:r>
    </w:p>
    <w:p>
      <w:pPr>
        <w:adjustRightInd w:val="0"/>
        <w:spacing w:line="580" w:lineRule="exact"/>
        <w:jc w:val="center"/>
        <w:rPr>
          <w:rFonts w:eastAsia="楷体_GB2312"/>
          <w:color w:val="000000"/>
          <w:sz w:val="32"/>
          <w:szCs w:val="32"/>
        </w:rPr>
      </w:pPr>
      <w:r>
        <w:rPr>
          <w:rFonts w:eastAsia="楷体_GB2312"/>
          <w:color w:val="000000"/>
          <w:sz w:val="32"/>
          <w:szCs w:val="32"/>
        </w:rPr>
        <w:t>202</w:t>
      </w:r>
      <w:r>
        <w:rPr>
          <w:rFonts w:hint="eastAsia" w:eastAsia="楷体_GB2312"/>
          <w:color w:val="000000"/>
          <w:sz w:val="32"/>
          <w:szCs w:val="32"/>
        </w:rPr>
        <w:t>3</w:t>
      </w:r>
      <w:r>
        <w:rPr>
          <w:rFonts w:eastAsia="楷体_GB2312"/>
          <w:color w:val="000000"/>
          <w:sz w:val="32"/>
          <w:szCs w:val="32"/>
        </w:rPr>
        <w:t>年</w:t>
      </w:r>
      <w:r>
        <w:rPr>
          <w:rFonts w:hint="eastAsia" w:eastAsia="楷体_GB2312"/>
          <w:color w:val="000000"/>
          <w:sz w:val="32"/>
          <w:szCs w:val="32"/>
        </w:rPr>
        <w:t>11</w:t>
      </w:r>
      <w:r>
        <w:rPr>
          <w:rFonts w:eastAsia="楷体_GB2312"/>
          <w:color w:val="000000"/>
          <w:sz w:val="32"/>
          <w:szCs w:val="32"/>
        </w:rPr>
        <w:t>月</w:t>
      </w:r>
      <w:r>
        <w:rPr>
          <w:rFonts w:hint="eastAsia" w:eastAsia="楷体_GB2312"/>
          <w:color w:val="000000"/>
          <w:sz w:val="32"/>
          <w:szCs w:val="32"/>
        </w:rPr>
        <w:t>2日</w:t>
      </w:r>
    </w:p>
    <w:p>
      <w:pPr>
        <w:adjustRightInd w:val="0"/>
        <w:spacing w:line="580" w:lineRule="exact"/>
        <w:ind w:firstLine="600"/>
        <w:jc w:val="center"/>
        <w:rPr>
          <w:rFonts w:eastAsia="楷体_GB2312"/>
          <w:color w:val="000000"/>
          <w:sz w:val="32"/>
          <w:szCs w:val="32"/>
        </w:rPr>
        <w:sectPr>
          <w:footnotePr>
            <w:numFmt w:val="decimalEnclosedCircleChinese"/>
          </w:footnotePr>
          <w:pgSz w:w="11906" w:h="16838"/>
          <w:pgMar w:top="1440" w:right="1531" w:bottom="1440" w:left="1531" w:header="851" w:footer="992" w:gutter="0"/>
          <w:pgNumType w:start="1"/>
          <w:cols w:space="720" w:num="1"/>
          <w:docGrid w:type="lines" w:linePitch="312" w:charSpace="0"/>
        </w:sectPr>
      </w:pPr>
    </w:p>
    <w:p>
      <w:pPr>
        <w:tabs>
          <w:tab w:val="right" w:leader="dot" w:pos="8730"/>
        </w:tabs>
        <w:spacing w:line="420" w:lineRule="exact"/>
        <w:jc w:val="center"/>
        <w:rPr>
          <w:rFonts w:eastAsia="方正小标宋简体"/>
          <w:bCs/>
          <w:color w:val="000000"/>
          <w:sz w:val="36"/>
          <w:szCs w:val="36"/>
        </w:rPr>
      </w:pPr>
      <w:r>
        <w:rPr>
          <w:rFonts w:eastAsia="方正小标宋简体"/>
          <w:bCs/>
          <w:color w:val="000000"/>
          <w:sz w:val="36"/>
          <w:szCs w:val="36"/>
        </w:rPr>
        <w:t>目  录</w:t>
      </w:r>
    </w:p>
    <w:p>
      <w:pPr>
        <w:tabs>
          <w:tab w:val="right" w:leader="dot" w:pos="8730"/>
        </w:tabs>
        <w:spacing w:line="420" w:lineRule="exact"/>
        <w:rPr>
          <w:rFonts w:hint="eastAsia" w:ascii="仿宋_GB2312" w:hAnsi="仿宋_GB2312" w:eastAsia="仿宋_GB2312" w:cs="仿宋_GB2312"/>
          <w:color w:val="000000"/>
          <w:sz w:val="30"/>
          <w:szCs w:val="30"/>
        </w:rPr>
      </w:pPr>
      <w:r>
        <w:rPr>
          <w:rFonts w:hint="eastAsia" w:ascii="汉仪大宋简" w:hAnsi="汉仪大宋简" w:eastAsia="汉仪大宋简" w:cs="汉仪大宋简"/>
          <w:color w:val="000000"/>
          <w:sz w:val="30"/>
          <w:szCs w:val="30"/>
        </w:rPr>
        <w:t>一、事故基本情况</w:t>
      </w:r>
      <w:r>
        <w:rPr>
          <w:rFonts w:hint="eastAsia" w:ascii="仿宋_GB2312" w:hAnsi="仿宋_GB2312" w:eastAsia="仿宋_GB2312" w:cs="仿宋_GB2312"/>
          <w:color w:val="000000"/>
          <w:sz w:val="30"/>
          <w:szCs w:val="30"/>
        </w:rPr>
        <w:tab/>
      </w:r>
      <w:r>
        <w:rPr>
          <w:rFonts w:hint="eastAsia" w:ascii="仿宋_GB2312" w:hAnsi="仿宋_GB2312" w:eastAsia="仿宋_GB2312" w:cs="仿宋_GB2312"/>
          <w:color w:val="000000"/>
          <w:sz w:val="30"/>
          <w:szCs w:val="30"/>
        </w:rPr>
        <w:t>3</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（一）事故车辆情况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3</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（二）事故当事人情况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3</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（三）湘DB5217中型自卸货车经营活动情况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4</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（四）事故路段天气情况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5</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（五）事故现场勘查情况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5</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1.道路勘查情况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5</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2.肇事车辆勘查情况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5</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（六）检验鉴定情况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8</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1.驾驶人血液乙醇、毒物检测</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8</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2.死亡人员致死原因鉴定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8</w:t>
      </w:r>
    </w:p>
    <w:p>
      <w:pPr>
        <w:tabs>
          <w:tab w:val="right" w:leader="dot" w:pos="8730"/>
        </w:tabs>
        <w:spacing w:line="420" w:lineRule="exact"/>
        <w:ind w:firstLine="600" w:firstLineChars="200"/>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3.事故车辆车速技术鉴定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8</w:t>
      </w:r>
    </w:p>
    <w:p>
      <w:pPr>
        <w:tabs>
          <w:tab w:val="right" w:leader="dot" w:pos="8730"/>
        </w:tabs>
        <w:spacing w:line="420" w:lineRule="exact"/>
        <w:ind w:firstLine="600" w:firstLineChars="200"/>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4.无号牌二轮轻便摩托车机动性能鉴定</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9</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（七）道路交通事故认定情况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9</w:t>
      </w:r>
    </w:p>
    <w:p>
      <w:pPr>
        <w:tabs>
          <w:tab w:val="right" w:leader="dot" w:pos="8730"/>
        </w:tabs>
        <w:spacing w:line="420" w:lineRule="exact"/>
        <w:rPr>
          <w:rFonts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二、事故发生经过及应急处置情况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10</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（一）事故发生经过</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10</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（二）道路交通事故接处警情况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10</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（三）应急处置情况</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11</w:t>
      </w:r>
    </w:p>
    <w:p>
      <w:pPr>
        <w:tabs>
          <w:tab w:val="right" w:leader="dot" w:pos="8730"/>
        </w:tabs>
        <w:spacing w:line="420" w:lineRule="exact"/>
        <w:rPr>
          <w:rFonts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三、事故原因及性质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12</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（一）直接原因</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12</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（二）间接原因</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12</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（三）事故性质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四、对事故相关责任人员和责任单位的处理建议</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（一）建议免于追究责任人员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（二）建议予以追责问责的人员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（三）建议予以组织处理的人员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13</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（四）建议行政处罚的人员</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 xml:space="preserve">14 </w:t>
      </w:r>
    </w:p>
    <w:p>
      <w:pPr>
        <w:tabs>
          <w:tab w:val="right" w:leader="dot" w:pos="8730"/>
        </w:tabs>
        <w:spacing w:line="420" w:lineRule="exact"/>
        <w:rPr>
          <w:rFonts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五、事故防范和整改措施建议</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14</w:t>
      </w:r>
    </w:p>
    <w:p>
      <w:pPr>
        <w:tabs>
          <w:tab w:val="right" w:leader="dot" w:pos="8730"/>
        </w:tabs>
        <w:spacing w:line="420" w:lineRule="exact"/>
        <w:rPr>
          <w:rFonts w:hint="eastAsia" w:ascii="华文楷体" w:hAnsi="华文楷体" w:eastAsia="华文楷体" w:cs="华文楷体"/>
          <w:color w:val="000000"/>
          <w:sz w:val="30"/>
          <w:szCs w:val="30"/>
        </w:rPr>
      </w:pPr>
      <w:r>
        <w:rPr>
          <w:rFonts w:hint="eastAsia" w:ascii="汉仪大宋简" w:hAnsi="汉仪大宋简" w:eastAsia="汉仪大宋简" w:cs="汉仪大宋简"/>
          <w:color w:val="000000"/>
          <w:sz w:val="30"/>
          <w:szCs w:val="30"/>
        </w:rPr>
        <w:t>六、附件</w:t>
      </w:r>
      <w:r>
        <w:rPr>
          <w:rFonts w:hint="eastAsia" w:ascii="华文楷体" w:hAnsi="华文楷体" w:eastAsia="华文楷体" w:cs="华文楷体"/>
          <w:color w:val="000000"/>
          <w:sz w:val="30"/>
          <w:szCs w:val="30"/>
        </w:rPr>
        <w:t>：</w:t>
      </w:r>
    </w:p>
    <w:p>
      <w:pPr>
        <w:tabs>
          <w:tab w:val="right" w:leader="dot" w:pos="8730"/>
        </w:tabs>
        <w:spacing w:line="420" w:lineRule="exact"/>
        <w:rPr>
          <w:rFonts w:ascii="华文楷体" w:hAnsi="华文楷体" w:eastAsia="华文楷体" w:cs="华文楷体"/>
          <w:color w:val="000000"/>
          <w:sz w:val="30"/>
          <w:szCs w:val="30"/>
        </w:rPr>
      </w:pPr>
      <w:r>
        <w:rPr>
          <w:rFonts w:hint="eastAsia" w:ascii="华文楷体" w:hAnsi="华文楷体" w:eastAsia="华文楷体" w:cs="华文楷体"/>
          <w:color w:val="000000"/>
          <w:sz w:val="30"/>
          <w:szCs w:val="30"/>
        </w:rPr>
        <w:t>（一）直接经济损失明细表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17</w:t>
      </w:r>
    </w:p>
    <w:p>
      <w:pPr>
        <w:tabs>
          <w:tab w:val="right" w:leader="dot" w:pos="8730"/>
        </w:tabs>
        <w:spacing w:line="420" w:lineRule="exact"/>
        <w:rPr>
          <w:rFonts w:ascii="仿宋_GB2312" w:hAnsi="仿宋_GB2312" w:eastAsia="仿宋_GB2312" w:cs="仿宋_GB2312"/>
          <w:color w:val="000000"/>
          <w:sz w:val="30"/>
          <w:szCs w:val="30"/>
        </w:rPr>
      </w:pPr>
      <w:r>
        <w:rPr>
          <w:rFonts w:hint="eastAsia" w:ascii="华文楷体" w:hAnsi="华文楷体" w:eastAsia="华文楷体" w:cs="华文楷体"/>
          <w:color w:val="000000"/>
          <w:sz w:val="30"/>
          <w:szCs w:val="30"/>
        </w:rPr>
        <w:t>（二）伤亡人员基本情况表</w:t>
      </w:r>
      <w:r>
        <w:rPr>
          <w:rFonts w:hint="eastAsia" w:ascii="华文楷体" w:hAnsi="华文楷体" w:eastAsia="华文楷体" w:cs="华文楷体"/>
          <w:color w:val="000000"/>
          <w:sz w:val="30"/>
          <w:szCs w:val="30"/>
        </w:rPr>
        <w:tab/>
      </w:r>
      <w:r>
        <w:rPr>
          <w:rFonts w:hint="eastAsia" w:ascii="华文楷体" w:hAnsi="华文楷体" w:eastAsia="华文楷体" w:cs="华文楷体"/>
          <w:color w:val="000000"/>
          <w:sz w:val="30"/>
          <w:szCs w:val="30"/>
        </w:rPr>
        <w:t>18</w:t>
      </w:r>
    </w:p>
    <w:p>
      <w:pPr>
        <w:spacing w:line="560" w:lineRule="exact"/>
        <w:jc w:val="center"/>
        <w:rPr>
          <w:rFonts w:hint="eastAsia" w:ascii="方正小标宋_GBK" w:hAnsi="宋体" w:eastAsia="方正小标宋_GBK"/>
          <w:bCs/>
          <w:sz w:val="44"/>
          <w:szCs w:val="44"/>
        </w:rPr>
      </w:pPr>
      <w:r>
        <w:rPr>
          <w:rFonts w:hint="eastAsia" w:ascii="方正小标宋_GBK" w:hAnsi="宋体" w:eastAsia="方正小标宋_GBK"/>
          <w:bCs/>
          <w:sz w:val="44"/>
          <w:szCs w:val="44"/>
        </w:rPr>
        <w:t>007县道衡东县吴集镇路段“4·25”</w:t>
      </w:r>
    </w:p>
    <w:p>
      <w:pPr>
        <w:spacing w:line="560" w:lineRule="exact"/>
        <w:jc w:val="center"/>
        <w:rPr>
          <w:rFonts w:hint="eastAsia" w:ascii="方正小标宋_GBK" w:hAnsi="宋体" w:eastAsia="方正小标宋_GBK"/>
          <w:bCs/>
          <w:sz w:val="44"/>
          <w:szCs w:val="44"/>
        </w:rPr>
      </w:pPr>
      <w:r>
        <w:rPr>
          <w:rFonts w:hint="eastAsia" w:ascii="方正小标宋_GBK" w:hAnsi="宋体" w:eastAsia="方正小标宋_GBK"/>
          <w:bCs/>
          <w:sz w:val="44"/>
          <w:szCs w:val="44"/>
        </w:rPr>
        <w:t>一般道路交通事故调查报告</w:t>
      </w:r>
    </w:p>
    <w:p>
      <w:pPr>
        <w:spacing w:line="576" w:lineRule="exact"/>
        <w:ind w:firstLine="640" w:firstLineChars="200"/>
        <w:rPr>
          <w:rFonts w:hint="eastAsia" w:ascii="仿宋" w:hAnsi="仿宋" w:eastAsia="仿宋" w:cs="Tahoma"/>
          <w:sz w:val="32"/>
          <w:szCs w:val="32"/>
        </w:rPr>
      </w:pP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2023年4月25日17时31分许，007县道衡东县吴集镇路段（X007线1km+413m）处，发生轻便二轮摩托车与中型自卸货车车尾碰撞的道路交通事故，造成2人死亡2人受伤，直接经济损失约250万元。</w:t>
      </w:r>
    </w:p>
    <w:p>
      <w:pPr>
        <w:spacing w:line="560" w:lineRule="exact"/>
        <w:ind w:firstLine="640" w:firstLineChars="200"/>
        <w:rPr>
          <w:rFonts w:ascii="仿宋" w:hAnsi="仿宋" w:eastAsia="仿宋" w:cs="Tahoma"/>
          <w:sz w:val="32"/>
          <w:szCs w:val="32"/>
        </w:rPr>
      </w:pPr>
      <w:r>
        <w:rPr>
          <w:rFonts w:hint="eastAsia" w:ascii="仿宋" w:hAnsi="仿宋" w:eastAsia="仿宋" w:cs="Tahoma"/>
          <w:sz w:val="32"/>
          <w:szCs w:val="32"/>
        </w:rPr>
        <w:t xml:space="preserve"> 事故发生后，市委、市政府领导高度重视，要求彻查事故原因并依法严肃处理，举一反</w:t>
      </w:r>
      <w:r>
        <w:rPr>
          <w:rFonts w:hint="eastAsia" w:ascii="仿宋_GB2312" w:hAnsi="仿宋_GB2312" w:eastAsia="仿宋" w:cs="仿宋_GB2312"/>
          <w:color w:val="000000"/>
          <w:kern w:val="0"/>
          <w:sz w:val="32"/>
          <w:szCs w:val="32"/>
        </w:rPr>
        <w:t>三，防止类似事故发生。2023年10月9日，</w:t>
      </w:r>
      <w:r>
        <w:rPr>
          <w:rFonts w:hint="eastAsia" w:ascii="仿宋" w:hAnsi="仿宋" w:eastAsia="仿宋"/>
          <w:sz w:val="32"/>
          <w:szCs w:val="32"/>
        </w:rPr>
        <w:t>根据市交通警察支队《关于开展道路交通事故提级调查的请示》，</w:t>
      </w:r>
      <w:r>
        <w:rPr>
          <w:rFonts w:hint="eastAsia" w:ascii="仿宋_GB2312" w:hAnsi="仿宋_GB2312" w:eastAsia="仿宋" w:cs="仿宋_GB2312"/>
          <w:color w:val="000000"/>
          <w:kern w:val="0"/>
          <w:sz w:val="32"/>
          <w:szCs w:val="32"/>
        </w:rPr>
        <w:t>在</w:t>
      </w:r>
      <w:r>
        <w:rPr>
          <w:rFonts w:hint="eastAsia" w:ascii="仿宋" w:hAnsi="仿宋" w:eastAsia="仿宋" w:cs="仿宋"/>
          <w:sz w:val="32"/>
          <w:szCs w:val="32"/>
        </w:rPr>
        <w:t>衡东县</w:t>
      </w:r>
      <w:r>
        <w:rPr>
          <w:rFonts w:hint="eastAsia" w:ascii="仿宋" w:hAnsi="仿宋" w:eastAsia="仿宋"/>
          <w:sz w:val="32"/>
          <w:szCs w:val="32"/>
        </w:rPr>
        <w:t>公安局交通警察大队开展道路交通事故深度调查的基础上，经</w:t>
      </w:r>
      <w:r>
        <w:rPr>
          <w:rFonts w:hint="eastAsia" w:ascii="仿宋_GB2312" w:hAnsi="仿宋_GB2312" w:eastAsia="仿宋" w:cs="仿宋_GB2312"/>
          <w:color w:val="000000"/>
          <w:kern w:val="0"/>
          <w:sz w:val="32"/>
          <w:szCs w:val="32"/>
        </w:rPr>
        <w:t>衡阳市人</w:t>
      </w:r>
      <w:r>
        <w:rPr>
          <w:rFonts w:hint="eastAsia" w:ascii="仿宋" w:hAnsi="仿宋" w:eastAsia="仿宋" w:cs="Tahoma"/>
          <w:sz w:val="32"/>
          <w:szCs w:val="32"/>
        </w:rPr>
        <w:t>民政府批准，成立了由衡阳市应急局、市总工会、市交通运输局、市公安局交警支队及衡东县人民政府为成员单位组成的007县道衡东县吴集镇路段“4·25”一般道路交通事故调查组（简称“事故调查组”），对该起事故开展提级调查工作。</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依据《中华人民共和国安全生产法》</w:t>
      </w:r>
      <w:r>
        <w:rPr>
          <w:rFonts w:hint="eastAsia" w:ascii="仿宋" w:hAnsi="仿宋" w:eastAsia="仿宋" w:cs="Tahoma"/>
          <w:sz w:val="32"/>
          <w:szCs w:val="32"/>
          <w:lang w:eastAsia="zh-CN"/>
        </w:rPr>
        <w:t>《生产安全事故报告和调查处理条例》</w:t>
      </w:r>
      <w:r>
        <w:rPr>
          <w:rFonts w:hint="eastAsia" w:ascii="仿宋" w:hAnsi="仿宋" w:eastAsia="仿宋" w:cs="Tahoma"/>
          <w:sz w:val="32"/>
          <w:szCs w:val="32"/>
        </w:rPr>
        <w:t>等有关法律法规，事</w:t>
      </w:r>
      <w:r>
        <w:rPr>
          <w:rFonts w:hint="eastAsia" w:ascii="仿宋" w:hAnsi="仿宋" w:eastAsia="仿宋" w:cs="仿宋"/>
          <w:kern w:val="0"/>
          <w:sz w:val="32"/>
          <w:szCs w:val="32"/>
        </w:rPr>
        <w:t>故</w:t>
      </w:r>
      <w:r>
        <w:rPr>
          <w:rFonts w:hint="eastAsia" w:ascii="仿宋_GB2312" w:hAnsi="仿宋_GB2312" w:eastAsia="仿宋" w:cs="仿宋_GB2312"/>
          <w:color w:val="000000"/>
          <w:kern w:val="0"/>
          <w:sz w:val="32"/>
          <w:szCs w:val="32"/>
        </w:rPr>
        <w:t>调查组按照“四不放过”和“科学严谨、依法依规、</w:t>
      </w:r>
      <w:r>
        <w:rPr>
          <w:rFonts w:hint="eastAsia" w:ascii="仿宋" w:hAnsi="仿宋" w:eastAsia="仿宋" w:cs="Tahoma"/>
          <w:sz w:val="32"/>
          <w:szCs w:val="32"/>
        </w:rPr>
        <w:t>实事求是、注重实效”的原则，通过现场勘查、调查取证、检测鉴定和综合分析，查清了事故发生经过、原因、人员伤亡和直接经济损失等情况，认定了事故性质和责任，提出了对有关责任人和责任单位的处理建议，提出了事故防范和整改措施建议。现将有关情况报告如下：</w:t>
      </w:r>
    </w:p>
    <w:p>
      <w:pPr>
        <w:widowControl/>
        <w:spacing w:line="560" w:lineRule="exact"/>
        <w:ind w:firstLine="640" w:firstLineChars="200"/>
        <w:jc w:val="left"/>
        <w:rPr>
          <w:rFonts w:hint="eastAsia" w:ascii="黑体" w:hAnsi="黑体" w:eastAsia="黑体" w:cs="仿宋_GB2312"/>
          <w:color w:val="000000"/>
          <w:kern w:val="0"/>
          <w:sz w:val="32"/>
          <w:szCs w:val="32"/>
        </w:rPr>
      </w:pPr>
    </w:p>
    <w:p>
      <w:pPr>
        <w:widowControl/>
        <w:spacing w:line="560" w:lineRule="exact"/>
        <w:ind w:firstLine="640" w:firstLineChars="200"/>
        <w:jc w:val="left"/>
        <w:rPr>
          <w:rFonts w:hint="eastAsia" w:ascii="黑体" w:hAnsi="黑体" w:eastAsia="黑体" w:cs="仿宋_GB2312"/>
          <w:color w:val="000000"/>
          <w:kern w:val="0"/>
          <w:sz w:val="32"/>
          <w:szCs w:val="32"/>
        </w:rPr>
      </w:pPr>
      <w:r>
        <w:rPr>
          <w:rFonts w:hint="eastAsia" w:ascii="黑体" w:hAnsi="黑体" w:eastAsia="黑体" w:cs="仿宋_GB2312"/>
          <w:color w:val="000000"/>
          <w:kern w:val="0"/>
          <w:sz w:val="32"/>
          <w:szCs w:val="32"/>
        </w:rPr>
        <w:t>一、事故基本情况</w:t>
      </w:r>
    </w:p>
    <w:p>
      <w:pPr>
        <w:spacing w:line="560" w:lineRule="exact"/>
        <w:ind w:firstLine="640" w:firstLineChars="200"/>
        <w:rPr>
          <w:rFonts w:hint="eastAsia" w:ascii="楷体" w:hAnsi="楷体" w:eastAsia="楷体" w:cs="楷体"/>
          <w:bCs/>
          <w:sz w:val="32"/>
          <w:szCs w:val="32"/>
        </w:rPr>
      </w:pPr>
      <w:r>
        <w:rPr>
          <w:rFonts w:hint="eastAsia" w:ascii="楷体" w:hAnsi="楷体" w:eastAsia="楷体" w:cs="楷体"/>
          <w:bCs/>
          <w:sz w:val="32"/>
          <w:szCs w:val="32"/>
        </w:rPr>
        <w:t>（一）事故车辆情况。</w:t>
      </w:r>
    </w:p>
    <w:p>
      <w:pPr>
        <w:spacing w:line="560" w:lineRule="exact"/>
        <w:ind w:firstLine="643" w:firstLineChars="200"/>
        <w:rPr>
          <w:rFonts w:hint="eastAsia" w:ascii="仿宋" w:hAnsi="仿宋" w:eastAsia="仿宋" w:cs="Tahoma"/>
          <w:sz w:val="32"/>
          <w:szCs w:val="32"/>
        </w:rPr>
      </w:pPr>
      <w:r>
        <w:rPr>
          <w:rFonts w:hint="eastAsia" w:ascii="仿宋" w:hAnsi="仿宋" w:eastAsia="仿宋"/>
          <w:b/>
          <w:sz w:val="32"/>
          <w:szCs w:val="32"/>
        </w:rPr>
        <w:t>1、无牌轻便二轮摩托车：</w:t>
      </w:r>
      <w:r>
        <w:rPr>
          <w:rFonts w:hint="eastAsia" w:ascii="仿宋" w:hAnsi="仿宋" w:eastAsia="仿宋" w:cs="仿宋"/>
          <w:sz w:val="32"/>
          <w:szCs w:val="32"/>
        </w:rPr>
        <w:t>车</w:t>
      </w:r>
      <w:r>
        <w:rPr>
          <w:rFonts w:hint="eastAsia" w:ascii="仿宋" w:hAnsi="仿宋" w:eastAsia="仿宋" w:cs="Tahoma"/>
          <w:sz w:val="32"/>
          <w:szCs w:val="32"/>
        </w:rPr>
        <w:t>辆品牌为绿佳牌，车辆类型：轻便二轮摩托车，车身颜色为红色；厂牌型号：QS125T-5A，发动机号：21157831，车辆识别代号：L9STC5913M1052105，出厂日期2021年12月2日，于2022年9月9日从衡东县洣水镇绿佳车行购买，购车发票登记所有人：阳国咀（肇事二轮摩托车驾驶人稂春姣丈夫）。经查，该二轮摩托车未依法进行注册登记，未购买保险。</w:t>
      </w:r>
    </w:p>
    <w:p>
      <w:pPr>
        <w:spacing w:line="560" w:lineRule="exact"/>
        <w:ind w:firstLine="643" w:firstLineChars="200"/>
        <w:rPr>
          <w:rFonts w:hint="eastAsia" w:ascii="仿宋" w:hAnsi="仿宋" w:eastAsia="仿宋" w:cs="Tahoma"/>
          <w:sz w:val="32"/>
          <w:szCs w:val="32"/>
        </w:rPr>
      </w:pPr>
      <w:r>
        <w:rPr>
          <w:rFonts w:hint="eastAsia" w:ascii="仿宋" w:hAnsi="仿宋" w:eastAsia="仿宋" w:cs="仿宋"/>
          <w:b/>
          <w:bCs/>
          <w:sz w:val="32"/>
          <w:szCs w:val="32"/>
        </w:rPr>
        <w:t>2、湘DB5217中型自卸货车：</w:t>
      </w:r>
      <w:r>
        <w:rPr>
          <w:rFonts w:hint="eastAsia" w:ascii="仿宋" w:hAnsi="仿宋" w:eastAsia="仿宋" w:cs="仿宋"/>
          <w:sz w:val="32"/>
          <w:szCs w:val="32"/>
        </w:rPr>
        <w:t>车</w:t>
      </w:r>
      <w:r>
        <w:rPr>
          <w:rFonts w:hint="eastAsia" w:ascii="仿宋" w:hAnsi="仿宋" w:eastAsia="仿宋" w:cs="Tahoma"/>
          <w:sz w:val="32"/>
          <w:szCs w:val="32"/>
        </w:rPr>
        <w:t>辆品牌为跃进牌，车辆类型：中型自卸货车，使用性质：货运，车身颜色：蓝色，车辆型号：SH3102VHDCWW4，车辆识别代号：LSFGA51A3JDT60057，发动机号:AKB18001354，</w:t>
      </w:r>
      <w:r>
        <w:rPr>
          <w:rFonts w:hint="eastAsia" w:ascii="仿宋" w:hAnsi="仿宋" w:eastAsia="仿宋" w:cs="仿宋"/>
          <w:sz w:val="32"/>
          <w:szCs w:val="32"/>
        </w:rPr>
        <w:t>核定载质量4995kg,</w:t>
      </w:r>
      <w:r>
        <w:rPr>
          <w:rFonts w:hint="eastAsia" w:ascii="仿宋" w:hAnsi="仿宋" w:eastAsia="仿宋" w:cs="Tahoma"/>
          <w:sz w:val="32"/>
          <w:szCs w:val="32"/>
        </w:rPr>
        <w:t>核定载人数3人，事发时该车辆实际载有一卷子废旧钢丝绳。该车辆于2018年7月份由车主赵雪忠从长沙市跃进车行股份有限公司购买，初次登记日期2018年7月5日，检验有效期至2023年7月31日止。该车投保了交强险和商业保险，第三者责任险保额为五十万，机动车交通事故责任强制保险有效期至2022年7月5日0时0分止，商业保险有效期至2023年7月5日0时0分止。</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经查，湘DB5217中型自卸货车累计交通违法16起，已处理16起，无一次性扣12分的违法行为。</w:t>
      </w:r>
    </w:p>
    <w:p>
      <w:pPr>
        <w:spacing w:line="560" w:lineRule="exact"/>
        <w:ind w:firstLine="640" w:firstLineChars="200"/>
        <w:rPr>
          <w:rFonts w:hint="eastAsia" w:ascii="仿宋" w:hAnsi="仿宋" w:eastAsia="楷体" w:cs="Tahoma"/>
          <w:sz w:val="32"/>
          <w:szCs w:val="32"/>
        </w:rPr>
      </w:pPr>
      <w:r>
        <w:rPr>
          <w:rFonts w:hint="eastAsia" w:ascii="楷体" w:hAnsi="楷体" w:eastAsia="楷体" w:cs="楷体"/>
          <w:bCs/>
          <w:sz w:val="32"/>
          <w:szCs w:val="32"/>
        </w:rPr>
        <w:t>（二）事故当事人情况。</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1.稂春姣，女，汉族，34岁，户籍地址衡东县吴集镇秋波村13组，身份证号码43042419901003****，肇事无牌轻便二轮摩托车驾驶人，未取得机动车驾驶证，事发时</w:t>
      </w:r>
      <w:r>
        <w:rPr>
          <w:rFonts w:hint="eastAsia" w:ascii="仿宋_GB2312" w:hAnsi="仿宋_GB2312" w:eastAsia="仿宋" w:cs="仿宋_GB2312"/>
          <w:color w:val="000000"/>
          <w:kern w:val="0"/>
          <w:sz w:val="32"/>
          <w:szCs w:val="32"/>
        </w:rPr>
        <w:t>佩戴了安全头盔</w:t>
      </w:r>
      <w:r>
        <w:rPr>
          <w:rFonts w:hint="eastAsia" w:ascii="仿宋" w:hAnsi="仿宋" w:eastAsia="仿宋" w:cs="Tahoma"/>
          <w:sz w:val="32"/>
          <w:szCs w:val="32"/>
        </w:rPr>
        <w:t>，在该事故中死亡。</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赵雪忠，男，汉族，42岁，户籍地址衡东县吴集镇龙奉村4组，居民身份证号码号码43042419820118****，肇事湘DB5217中型自卸货车所有人，准驾车型“B2E”，初次领证日期2006年11月23日，档案编号：430400138487，近五年内无道路交通事故记录，事发前状态显示为正常。</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3.陈怡念，女，汉族，5岁，户籍地址衡东县吴集镇秋波村13组，居民身份证号码号码43042420191225****，系稂春姣女儿，肇事无牌轻便二轮摩托车同乘人员，事发时未</w:t>
      </w:r>
      <w:r>
        <w:rPr>
          <w:rFonts w:hint="eastAsia" w:ascii="仿宋_GB2312" w:hAnsi="仿宋_GB2312" w:eastAsia="仿宋" w:cs="仿宋_GB2312"/>
          <w:color w:val="000000"/>
          <w:kern w:val="0"/>
          <w:sz w:val="32"/>
          <w:szCs w:val="32"/>
        </w:rPr>
        <w:t>佩戴安全头盔</w:t>
      </w:r>
      <w:r>
        <w:rPr>
          <w:rFonts w:hint="eastAsia" w:ascii="仿宋" w:hAnsi="仿宋" w:eastAsia="仿宋" w:cs="Tahoma"/>
          <w:sz w:val="32"/>
          <w:szCs w:val="32"/>
        </w:rPr>
        <w:t>，在该事故中死亡。</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4.陈怡伊，女，汉族，7岁，户籍地址衡东县吴集镇秋波村13组，居民身份证号码号码43042420170612****，系稂春姣女儿，肇事无牌轻便二轮摩托车同乘人员，事发时未</w:t>
      </w:r>
      <w:r>
        <w:rPr>
          <w:rFonts w:hint="eastAsia" w:ascii="仿宋_GB2312" w:hAnsi="仿宋_GB2312" w:eastAsia="仿宋" w:cs="仿宋_GB2312"/>
          <w:color w:val="000000"/>
          <w:kern w:val="0"/>
          <w:sz w:val="32"/>
          <w:szCs w:val="32"/>
        </w:rPr>
        <w:t>佩戴安全头盔</w:t>
      </w:r>
      <w:r>
        <w:rPr>
          <w:rFonts w:hint="eastAsia" w:ascii="仿宋" w:hAnsi="仿宋" w:eastAsia="仿宋" w:cs="Tahoma"/>
          <w:sz w:val="32"/>
          <w:szCs w:val="32"/>
        </w:rPr>
        <w:t>，在该事故中受伤。</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5.陈怡君，女，汉族，8岁，户籍地址衡东县吴集镇秋波村13组，居民身份证号码号码43042420160222****，系稂春姣女儿，肇事无牌轻便二轮摩托车同乘人员，事发时未</w:t>
      </w:r>
      <w:r>
        <w:rPr>
          <w:rFonts w:hint="eastAsia" w:ascii="仿宋_GB2312" w:hAnsi="仿宋_GB2312" w:eastAsia="仿宋" w:cs="仿宋_GB2312"/>
          <w:color w:val="000000"/>
          <w:kern w:val="0"/>
          <w:sz w:val="32"/>
          <w:szCs w:val="32"/>
        </w:rPr>
        <w:t>佩戴安全头盔</w:t>
      </w:r>
      <w:r>
        <w:rPr>
          <w:rFonts w:hint="eastAsia" w:ascii="仿宋" w:hAnsi="仿宋" w:eastAsia="仿宋" w:cs="Tahoma"/>
          <w:sz w:val="32"/>
          <w:szCs w:val="32"/>
        </w:rPr>
        <w:t>，在该事故中受伤。</w:t>
      </w:r>
    </w:p>
    <w:p>
      <w:pPr>
        <w:spacing w:line="560" w:lineRule="exact"/>
        <w:ind w:firstLine="640" w:firstLineChars="200"/>
        <w:rPr>
          <w:rFonts w:hint="eastAsia" w:ascii="仿宋" w:hAnsi="仿宋" w:eastAsia="仿宋" w:cs="Tahoma"/>
          <w:sz w:val="32"/>
          <w:szCs w:val="32"/>
        </w:rPr>
      </w:pPr>
      <w:r>
        <w:rPr>
          <w:rFonts w:hint="eastAsia" w:eastAsia="楷体_GB2312"/>
          <w:sz w:val="32"/>
          <w:szCs w:val="32"/>
        </w:rPr>
        <w:t>（三）湘DB5217中型自卸货车经营活动情况。</w:t>
      </w:r>
    </w:p>
    <w:p>
      <w:pPr>
        <w:spacing w:line="56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湘DB5217中型自卸货车所有人赵雪忠自2018年7月购买该车辆后，未挂靠相关生产经营单位，日常从事自主经营，主要是从事废旧材料收集销售及承接临时货物运载业务。平时收集的废旧材料集中停放在其家中的临时停放场地，后续联系到对这些废旧材料有需求的客户就直接从该临时停放场地销售外运；平时接到有客户电话需要装载一些货物时，驾驶人赵雪忠就驾驶湘DB5217中型自卸货车承接业务，从事有偿运载经营活动。</w:t>
      </w:r>
    </w:p>
    <w:p>
      <w:pPr>
        <w:spacing w:line="560" w:lineRule="exact"/>
        <w:ind w:firstLine="640" w:firstLineChars="200"/>
        <w:rPr>
          <w:rFonts w:hint="eastAsia" w:ascii="仿宋" w:hAnsi="仿宋" w:eastAsia="楷体" w:cs="仿宋"/>
          <w:sz w:val="32"/>
          <w:szCs w:val="32"/>
        </w:rPr>
      </w:pPr>
      <w:r>
        <w:rPr>
          <w:rFonts w:hint="eastAsia" w:eastAsia="楷体_GB2312"/>
          <w:sz w:val="32"/>
          <w:szCs w:val="32"/>
        </w:rPr>
        <w:t>（四）</w:t>
      </w:r>
      <w:r>
        <w:rPr>
          <w:rFonts w:hint="eastAsia" w:ascii="楷体" w:hAnsi="楷体" w:eastAsia="楷体" w:cs="楷体"/>
          <w:sz w:val="32"/>
          <w:szCs w:val="32"/>
        </w:rPr>
        <w:t>事故道段天气情况。</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经调取当地气象资料：事发地当天晴天，温度、湿度、气压、风速均正常，无恶劣天气现象发生。</w:t>
      </w:r>
    </w:p>
    <w:p>
      <w:pPr>
        <w:adjustRightInd w:val="0"/>
        <w:snapToGrid w:val="0"/>
        <w:spacing w:line="560" w:lineRule="exact"/>
        <w:ind w:firstLine="640" w:firstLineChars="200"/>
        <w:jc w:val="left"/>
        <w:rPr>
          <w:rFonts w:hint="eastAsia" w:eastAsia="楷体_GB2312"/>
          <w:sz w:val="32"/>
          <w:szCs w:val="32"/>
        </w:rPr>
      </w:pPr>
      <w:r>
        <w:rPr>
          <w:rFonts w:hint="eastAsia" w:eastAsia="楷体_GB2312"/>
          <w:sz w:val="32"/>
          <w:szCs w:val="32"/>
        </w:rPr>
        <w:t>（五）事故现场勘查情况。</w:t>
      </w:r>
    </w:p>
    <w:p>
      <w:pPr>
        <w:spacing w:line="56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rPr>
        <w:t>1.道路勘查情况</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事故地点位于</w:t>
      </w:r>
      <w:r>
        <w:rPr>
          <w:rFonts w:hint="eastAsia" w:ascii="仿宋" w:hAnsi="仿宋" w:eastAsia="仿宋" w:cs="Tahoma"/>
          <w:sz w:val="32"/>
          <w:szCs w:val="32"/>
        </w:rPr>
        <w:t>007县道衡东县吴集镇路段（X007线1km+413m）处，正处于吴集镇供电站门口位置，道路北侧是湘DB5217中型自卸货车所有人赵雪忠住房，事故路段呈东西走向，</w:t>
      </w:r>
      <w:r>
        <w:rPr>
          <w:rFonts w:hint="eastAsia" w:ascii="仿宋" w:hAnsi="仿宋" w:eastAsia="仿宋" w:cs="仿宋"/>
          <w:sz w:val="32"/>
          <w:szCs w:val="32"/>
        </w:rPr>
        <w:t>东向北联接洣水镇，西达吴集镇。该道路属机非混合道路，道路全宽920CM，道路中心施划单黄虚线，双向两条平行车道，左右车道各宽410CM，该路段为居民住宅区，距事故现场以东300CM处设有限速30公里/小时标志。道路为水泥路面，路面平、直，视线良好。</w:t>
      </w:r>
    </w:p>
    <w:p>
      <w:pPr>
        <w:adjustRightInd w:val="0"/>
        <w:snapToGrid w:val="0"/>
        <w:spacing w:line="560" w:lineRule="exact"/>
        <w:ind w:firstLine="630" w:firstLineChars="196"/>
        <w:rPr>
          <w:rFonts w:hint="eastAsia" w:ascii="仿宋" w:hAnsi="仿宋" w:eastAsia="仿宋" w:cs="仿宋"/>
          <w:b/>
          <w:sz w:val="32"/>
          <w:szCs w:val="32"/>
        </w:rPr>
      </w:pPr>
      <w:r>
        <w:rPr>
          <w:rFonts w:hint="eastAsia" w:ascii="仿宋" w:hAnsi="仿宋" w:eastAsia="仿宋" w:cs="仿宋"/>
          <w:b/>
          <w:sz w:val="32"/>
          <w:szCs w:val="32"/>
        </w:rPr>
        <w:t>2.肇事车辆勘查情况</w:t>
      </w:r>
    </w:p>
    <w:p>
      <w:pPr>
        <w:adjustRightInd w:val="0"/>
        <w:snapToGrid w:val="0"/>
        <w:spacing w:line="56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（1）湘DB5217中型自卸货车</w:t>
      </w:r>
      <w:r>
        <w:rPr>
          <w:rFonts w:hint="eastAsia" w:ascii="仿宋" w:hAnsi="仿宋" w:eastAsia="仿宋" w:cs="仿宋"/>
          <w:sz w:val="32"/>
          <w:szCs w:val="32"/>
        </w:rPr>
        <w:t>，事发时该货车头朝西尾朝东停驶于道路北侧，正对着湘</w:t>
      </w:r>
      <w:r>
        <w:rPr>
          <w:rFonts w:hint="eastAsia" w:ascii="仿宋" w:hAnsi="仿宋" w:eastAsia="仿宋" w:cs="Tahoma"/>
          <w:sz w:val="32"/>
          <w:szCs w:val="32"/>
        </w:rPr>
        <w:t>DB5217中型自卸货车所有人赵雪忠住房，</w:t>
      </w:r>
      <w:r>
        <w:rPr>
          <w:rFonts w:hint="eastAsia" w:ascii="仿宋" w:hAnsi="仿宋" w:eastAsia="仿宋" w:cs="仿宋"/>
          <w:sz w:val="32"/>
          <w:szCs w:val="32"/>
        </w:rPr>
        <w:t>其右前轮、右后轮距北侧路沿的距离分别为30cm、30cm。车辆货箱内存放一卷废旧钢丝绳，货箱后挡板呈打开状态。</w:t>
      </w:r>
    </w:p>
    <w:p>
      <w:pPr>
        <w:adjustRightInd w:val="0"/>
        <w:snapToGrid w:val="0"/>
        <w:spacing w:line="56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（2）轻便二轮摩托车，</w:t>
      </w:r>
      <w:r>
        <w:rPr>
          <w:rFonts w:hint="eastAsia" w:ascii="仿宋" w:hAnsi="仿宋" w:eastAsia="仿宋" w:cs="仿宋"/>
          <w:sz w:val="32"/>
          <w:szCs w:val="32"/>
        </w:rPr>
        <w:t>事故现场该车辆同向停止于湘DB5217货车货箱尾部左侧下方，其前轮、后轮距北侧路沿的距离分别为220cm、300cm，路面未发现该车辆刹车痕迹。</w:t>
      </w:r>
    </w:p>
    <w:p>
      <w:pPr>
        <w:adjustRightInd w:val="0"/>
        <w:snapToGrid w:val="0"/>
        <w:ind w:firstLine="643" w:firstLineChars="200"/>
        <w:jc w:val="center"/>
        <w:rPr>
          <w:rFonts w:hint="eastAsia" w:ascii="仿宋" w:hAnsi="仿宋" w:eastAsia="仿宋" w:cs="仿宋"/>
          <w:sz w:val="32"/>
          <w:szCs w:val="32"/>
        </w:rPr>
      </w:pPr>
      <w:r>
        <w:rPr>
          <w:rFonts w:eastAsia="楷体_GB2312"/>
          <w:b/>
          <w:sz w:val="32"/>
          <w:szCs w:val="32"/>
        </w:rPr>
        <w:drawing>
          <wp:inline distT="0" distB="0" distL="114300" distR="114300">
            <wp:extent cx="4505325" cy="8006715"/>
            <wp:effectExtent l="0" t="0" r="9525" b="13335"/>
            <wp:docPr id="1" name="图片 4" descr="微信图片_2023101617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微信图片_20231016170450"/>
                    <pic:cNvPicPr>
                      <a:picLocks noChangeAspect="1"/>
                    </pic:cNvPicPr>
                  </pic:nvPicPr>
                  <pic:blipFill>
                    <a:blip r:embed="rId5"/>
                    <a:stretch>
                      <a:fillRect/>
                    </a:stretch>
                  </pic:blipFill>
                  <pic:spPr>
                    <a:xfrm>
                      <a:off x="0" y="0"/>
                      <a:ext cx="4505325" cy="800671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rPr>
      </w:pPr>
      <w:r>
        <w:rPr>
          <w:rFonts w:hint="eastAsia" w:ascii="仿宋" w:hAnsi="仿宋" w:eastAsia="仿宋" w:cs="仿宋"/>
          <w:sz w:val="32"/>
          <w:szCs w:val="32"/>
        </w:rPr>
        <w:t>附图一 事发道路交通现场勘测示意</w:t>
      </w:r>
      <w:r>
        <w:rPr>
          <w:rFonts w:hint="eastAsia" w:ascii="仿宋" w:hAnsi="仿宋" w:eastAsia="仿宋" w:cs="宋体"/>
          <w:color w:val="000000"/>
          <w:kern w:val="0"/>
          <w:sz w:val="28"/>
          <w:szCs w:val="32"/>
        </w:rPr>
        <w:t>图</w:t>
      </w:r>
    </w:p>
    <w:p>
      <w:pPr>
        <w:jc w:val="center"/>
        <w:rPr>
          <w:rFonts w:hint="eastAsia" w:ascii="仿宋" w:hAnsi="仿宋" w:eastAsia="仿宋"/>
          <w:sz w:val="32"/>
          <w:szCs w:val="32"/>
        </w:rPr>
      </w:pPr>
      <w:r>
        <w:rPr>
          <w:rFonts w:eastAsia="楷体_GB2312"/>
          <w:b/>
          <w:sz w:val="32"/>
          <w:szCs w:val="32"/>
        </w:rPr>
        <w:drawing>
          <wp:inline distT="0" distB="0" distL="114300" distR="114300">
            <wp:extent cx="5057140" cy="3794125"/>
            <wp:effectExtent l="0" t="0" r="10160" b="15875"/>
            <wp:docPr id="2" name="图片 5" descr="微信图片_2023101014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微信图片_20231010140801"/>
                    <pic:cNvPicPr>
                      <a:picLocks noChangeAspect="1"/>
                    </pic:cNvPicPr>
                  </pic:nvPicPr>
                  <pic:blipFill>
                    <a:blip r:embed="rId6"/>
                    <a:stretch>
                      <a:fillRect/>
                    </a:stretch>
                  </pic:blipFill>
                  <pic:spPr>
                    <a:xfrm>
                      <a:off x="0" y="0"/>
                      <a:ext cx="5057140" cy="3794125"/>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ascii="仿宋" w:hAnsi="仿宋" w:eastAsia="仿宋" w:cs="仿宋"/>
          <w:sz w:val="32"/>
          <w:szCs w:val="32"/>
        </w:rPr>
      </w:pPr>
      <w:r>
        <w:rPr>
          <w:rFonts w:hint="eastAsia" w:ascii="仿宋" w:hAnsi="仿宋" w:eastAsia="仿宋" w:cs="仿宋"/>
          <w:sz w:val="32"/>
          <w:szCs w:val="32"/>
        </w:rPr>
        <w:t>附图二 肇事货车照片</w:t>
      </w:r>
    </w:p>
    <w:p>
      <w:pPr>
        <w:pStyle w:val="11"/>
        <w:rPr>
          <w:rFonts w:hint="eastAsia"/>
        </w:rPr>
      </w:pPr>
    </w:p>
    <w:p>
      <w:pPr>
        <w:jc w:val="center"/>
        <w:rPr>
          <w:rFonts w:hint="eastAsia" w:ascii="仿宋" w:hAnsi="仿宋" w:eastAsia="仿宋"/>
          <w:sz w:val="32"/>
          <w:szCs w:val="32"/>
        </w:rPr>
      </w:pPr>
      <w:r>
        <w:rPr>
          <w:rFonts w:hint="eastAsia" w:ascii="仿宋" w:hAnsi="仿宋" w:eastAsia="仿宋"/>
          <w:sz w:val="32"/>
          <w:szCs w:val="32"/>
        </w:rPr>
        <w:drawing>
          <wp:inline distT="0" distB="0" distL="114300" distR="114300">
            <wp:extent cx="4898390" cy="3714750"/>
            <wp:effectExtent l="0" t="0" r="16510" b="0"/>
            <wp:docPr id="3" name="图片 6" descr="事故图（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事故图（处理）"/>
                    <pic:cNvPicPr>
                      <a:picLocks noChangeAspect="1"/>
                    </pic:cNvPicPr>
                  </pic:nvPicPr>
                  <pic:blipFill>
                    <a:blip r:embed="rId7"/>
                    <a:stretch>
                      <a:fillRect/>
                    </a:stretch>
                  </pic:blipFill>
                  <pic:spPr>
                    <a:xfrm>
                      <a:off x="0" y="0"/>
                      <a:ext cx="4898390" cy="3714750"/>
                    </a:xfrm>
                    <a:prstGeom prst="rect">
                      <a:avLst/>
                    </a:prstGeom>
                    <a:noFill/>
                    <a:ln>
                      <a:noFill/>
                    </a:ln>
                  </pic:spPr>
                </pic:pic>
              </a:graphicData>
            </a:graphic>
          </wp:inline>
        </w:drawing>
      </w:r>
    </w:p>
    <w:p>
      <w:pPr>
        <w:adjustRightInd w:val="0"/>
        <w:snapToGrid w:val="0"/>
        <w:spacing w:line="500" w:lineRule="exact"/>
        <w:ind w:firstLine="640" w:firstLineChars="200"/>
        <w:jc w:val="center"/>
        <w:rPr>
          <w:rFonts w:hint="eastAsia"/>
        </w:rPr>
      </w:pPr>
      <w:r>
        <w:rPr>
          <w:rFonts w:hint="eastAsia" w:ascii="仿宋" w:hAnsi="仿宋" w:eastAsia="仿宋" w:cs="仿宋"/>
          <w:sz w:val="32"/>
          <w:szCs w:val="32"/>
        </w:rPr>
        <w:t>附图三 事故现场照片</w:t>
      </w:r>
    </w:p>
    <w:p>
      <w:pPr>
        <w:adjustRightInd w:val="0"/>
        <w:snapToGrid w:val="0"/>
        <w:spacing w:line="540" w:lineRule="exact"/>
        <w:ind w:firstLine="645"/>
        <w:rPr>
          <w:rFonts w:hint="eastAsia" w:eastAsia="楷体_GB2312"/>
          <w:sz w:val="32"/>
          <w:szCs w:val="32"/>
        </w:rPr>
      </w:pPr>
      <w:r>
        <w:rPr>
          <w:rFonts w:hint="eastAsia" w:eastAsia="楷体_GB2312"/>
          <w:sz w:val="32"/>
          <w:szCs w:val="32"/>
        </w:rPr>
        <w:t>（六）检验鉴定情况。</w:t>
      </w:r>
    </w:p>
    <w:p>
      <w:pPr>
        <w:spacing w:line="540" w:lineRule="exact"/>
        <w:ind w:firstLine="643" w:firstLineChars="200"/>
        <w:rPr>
          <w:rFonts w:hint="eastAsia" w:ascii="仿宋" w:hAnsi="仿宋" w:eastAsia="仿宋" w:cs="Tahoma"/>
          <w:sz w:val="32"/>
          <w:szCs w:val="32"/>
        </w:rPr>
      </w:pPr>
      <w:r>
        <w:rPr>
          <w:rFonts w:hint="eastAsia" w:ascii="仿宋_GB2312"/>
          <w:b/>
          <w:sz w:val="32"/>
          <w:szCs w:val="32"/>
        </w:rPr>
        <w:t>1.</w:t>
      </w:r>
      <w:r>
        <w:rPr>
          <w:rFonts w:hint="eastAsia" w:ascii="仿宋_GB2312" w:eastAsia="仿宋_GB2312"/>
          <w:b/>
          <w:sz w:val="32"/>
          <w:szCs w:val="32"/>
        </w:rPr>
        <w:t>驾驶人血液乙醇、毒物检测</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①湖南程盛司法鉴定所[2023]毒鉴字第1728号司法鉴定报告意见：送检的赵雪忠血液样品检出乙醇，其含量为小于5mg/100ml，其含量为小于5mg/100ml，低于GA/T842-2019《血液酒精含量的检验方法》定量限，视为未检出乙醇。</w:t>
      </w:r>
    </w:p>
    <w:p>
      <w:pPr>
        <w:spacing w:line="540" w:lineRule="exact"/>
        <w:ind w:firstLine="640" w:firstLineChars="200"/>
        <w:rPr>
          <w:rFonts w:hint="eastAsia" w:ascii="仿宋" w:hAnsi="仿宋" w:eastAsia="仿宋"/>
          <w:color w:val="000000"/>
          <w:sz w:val="32"/>
          <w:szCs w:val="32"/>
        </w:rPr>
      </w:pPr>
      <w:r>
        <w:rPr>
          <w:rFonts w:hint="eastAsia" w:ascii="仿宋" w:hAnsi="仿宋" w:eastAsia="仿宋" w:cs="Tahoma"/>
          <w:sz w:val="32"/>
          <w:szCs w:val="32"/>
        </w:rPr>
        <w:t xml:space="preserve"> ②湖南程盛司法鉴定所[2023]毒鉴字第1729号司法鉴定报告意见：送检的稂春姣血液样品检出乙醇，其含量为小于5mg/100ml，其含量为小于5mg/100ml，低于GA/T842-2019《血液酒精含量的检验方法》定量限，视为未检出乙醇。</w:t>
      </w:r>
    </w:p>
    <w:p>
      <w:pPr>
        <w:spacing w:line="540" w:lineRule="exact"/>
        <w:ind w:firstLine="643" w:firstLineChars="200"/>
        <w:rPr>
          <w:rFonts w:hint="eastAsia" w:ascii="仿宋" w:hAnsi="仿宋" w:eastAsia="仿宋" w:cs="Tahoma"/>
          <w:sz w:val="32"/>
          <w:szCs w:val="32"/>
        </w:rPr>
      </w:pPr>
      <w:r>
        <w:rPr>
          <w:rFonts w:hint="eastAsia" w:ascii="仿宋" w:hAnsi="仿宋" w:eastAsia="仿宋" w:cs="仿宋"/>
          <w:b/>
          <w:bCs/>
          <w:sz w:val="32"/>
          <w:szCs w:val="32"/>
        </w:rPr>
        <w:t>2.死亡人员致死原因鉴定：</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①衡阳市民和司法鉴定所[2023]病鉴字第95号司法鉴定报告意见：被鉴定人稂春姣尸体经检验属交通事故致重型颅脑损伤导致死亡。</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②衡阳市民和司法鉴定所[2023]病鉴字第96号司法鉴定报告意见：被鉴定人陈怡念尸体经检验属交通事故致重型颅脑碾压毁损伤导致死亡。</w:t>
      </w:r>
    </w:p>
    <w:p>
      <w:pPr>
        <w:spacing w:line="540" w:lineRule="exact"/>
        <w:ind w:firstLine="643" w:firstLineChars="200"/>
        <w:rPr>
          <w:rFonts w:hint="eastAsia" w:ascii="仿宋" w:hAnsi="仿宋" w:eastAsia="仿宋" w:cs="Tahoma"/>
          <w:sz w:val="32"/>
          <w:szCs w:val="32"/>
        </w:rPr>
      </w:pPr>
      <w:r>
        <w:rPr>
          <w:rFonts w:hint="eastAsia" w:ascii="楷体" w:hAnsi="楷体" w:eastAsia="楷体" w:cs="楷体"/>
          <w:b/>
          <w:bCs/>
          <w:sz w:val="32"/>
          <w:szCs w:val="32"/>
        </w:rPr>
        <w:t>3.事故车辆车速技术鉴定：</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①湖南锦程司法鉴定中心[2023]痕（交）鉴字第1086号司法鉴定报告意见：2023年4月25日17时31分许，在衡东县吴集镇供电站门口地段的交通事故中，无号牌二轮轻便摩托车（车架号后六位：509261）事故发生时的行驶速度约为28.8km/h（该路段限速30km/h）。</w:t>
      </w:r>
    </w:p>
    <w:p>
      <w:pPr>
        <w:spacing w:line="540" w:lineRule="exact"/>
        <w:ind w:firstLine="640" w:firstLineChars="200"/>
        <w:rPr>
          <w:rFonts w:ascii="仿宋" w:hAnsi="仿宋" w:eastAsia="仿宋" w:cs="Tahoma"/>
          <w:sz w:val="32"/>
          <w:szCs w:val="32"/>
        </w:rPr>
      </w:pPr>
      <w:r>
        <w:rPr>
          <w:rFonts w:hint="eastAsia" w:ascii="仿宋" w:hAnsi="仿宋" w:eastAsia="仿宋" w:cs="Tahoma"/>
          <w:sz w:val="32"/>
          <w:szCs w:val="32"/>
        </w:rPr>
        <w:t xml:space="preserve"> ②湘DB5217中型自卸货车事发时属停驶状态，车速为0km/h。</w:t>
      </w:r>
    </w:p>
    <w:p>
      <w:pPr>
        <w:spacing w:line="540" w:lineRule="exact"/>
        <w:ind w:firstLine="643" w:firstLineChars="200"/>
        <w:rPr>
          <w:rFonts w:hint="eastAsia" w:ascii="仿宋" w:hAnsi="仿宋" w:eastAsia="仿宋" w:cs="Tahoma"/>
          <w:sz w:val="32"/>
          <w:szCs w:val="32"/>
        </w:rPr>
      </w:pPr>
      <w:r>
        <w:rPr>
          <w:rFonts w:hint="eastAsia" w:ascii="楷体" w:hAnsi="楷体" w:eastAsia="楷体" w:cs="楷体"/>
          <w:b/>
          <w:bCs/>
          <w:sz w:val="32"/>
          <w:szCs w:val="32"/>
        </w:rPr>
        <w:t>4.无号牌二轮轻便摩托车机动性能鉴定：</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湖南锦程司法鉴定中心[2023]痕（交）鉴字第1087号司法鉴定意见书：2023年4月25日17时31分许，在衡东县吴集镇供电站门口地段的交通事故中，无号牌二轮电动车（车架号后六位：509261）属于电动二轮轻便摩托车，隶属机动车范畴。</w:t>
      </w:r>
    </w:p>
    <w:p>
      <w:pPr>
        <w:spacing w:line="540" w:lineRule="exact"/>
        <w:ind w:firstLine="640" w:firstLineChars="200"/>
        <w:rPr>
          <w:rFonts w:hint="eastAsia" w:ascii="仿宋" w:hAnsi="仿宋" w:eastAsia="仿宋" w:cs="Tahoma"/>
          <w:sz w:val="32"/>
          <w:szCs w:val="32"/>
        </w:rPr>
      </w:pPr>
      <w:r>
        <w:rPr>
          <w:rFonts w:hint="eastAsia" w:ascii="楷体" w:hAnsi="楷体" w:eastAsia="楷体" w:cs="楷体"/>
          <w:bCs/>
          <w:sz w:val="32"/>
          <w:szCs w:val="32"/>
        </w:rPr>
        <w:t>（七）道路交通事故认定情况。</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衡东县公安局交通警察大队《道路交通事故认定书》第430424120230000026号对007县道衡东县吴集镇路段“4·25”一般道路交通事故的责任作出了以下认定：</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稂春姣未取得机动车驾驶证驾驶加装防风罩的无牌二轮轻便摩托车违规超员上路行驶，操作不当未与前车保持足够安全距离，造成事故，其行为违反了《中华人民共和国道路交通安全法》第八条“国家对机动车实行登记制度。机动车经公安机关交通管理部门登记后，方可上道路行驶。尚未登记的机动车，需要 临时上道路行驶的，应当取得临时通行牌证。”、第十六条第一项“任何单位或者个人不得有下列行为：（一）拼装机动车或者擅自改变机动车已登记的结构、构造或者特征；”、第十九条第一款“驾驶机动车，应当依法取得机动车驾驶证。”、第二十二条第一款“机动车驾驶人应当遵守道路交通安全法律、法规的规定，按照操作规范安全驾驶、文明驾驶。”、第四十三条“同车道行驶的机动车，后车应当与前车保持足以采取紧急制动措施的安全距离。”、第四十九条“机动车载人不得超过核定的人数，客运机动车不得违反规定载货。”、第十七条“国家实行机动车第三者责任强制保险制度，设立道路交通事故社会救助基金。具体办法由国务院规定。”、《中华人民共和国道路交通安全法实施条例》第五十五条第三项“机动车载人应当遵守下列规定（三）摩托车后座不得乘坐未满12周岁的未成年人，轻便摩托车不得载人。”之规定，是造成该事故的主要原因，稂春姣应负该事故的主要责任。</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2.赵雪忠，其行为违反了《中华人民共和国道路交通安全法》第五十六条第二款“在道路上临时停车的，不得妨碍其他车辆和行人通行”之规定，是造成该事故的次要原因，赵雪忠应负该事故的次要责任。</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3.无号牌二轮轻便摩托车同乘人员陈怡念、陈怡伊、陈怡君该事故无责任。</w:t>
      </w:r>
    </w:p>
    <w:p>
      <w:pPr>
        <w:widowControl/>
        <w:spacing w:line="540" w:lineRule="exact"/>
        <w:ind w:firstLine="642"/>
        <w:rPr>
          <w:rFonts w:eastAsia="黑体"/>
          <w:sz w:val="32"/>
          <w:szCs w:val="32"/>
        </w:rPr>
      </w:pPr>
      <w:r>
        <w:rPr>
          <w:rFonts w:hint="eastAsia" w:eastAsia="黑体"/>
          <w:b/>
          <w:bCs/>
          <w:sz w:val="32"/>
          <w:szCs w:val="32"/>
        </w:rPr>
        <w:t>二、事故发生经过及应急处置情况</w:t>
      </w:r>
    </w:p>
    <w:p>
      <w:pPr>
        <w:spacing w:line="540" w:lineRule="exact"/>
        <w:ind w:firstLine="640" w:firstLineChars="200"/>
        <w:rPr>
          <w:rFonts w:hint="eastAsia" w:ascii="仿宋" w:hAnsi="仿宋" w:eastAsia="仿宋" w:cs="Tahoma"/>
          <w:sz w:val="32"/>
          <w:szCs w:val="32"/>
        </w:rPr>
      </w:pPr>
      <w:r>
        <w:rPr>
          <w:rFonts w:hint="eastAsia" w:eastAsia="楷体_GB2312"/>
          <w:sz w:val="32"/>
          <w:szCs w:val="32"/>
        </w:rPr>
        <w:t>（一）事故发生经过。</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2023年04月25日17时25分左右，驾驶人赵雪忠驾驶湘DB5217中型自卸货车从吴集镇办事回到家门口（X007线1KM+413M处），发现其家前坪停有其他车辆后，便驾驶湘DB5217中型自卸货车停放于正对其家门口的道路旁边，随后下车回到家中。17时31分许，驾驶人稂春姣驾驶无牌轻便二轮摩托车携带小女儿陈怡念先后从衡东县武家山小学、衡东县城恒盛小博士幼儿园接女儿陈怡君、陈怡伊回家的途中，自东往西行驶至事发路段时，追尾前方停驶的湘DB5217中型自卸货车，致使轮摩托车前部与货车车尾左侧在公路中线偏右位置相撞，造成稂春姣、陈怡念当场死亡，陈怡伊、陈怡君受伤的道路交通事故。</w:t>
      </w:r>
    </w:p>
    <w:p>
      <w:pPr>
        <w:spacing w:line="540" w:lineRule="exact"/>
        <w:ind w:firstLine="640" w:firstLineChars="200"/>
        <w:rPr>
          <w:rFonts w:hint="eastAsia" w:ascii="仿宋" w:hAnsi="仿宋" w:eastAsia="仿宋" w:cs="Tahoma"/>
          <w:sz w:val="32"/>
          <w:szCs w:val="32"/>
        </w:rPr>
      </w:pPr>
      <w:r>
        <w:rPr>
          <w:rFonts w:hint="eastAsia" w:eastAsia="楷体_GB2312"/>
          <w:sz w:val="32"/>
          <w:szCs w:val="32"/>
        </w:rPr>
        <w:t>（二）道路交通事故接处警情况。</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4月25日17时32分，肇事司机赵雪忠向衡东县公安局110指挥中心事故报警；</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4月25日17时40分，衡东县交警大队事故中队先后向县交警大队大队领导文习彬、大队长罗柯及衡东县应急管理局、衡阳市交警支队电话报告事故情况；</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4月25日18时20分许，衡东县交警大队向衡阳市交警支队、县应急管理局指挥中心书面材料报告现场情况。</w:t>
      </w:r>
    </w:p>
    <w:p>
      <w:pPr>
        <w:spacing w:line="540" w:lineRule="exact"/>
        <w:ind w:firstLine="640" w:firstLineChars="200"/>
        <w:rPr>
          <w:rFonts w:hint="eastAsia" w:ascii="仿宋" w:hAnsi="仿宋" w:eastAsia="仿宋" w:cs="Tahoma"/>
          <w:sz w:val="32"/>
          <w:szCs w:val="32"/>
        </w:rPr>
      </w:pPr>
      <w:r>
        <w:rPr>
          <w:rFonts w:hint="eastAsia" w:eastAsia="楷体_GB2312"/>
          <w:sz w:val="32"/>
          <w:szCs w:val="32"/>
        </w:rPr>
        <w:t>（三）应急处置情况。</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 xml:space="preserve"> 2023年04月25日17时33分许，衡东县公安局110情报指挥中心接到电话报警称：吴集镇供电站门口地段发生事故，有人受伤。110指挥中心立即通知吴集中队的事故值班民警刘国辉、马俊赶赴现场救援，并勘查现场。衡东县交警大队吴集中队、事故中队迅速出动13名民辅警先后赶到现场处置。衡东县交警大队长罗柯接到警情报告后，立即与分管事故领导文习彬以及大队相关部门民警6人赶到现场指挥现场处置。县120急救中心出动救护车三辆、医护人员9人于17时41分许到达现场进行救护；吴集派出所值班民警、辅警共10余人、吴集镇政府工作人员6人及事故地村组干部5人赶到现场协助救援和处置。17时43分许，二名伤员全部由救护车送到衡东县人民医院接受救治，另两名受害者经现场医护人员确诊已经丧失生命体征。19时59分许，市交警支队支队长段正文率领支队事故大队领导一行赶到的现场，在市支队的现场指导和调度下，18时15分，两具死者的遗体由其家属运回家中妥善处理，现场于当日19时30分许撤离并恢复交通畅通。</w:t>
      </w:r>
    </w:p>
    <w:p>
      <w:pPr>
        <w:widowControl/>
        <w:spacing w:line="540" w:lineRule="exact"/>
        <w:ind w:firstLine="640" w:firstLineChars="200"/>
        <w:jc w:val="left"/>
        <w:rPr>
          <w:rFonts w:hint="eastAsia" w:ascii="黑体" w:hAnsi="黑体" w:eastAsia="黑体" w:cs="仿宋_GB2312"/>
          <w:color w:val="000000"/>
          <w:kern w:val="0"/>
          <w:sz w:val="32"/>
          <w:szCs w:val="32"/>
        </w:rPr>
      </w:pPr>
      <w:r>
        <w:rPr>
          <w:rFonts w:hint="eastAsia" w:ascii="黑体" w:hAnsi="黑体" w:eastAsia="黑体" w:cs="仿宋_GB2312"/>
          <w:color w:val="000000"/>
          <w:kern w:val="0"/>
          <w:sz w:val="32"/>
          <w:szCs w:val="32"/>
        </w:rPr>
        <w:t>三、事故原因及性质</w:t>
      </w:r>
    </w:p>
    <w:p>
      <w:pPr>
        <w:spacing w:line="540" w:lineRule="exact"/>
        <w:ind w:firstLine="640" w:firstLineChars="200"/>
        <w:rPr>
          <w:rFonts w:hint="eastAsia" w:ascii="仿宋" w:hAnsi="仿宋" w:eastAsia="楷体_GB2312" w:cs="Tahoma"/>
          <w:sz w:val="32"/>
          <w:szCs w:val="32"/>
        </w:rPr>
      </w:pPr>
      <w:r>
        <w:rPr>
          <w:rFonts w:hint="eastAsia" w:eastAsia="楷体_GB2312"/>
          <w:sz w:val="32"/>
          <w:szCs w:val="32"/>
        </w:rPr>
        <w:t>（一）直接原因。</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驾驶人稂春姣无证驾驶无牌轻便二轮摩托车，违法超员载人上道行驶，驾车行驶操作不当，未与前车保持足够安全距离，且湘DB5217中型自卸货车所有人赵雪忠违法在道路上停车，妨碍道路正常通行，导致事故的发生。</w:t>
      </w:r>
    </w:p>
    <w:p>
      <w:pPr>
        <w:spacing w:line="540" w:lineRule="exact"/>
        <w:ind w:firstLine="640" w:firstLineChars="200"/>
        <w:rPr>
          <w:rFonts w:hint="eastAsia" w:ascii="仿宋" w:hAnsi="仿宋" w:eastAsia="楷体_GB2312" w:cs="Tahoma"/>
          <w:sz w:val="32"/>
          <w:szCs w:val="32"/>
        </w:rPr>
      </w:pPr>
      <w:r>
        <w:rPr>
          <w:rFonts w:hint="eastAsia" w:eastAsia="楷体_GB2312"/>
          <w:sz w:val="32"/>
          <w:szCs w:val="32"/>
        </w:rPr>
        <w:t>（二）间接原因。</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1.吴集镇党委、政府属地监管责任落实不到位。对辖区内道路交通隐患整治不力，道路交通管理混乱，车辆随意占道停靠交通隐患长期存在。</w:t>
      </w:r>
    </w:p>
    <w:p>
      <w:pPr>
        <w:spacing w:line="540" w:lineRule="exact"/>
        <w:ind w:firstLine="640" w:firstLineChars="200"/>
        <w:rPr>
          <w:rFonts w:hint="eastAsia" w:ascii="仿宋" w:hAnsi="仿宋" w:eastAsia="仿宋" w:cs="Tahoma"/>
          <w:spacing w:val="-4"/>
          <w:sz w:val="32"/>
          <w:szCs w:val="32"/>
        </w:rPr>
      </w:pPr>
      <w:r>
        <w:rPr>
          <w:rFonts w:hint="eastAsia" w:ascii="仿宋" w:hAnsi="仿宋" w:eastAsia="仿宋" w:cs="Tahoma"/>
          <w:sz w:val="32"/>
          <w:szCs w:val="32"/>
        </w:rPr>
        <w:t>2.</w:t>
      </w:r>
      <w:r>
        <w:rPr>
          <w:rFonts w:hint="eastAsia" w:ascii="仿宋" w:hAnsi="仿宋" w:eastAsia="仿宋" w:cs="Tahoma"/>
          <w:spacing w:val="-4"/>
          <w:sz w:val="32"/>
          <w:szCs w:val="32"/>
        </w:rPr>
        <w:t>吴集镇交通劝导不到位，对无牌照摩托车上路行驶的情况未及时得到劝阻。该单位2023年3月19日摸排全镇在籍摩托车的情况显示，全镇在籍共282辆摩托车，其中有牌照的66辆，办理牌照率仅23.4%，对在籍摩托车驾驶人的持证情况未开展排查。</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3.衡东县公安局交通警察大队道路交通安全管理不力。未加强辖区道路安全巡查，事发当天负责事故路段道路安全巡查人员未及时排查和消除车辆随意占道停靠隐患，机动车辆违法占道停车隐患整治不力。</w:t>
      </w:r>
    </w:p>
    <w:p>
      <w:pPr>
        <w:spacing w:line="540" w:lineRule="exact"/>
        <w:ind w:firstLine="640" w:firstLineChars="200"/>
        <w:rPr>
          <w:rFonts w:ascii="仿宋" w:hAnsi="仿宋" w:eastAsia="仿宋" w:cs="Tahoma"/>
          <w:sz w:val="32"/>
          <w:szCs w:val="32"/>
        </w:rPr>
      </w:pPr>
      <w:r>
        <w:rPr>
          <w:rFonts w:hint="eastAsia" w:ascii="仿宋" w:hAnsi="仿宋" w:eastAsia="仿宋" w:cs="Tahoma"/>
          <w:sz w:val="32"/>
          <w:szCs w:val="32"/>
        </w:rPr>
        <w:t>4.吴集镇党委、政府和衡东县公安局交通警察大队交通安全宣传不到位。辖区内机动车辆驾驶人安全意识薄弱，自觉遵守道路交通秩序意识不强，车辆占道停车、摩托车无牌无证无盔、超员载人等现象时有发生，有待进一步加强道路交通秩序管理，切实消除道路交通安全隐患，确保道路交通安全。</w:t>
      </w:r>
    </w:p>
    <w:p>
      <w:pPr>
        <w:spacing w:line="540" w:lineRule="exact"/>
        <w:ind w:firstLine="640" w:firstLineChars="200"/>
        <w:rPr>
          <w:rFonts w:hint="eastAsia" w:ascii="仿宋" w:hAnsi="仿宋" w:eastAsia="仿宋" w:cs="Tahoma"/>
          <w:sz w:val="32"/>
          <w:szCs w:val="32"/>
        </w:rPr>
      </w:pPr>
      <w:r>
        <w:rPr>
          <w:rFonts w:hint="eastAsia" w:ascii="楷体" w:hAnsi="楷体" w:eastAsia="楷体" w:cs="仿宋"/>
          <w:sz w:val="32"/>
          <w:szCs w:val="32"/>
        </w:rPr>
        <w:t>（三）事故性质。</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007县道衡东县吴集镇路段“4·25”一般道路交通事故是一起生产安全责任事故。</w:t>
      </w:r>
    </w:p>
    <w:p>
      <w:pPr>
        <w:tabs>
          <w:tab w:val="right" w:leader="dot" w:pos="8730"/>
        </w:tabs>
        <w:spacing w:line="540" w:lineRule="exact"/>
        <w:ind w:firstLine="640" w:firstLineChars="200"/>
        <w:rPr>
          <w:rFonts w:hint="eastAsia" w:eastAsia="黑体"/>
          <w:color w:val="000000"/>
          <w:sz w:val="30"/>
          <w:szCs w:val="30"/>
        </w:rPr>
      </w:pPr>
      <w:r>
        <w:rPr>
          <w:rFonts w:hint="eastAsia" w:eastAsia="黑体"/>
          <w:bCs/>
          <w:sz w:val="32"/>
          <w:szCs w:val="32"/>
        </w:rPr>
        <w:t>四、</w:t>
      </w:r>
      <w:r>
        <w:rPr>
          <w:rFonts w:hint="eastAsia" w:eastAsia="黑体"/>
          <w:color w:val="000000"/>
          <w:sz w:val="30"/>
          <w:szCs w:val="30"/>
        </w:rPr>
        <w:t xml:space="preserve">对事故相关责任人员和责任单位的处理建议  </w:t>
      </w:r>
    </w:p>
    <w:p>
      <w:pPr>
        <w:spacing w:line="540" w:lineRule="exact"/>
        <w:ind w:firstLine="600" w:firstLineChars="200"/>
        <w:rPr>
          <w:rFonts w:hint="eastAsia" w:ascii="仿宋" w:hAnsi="仿宋" w:eastAsia="仿宋" w:cs="Tahoma"/>
          <w:sz w:val="32"/>
          <w:szCs w:val="32"/>
        </w:rPr>
      </w:pPr>
      <w:r>
        <w:rPr>
          <w:rFonts w:eastAsia="楷体"/>
          <w:color w:val="000000"/>
          <w:sz w:val="30"/>
          <w:szCs w:val="30"/>
        </w:rPr>
        <w:t>（一）</w:t>
      </w:r>
      <w:r>
        <w:rPr>
          <w:rFonts w:hint="eastAsia" w:ascii="方正楷体_GBK" w:hAnsi="方正楷体_GBK" w:eastAsia="方正楷体_GBK" w:cs="方正楷体_GBK"/>
          <w:sz w:val="32"/>
          <w:szCs w:val="32"/>
        </w:rPr>
        <w:t>建议免于追究责任人员（1人）。</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稂春姣，女，34岁，衡东县吴集镇秋波村13组人，无牌轻便二轮摩托车驾驶人，无证驾驶机动车，违法超员载人上道行驶，驾车行驶操作不当，未与前车保持足够安全距离，应负该事故的直接责任，因其在此次事故中死亡，建议不予追究责任。</w:t>
      </w:r>
    </w:p>
    <w:p>
      <w:pPr>
        <w:spacing w:line="540" w:lineRule="exact"/>
        <w:ind w:firstLine="600" w:firstLineChars="200"/>
        <w:rPr>
          <w:rFonts w:hint="eastAsia" w:ascii="仿宋" w:hAnsi="仿宋" w:eastAsia="仿宋" w:cs="Tahoma"/>
          <w:sz w:val="32"/>
          <w:szCs w:val="32"/>
        </w:rPr>
      </w:pPr>
      <w:r>
        <w:rPr>
          <w:rFonts w:hint="eastAsia" w:eastAsia="楷体"/>
          <w:color w:val="000000"/>
          <w:sz w:val="30"/>
          <w:szCs w:val="30"/>
        </w:rPr>
        <w:t>（二）建议予以追责问责的人员（2人）。</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罗爱文，男，51岁，政治面貌群众，吴集镇交管站站长，未严格落实“两站两员”人员职责，组织开展整治辖区无牌无证摩托车、电动车力度不够，道路交通安全宣传不到位，对事故发生应负重要管理责任。建议由衡东县纪委监委对其进行追责。</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刘国辉，男，49岁，中共党员，现任吴集镇交警中队副中队长，事发当天负责事故路段道路安全巡查，道路安全隐患排查和道路交通安全宣传不到位，机动车辆违法占道停车隐患整治不力，对事故发生应负重要管理责任。建议由衡东县纪委监委对其进行追责。</w:t>
      </w:r>
    </w:p>
    <w:p>
      <w:pPr>
        <w:spacing w:line="540" w:lineRule="exact"/>
        <w:ind w:firstLine="600" w:firstLineChars="200"/>
        <w:rPr>
          <w:rFonts w:ascii="仿宋" w:hAnsi="仿宋" w:eastAsia="仿宋" w:cs="Tahoma"/>
          <w:sz w:val="32"/>
          <w:szCs w:val="32"/>
        </w:rPr>
      </w:pPr>
      <w:r>
        <w:rPr>
          <w:rFonts w:hint="eastAsia" w:eastAsia="楷体"/>
          <w:color w:val="000000"/>
          <w:sz w:val="30"/>
          <w:szCs w:val="30"/>
        </w:rPr>
        <w:t>（三）建议予以组织处理的人员（4人）。</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1.文尚志，男，61岁，中共党员，吴集镇龙奉村党支部书记，组织开展整治辖区无牌无证摩托车、电动车力度不力，道路交通安全宣传不到位，对事故发生应负重要领导责任。建议由吴集镇党委对其进行诫勉谈话。</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2.黄溥，男，31岁，中共党员，吴集镇副镇长，分管道路交通、林业、农业、发改等工作，吴集镇道路交通安全管理主要负责人，组织开展整治辖区无牌无证摩托车、电动车力度不力，道路安全隐患排查不到位，对事故发生应负重要领导责任。建议由吴集镇党委对其进行诫勉谈话。</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3.文辉，男，47岁，中共党员，吴集镇交警中队中队长，负责中队全面工作，检查督导辖区道路安全工作不到位，组织开展整治辖区无牌无证摩托车、电动车力度及机动车辆违法占道停车整治不力，对事故发生应负重要领导责任。建议由衡东县交警大队党总支对其进行诫勉谈话。</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4.谭星华，男，49岁，中共党员，衡东县交警大队副大队长，分管安全生产、车辆上户和驾驶人员考试工作，联系吴集交警中队，组织开展整治辖区无牌无证摩托车、电动车力度及机动车辆违法占道停车整治不力，对事故发生应负重要领导责任。建议由衡东县交警大队党总支对其进行诫勉谈话。</w:t>
      </w:r>
    </w:p>
    <w:p>
      <w:pPr>
        <w:spacing w:line="540"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（四）建议行政处罚的人员。</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赵雪忠，男，汉族，42岁，衡东县吴集镇龙奉村4组人，肇事湘DB5217中型自卸货车所有人，驾驶湘DB5217中型自卸货车违法在道路上停车，妨碍道路正常通行，应负该事故的直接责任。建议由衡东县交警大队对其依法予以行政处罚。</w:t>
      </w:r>
    </w:p>
    <w:p>
      <w:pPr>
        <w:spacing w:line="540" w:lineRule="exact"/>
        <w:ind w:firstLine="640" w:firstLineChars="200"/>
        <w:rPr>
          <w:rFonts w:hint="eastAsia" w:ascii="仿宋" w:hAnsi="仿宋" w:eastAsia="仿宋" w:cs="Tahoma"/>
          <w:sz w:val="32"/>
          <w:szCs w:val="32"/>
        </w:rPr>
      </w:pPr>
      <w:r>
        <w:rPr>
          <w:rFonts w:hint="eastAsia" w:ascii="黑体" w:hAnsi="黑体" w:eastAsia="黑体" w:cs="仿宋"/>
          <w:sz w:val="32"/>
          <w:szCs w:val="32"/>
        </w:rPr>
        <w:t>五、</w:t>
      </w:r>
      <w:r>
        <w:rPr>
          <w:rFonts w:hint="eastAsia" w:ascii="黑体" w:hAnsi="黑体" w:eastAsia="黑体" w:cs="仿宋_GB2312"/>
          <w:bCs/>
          <w:color w:val="000000"/>
          <w:kern w:val="0"/>
          <w:sz w:val="32"/>
          <w:szCs w:val="32"/>
        </w:rPr>
        <w:t>事故防范和整改措施建议</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为认真汲取事故教训，举一反三，采取措施，加强道路交通安全管理工作，防止同类事故的重复发生。事故调查组管理小组结合本次事故暴露出来的问题，提出事故防范措施建议如下：</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一）牢固树立安全发展理念。事故相关单位要认真总结和汲取事故教训，举一反三，加强对人、车、路、企的安全管理和监督检查，始终把安全生产工作摆在突出重要位置，要加大交通安全宣传、劝导力度，不断提高道路交通安全管理水平，坚决防范和遏制类似事故发生。</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二）筑牢道路交通安全防线。按照“政府牵头、乡镇为主、部门协调、社会联运、齐抓共管、综合治理”的原则。乡镇政府（街道办事处）要牵头落实各项交通安全工作措施，督促辖区村（居）委会定期开展交通安全宣传，组织农村地区“两站两员”“一村一辅警”和劝导站工作人员常态化开展交通违法劝导工作，严格落实交通安全“七必上”（即重要节假日、学生上下学、赶场赶集、早晚出行高峰、红白喜事、民俗活动、冰雪等恶劣天气时段必须上岗开展交通安全劝导）。交通管理部门要加大对道路巡查和管控力度，对无证驾驶、超载超限、超速行驶、违规停车等违法违规行为的打击处理力度。</w:t>
      </w:r>
    </w:p>
    <w:p>
      <w:pPr>
        <w:spacing w:line="540" w:lineRule="exact"/>
        <w:ind w:firstLine="640" w:firstLineChars="200"/>
        <w:rPr>
          <w:rFonts w:ascii="仿宋" w:hAnsi="仿宋" w:eastAsia="仿宋" w:cs="Tahoma"/>
          <w:sz w:val="32"/>
          <w:szCs w:val="32"/>
        </w:rPr>
      </w:pPr>
      <w:r>
        <w:rPr>
          <w:rFonts w:hint="eastAsia" w:ascii="仿宋" w:hAnsi="仿宋" w:eastAsia="仿宋" w:cs="Tahoma"/>
          <w:sz w:val="32"/>
          <w:szCs w:val="32"/>
        </w:rPr>
        <w:t>（三）县教育部门要督促学校加强学生上下学交通安全的劝导工作。事故的教训十分深刻，从中反应出学校在开展交通安全教育和劝导方面存在的不足，尤其在学生搭乘摩托车上下学的安全教育和劝导方面存在诸多问题。经查《衡东县武家山学校学生上下学接送交接制度》以及该校开展交通安全宣讲活动、交通安全教育活动班会课相关资料，其中均没有对学生搭乘摩托车上下学提出相关要求，未对学生搭乘摩托车上下学开展专题安全教育，对学生搭乘摩托车的安全风险意识不强。教育部门应针对事故暴露出的问题，举一反三，督促学校切实开展道路安全教育，对全县学校学生上下学乘车现状大摸底、大排查，发现问题及时整改，经常性的组织开展道路交通安全专题教育课，全方位提升道路交通安全意识，加大学生搭乘摩托车上下学的劝导工作，防止学生违规搭车上下学，严防类似事故的发生。</w:t>
      </w:r>
    </w:p>
    <w:p>
      <w:pPr>
        <w:spacing w:line="540" w:lineRule="exact"/>
        <w:ind w:firstLine="608" w:firstLineChars="200"/>
        <w:rPr>
          <w:rFonts w:hint="eastAsia" w:ascii="仿宋" w:hAnsi="仿宋" w:eastAsia="仿宋" w:cs="Tahoma"/>
          <w:spacing w:val="-8"/>
          <w:sz w:val="32"/>
          <w:szCs w:val="32"/>
        </w:rPr>
      </w:pPr>
      <w:r>
        <w:rPr>
          <w:rFonts w:hint="eastAsia" w:ascii="仿宋" w:hAnsi="仿宋" w:eastAsia="仿宋" w:cs="Tahoma"/>
          <w:spacing w:val="-8"/>
          <w:sz w:val="32"/>
          <w:szCs w:val="32"/>
        </w:rPr>
        <w:t>（四）加强交通安全宣传教育。要健全完善农村道路交通安全宣传教育体系和网格化宣传模式，充分发挥网格系统、网格员作用，定期发布交通安全提示信息与宣传资料，开展交通安全宣传“敲门行动”。公安交警、交通运输、教育、司法、宣传等部门要结合“三下乡”、文明创建、乡村振兴、普法宣传、学生安全等工作，针对运输企业法定代表人和安全管理负责人、营运车辆驾驶人、“一老一小”等重点群体开展“点对点”“面对面”的精准宣传。提高广大人民群众的法制观念和安全意识，养成良好的文明安全交通习惯，从根本上有效地预防和控制交通事故的发生。</w:t>
      </w:r>
    </w:p>
    <w:p>
      <w:pPr>
        <w:pStyle w:val="3"/>
        <w:spacing w:after="0" w:line="540" w:lineRule="exact"/>
        <w:ind w:firstLine="640" w:firstLineChars="200"/>
        <w:rPr>
          <w:rFonts w:hint="eastAsia" w:eastAsia="仿宋_GB2312"/>
          <w:sz w:val="32"/>
          <w:szCs w:val="32"/>
        </w:rPr>
      </w:pPr>
      <w:r>
        <w:rPr>
          <w:rFonts w:hint="eastAsia" w:eastAsia="仿宋_GB2312"/>
          <w:sz w:val="32"/>
          <w:szCs w:val="32"/>
        </w:rPr>
        <w:t>有关单位应当自接到事故调查报告及批复的60日内，将有关责任人员处理、事故防范和整改措施的落实情况书面报送衡阳市应急管理局。</w:t>
      </w:r>
    </w:p>
    <w:p>
      <w:pPr>
        <w:spacing w:line="540" w:lineRule="exact"/>
        <w:ind w:firstLine="640" w:firstLineChars="200"/>
        <w:rPr>
          <w:rFonts w:hint="eastAsia" w:ascii="仿宋" w:hAnsi="仿宋" w:eastAsia="仿宋" w:cs="Tahoma"/>
          <w:sz w:val="32"/>
          <w:szCs w:val="32"/>
        </w:rPr>
      </w:pPr>
    </w:p>
    <w:p>
      <w:pPr>
        <w:spacing w:line="540" w:lineRule="exact"/>
        <w:ind w:left="1918" w:leftChars="304" w:hanging="1280" w:hangingChars="400"/>
        <w:rPr>
          <w:rFonts w:hint="eastAsia" w:ascii="仿宋" w:hAnsi="仿宋" w:eastAsia="仿宋" w:cs="Tahoma"/>
          <w:sz w:val="32"/>
          <w:szCs w:val="32"/>
        </w:rPr>
      </w:pPr>
      <w:r>
        <w:rPr>
          <w:rFonts w:hint="eastAsia" w:ascii="仿宋" w:hAnsi="仿宋" w:eastAsia="仿宋" w:cs="Tahoma"/>
          <w:sz w:val="32"/>
          <w:szCs w:val="32"/>
        </w:rPr>
        <w:t>附件：1.007县道衡东县吴集镇路段“4·25”一般道路交通事故直接经济损失明细表</w:t>
      </w:r>
    </w:p>
    <w:p>
      <w:pPr>
        <w:spacing w:line="540" w:lineRule="exact"/>
        <w:ind w:left="1918" w:leftChars="304" w:hanging="1280" w:hangingChars="400"/>
        <w:rPr>
          <w:rFonts w:hint="eastAsia" w:ascii="仿宋" w:hAnsi="仿宋" w:eastAsia="仿宋" w:cs="Tahoma"/>
          <w:sz w:val="32"/>
          <w:szCs w:val="32"/>
        </w:rPr>
      </w:pPr>
      <w:r>
        <w:rPr>
          <w:rFonts w:hint="eastAsia" w:ascii="仿宋" w:hAnsi="仿宋" w:eastAsia="仿宋" w:cs="Tahoma"/>
          <w:sz w:val="32"/>
          <w:szCs w:val="32"/>
        </w:rPr>
        <w:t xml:space="preserve">      2.007县道衡东县吴集镇路段“4·25”一般道路交通事故伤亡人员基本情况表</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 xml:space="preserve">               </w:t>
      </w:r>
    </w:p>
    <w:p>
      <w:pPr>
        <w:spacing w:line="540" w:lineRule="exact"/>
        <w:ind w:firstLine="640" w:firstLineChars="200"/>
        <w:rPr>
          <w:rFonts w:ascii="仿宋" w:hAnsi="仿宋" w:eastAsia="仿宋" w:cs="Tahoma"/>
          <w:sz w:val="32"/>
          <w:szCs w:val="32"/>
        </w:rPr>
      </w:pPr>
      <w:r>
        <w:rPr>
          <w:rFonts w:hint="eastAsia" w:ascii="仿宋" w:hAnsi="仿宋" w:eastAsia="仿宋" w:cs="Tahoma"/>
          <w:sz w:val="32"/>
          <w:szCs w:val="32"/>
        </w:rPr>
        <w:t xml:space="preserve">              </w:t>
      </w:r>
    </w:p>
    <w:p>
      <w:pPr>
        <w:spacing w:line="540" w:lineRule="exact"/>
        <w:ind w:firstLine="640" w:firstLineChars="200"/>
        <w:rPr>
          <w:rFonts w:hint="eastAsia" w:ascii="仿宋" w:hAnsi="仿宋" w:eastAsia="仿宋" w:cs="Tahoma"/>
          <w:sz w:val="32"/>
          <w:szCs w:val="32"/>
        </w:rPr>
      </w:pPr>
      <w:r>
        <w:rPr>
          <w:rFonts w:hint="eastAsia" w:ascii="仿宋" w:hAnsi="仿宋" w:eastAsia="仿宋" w:cs="Tahoma"/>
          <w:sz w:val="32"/>
          <w:szCs w:val="32"/>
        </w:rPr>
        <w:t xml:space="preserve">    </w:t>
      </w:r>
    </w:p>
    <w:p>
      <w:pPr>
        <w:widowControl/>
        <w:spacing w:line="540" w:lineRule="exact"/>
        <w:jc w:val="center"/>
        <w:outlineLvl w:val="1"/>
        <w:rPr>
          <w:rFonts w:hint="eastAsia" w:ascii="仿宋_GB2312" w:hAnsi="Calibri" w:eastAsia="仿宋_GB2312"/>
          <w:sz w:val="32"/>
          <w:szCs w:val="52"/>
        </w:rPr>
      </w:pPr>
      <w:r>
        <w:rPr>
          <w:rFonts w:hint="eastAsia" w:eastAsia="仿宋_GB2312"/>
          <w:kern w:val="0"/>
          <w:sz w:val="32"/>
          <w:szCs w:val="32"/>
        </w:rPr>
        <w:t xml:space="preserve">                </w:t>
      </w:r>
      <w:r>
        <w:rPr>
          <w:rFonts w:hint="eastAsia" w:ascii="仿宋_GB2312" w:hAnsi="Calibri" w:eastAsia="仿宋_GB2312"/>
          <w:sz w:val="32"/>
          <w:szCs w:val="52"/>
        </w:rPr>
        <w:t>007县道衡东县吴集镇路段“4·25”</w:t>
      </w:r>
    </w:p>
    <w:p>
      <w:pPr>
        <w:spacing w:line="540" w:lineRule="exact"/>
        <w:jc w:val="center"/>
        <w:rPr>
          <w:rFonts w:hint="eastAsia" w:eastAsia="仿宋_GB2312"/>
          <w:kern w:val="0"/>
          <w:sz w:val="32"/>
          <w:szCs w:val="32"/>
        </w:rPr>
      </w:pPr>
      <w:r>
        <w:rPr>
          <w:rFonts w:hint="eastAsia" w:ascii="仿宋_GB2312" w:hAnsi="Calibri" w:eastAsia="仿宋_GB2312"/>
          <w:sz w:val="32"/>
          <w:szCs w:val="52"/>
        </w:rPr>
        <w:t xml:space="preserve">              一般道路交通事故</w:t>
      </w:r>
      <w:r>
        <w:rPr>
          <w:rFonts w:hint="eastAsia" w:eastAsia="仿宋_GB2312"/>
          <w:sz w:val="32"/>
          <w:szCs w:val="32"/>
        </w:rPr>
        <w:t>调查组</w:t>
      </w:r>
    </w:p>
    <w:p>
      <w:pPr>
        <w:spacing w:line="540" w:lineRule="exact"/>
        <w:jc w:val="center"/>
        <w:rPr>
          <w:rFonts w:hint="eastAsia" w:eastAsia="仿宋_GB2312"/>
          <w:kern w:val="0"/>
          <w:sz w:val="32"/>
          <w:szCs w:val="32"/>
        </w:rPr>
      </w:pPr>
      <w:r>
        <w:rPr>
          <w:rFonts w:hint="eastAsia" w:eastAsia="仿宋_GB2312"/>
          <w:kern w:val="0"/>
          <w:sz w:val="32"/>
          <w:szCs w:val="32"/>
        </w:rPr>
        <w:t xml:space="preserve">               （衡阳市应急管理局代公章）</w:t>
      </w:r>
    </w:p>
    <w:p>
      <w:pPr>
        <w:spacing w:line="540" w:lineRule="exact"/>
        <w:ind w:firstLine="640" w:firstLineChars="200"/>
        <w:rPr>
          <w:rFonts w:hint="eastAsia" w:eastAsia="仿宋_GB2312"/>
          <w:sz w:val="32"/>
          <w:szCs w:val="32"/>
        </w:rPr>
      </w:pPr>
      <w:r>
        <w:rPr>
          <w:rFonts w:hint="eastAsia" w:eastAsia="仿宋_GB2312"/>
          <w:sz w:val="32"/>
          <w:szCs w:val="32"/>
        </w:rPr>
        <w:t xml:space="preserve">                        2023年11月2日</w:t>
      </w:r>
    </w:p>
    <w:p>
      <w:pPr>
        <w:spacing w:line="500" w:lineRule="exact"/>
        <w:rPr>
          <w:rFonts w:hint="eastAsia" w:ascii="黑体" w:hAnsi="黑体" w:eastAsia="黑体" w:cs="仿宋"/>
          <w:sz w:val="32"/>
          <w:szCs w:val="32"/>
        </w:rPr>
      </w:pPr>
      <w:r>
        <w:rPr>
          <w:rFonts w:ascii="黑体" w:hAnsi="黑体" w:eastAsia="黑体" w:cs="仿宋"/>
          <w:sz w:val="32"/>
          <w:szCs w:val="32"/>
        </w:rPr>
        <w:br w:type="page"/>
      </w:r>
      <w:r>
        <w:rPr>
          <w:rFonts w:hint="eastAsia" w:ascii="黑体" w:hAnsi="黑体" w:eastAsia="黑体" w:cs="仿宋"/>
          <w:sz w:val="32"/>
          <w:szCs w:val="32"/>
        </w:rPr>
        <w:t>附件：</w:t>
      </w: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（一）直接经济损失明细表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3417"/>
        <w:gridCol w:w="217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序号</w:t>
            </w: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项目名称</w:t>
            </w:r>
          </w:p>
        </w:tc>
        <w:tc>
          <w:tcPr>
            <w:tcW w:w="2175"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费用（万元）</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1</w:t>
            </w: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一次性死亡补助金</w:t>
            </w: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198.7</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2</w:t>
            </w: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丧葬费</w:t>
            </w: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30.1</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3</w:t>
            </w: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财产损失</w:t>
            </w: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0.2</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3417"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c>
          <w:tcPr>
            <w:tcW w:w="2175"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238"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3417"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p>
        </w:tc>
        <w:tc>
          <w:tcPr>
            <w:tcW w:w="2175"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655" w:type="dxa"/>
            <w:gridSpan w:val="2"/>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r>
              <w:rPr>
                <w:rFonts w:hint="eastAsia" w:ascii="仿宋_GB2312" w:hAnsi="仿宋_GB2312" w:eastAsia="仿宋_GB2312" w:cs="仿宋_GB2312"/>
                <w:b w:val="0"/>
                <w:bCs/>
                <w:sz w:val="24"/>
              </w:rPr>
              <w:t>合    计</w:t>
            </w:r>
          </w:p>
        </w:tc>
        <w:tc>
          <w:tcPr>
            <w:tcW w:w="2175" w:type="dxa"/>
            <w:shd w:val="clear" w:color="auto" w:fill="auto"/>
            <w:noWrap w:val="0"/>
            <w:vAlign w:val="center"/>
          </w:tcPr>
          <w:p>
            <w:pPr>
              <w:pStyle w:val="2"/>
              <w:spacing w:line="260" w:lineRule="exact"/>
              <w:jc w:val="center"/>
              <w:outlineLvl w:val="2"/>
              <w:rPr>
                <w:rFonts w:ascii="仿宋_GB2312" w:hAnsi="仿宋_GB2312" w:eastAsia="仿宋_GB2312" w:cs="仿宋_GB2312"/>
                <w:b w:val="0"/>
                <w:bCs/>
                <w:sz w:val="24"/>
              </w:rPr>
            </w:pPr>
            <w:r>
              <w:rPr>
                <w:rFonts w:hint="eastAsia" w:ascii="仿宋_GB2312" w:hAnsi="仿宋_GB2312" w:eastAsia="仿宋_GB2312" w:cs="仿宋_GB2312"/>
                <w:b w:val="0"/>
                <w:bCs/>
                <w:sz w:val="24"/>
              </w:rPr>
              <w:t>229</w:t>
            </w:r>
          </w:p>
        </w:tc>
        <w:tc>
          <w:tcPr>
            <w:tcW w:w="1408" w:type="dxa"/>
            <w:shd w:val="clear" w:color="auto" w:fill="auto"/>
            <w:noWrap w:val="0"/>
            <w:vAlign w:val="center"/>
          </w:tcPr>
          <w:p>
            <w:pPr>
              <w:pStyle w:val="2"/>
              <w:spacing w:line="260" w:lineRule="exact"/>
              <w:jc w:val="center"/>
              <w:outlineLvl w:val="2"/>
              <w:rPr>
                <w:rFonts w:hint="eastAsia" w:ascii="仿宋_GB2312" w:hAnsi="仿宋_GB2312" w:eastAsia="仿宋_GB2312" w:cs="仿宋_GB2312"/>
                <w:b w:val="0"/>
                <w:bCs/>
                <w:sz w:val="24"/>
              </w:rPr>
            </w:pPr>
          </w:p>
        </w:tc>
      </w:tr>
    </w:tbl>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方正楷体_GBK" w:hAnsi="方正楷体_GBK" w:eastAsia="方正楷体_GBK" w:cs="方正楷体_GBK"/>
          <w:sz w:val="32"/>
          <w:szCs w:val="32"/>
        </w:rPr>
      </w:pPr>
    </w:p>
    <w:p>
      <w:pPr>
        <w:tabs>
          <w:tab w:val="right" w:leader="dot" w:pos="8730"/>
        </w:tabs>
        <w:spacing w:line="480" w:lineRule="exact"/>
        <w:ind w:left="420" w:leftChars="200"/>
        <w:rPr>
          <w:rFonts w:hint="eastAsia" w:ascii="仿宋" w:hAnsi="仿宋" w:eastAsia="仿宋" w:cs="仿宋"/>
          <w:bCs/>
          <w:sz w:val="32"/>
          <w:szCs w:val="32"/>
        </w:rPr>
      </w:pPr>
      <w:r>
        <w:rPr>
          <w:rFonts w:hint="eastAsia" w:ascii="方正楷体_GBK" w:hAnsi="方正楷体_GBK" w:eastAsia="方正楷体_GBK" w:cs="方正楷体_GBK"/>
          <w:sz w:val="32"/>
          <w:szCs w:val="32"/>
        </w:rPr>
        <w:t>（二）伤亡人员基本情况表</w:t>
      </w:r>
    </w:p>
    <w:tbl>
      <w:tblPr>
        <w:tblStyle w:val="12"/>
        <w:tblW w:w="9216" w:type="dxa"/>
        <w:jc w:val="center"/>
        <w:tblLayout w:type="fixed"/>
        <w:tblCellMar>
          <w:top w:w="0" w:type="dxa"/>
          <w:left w:w="108" w:type="dxa"/>
          <w:bottom w:w="0" w:type="dxa"/>
          <w:right w:w="108" w:type="dxa"/>
        </w:tblCellMar>
      </w:tblPr>
      <w:tblGrid>
        <w:gridCol w:w="854"/>
        <w:gridCol w:w="1136"/>
        <w:gridCol w:w="1110"/>
        <w:gridCol w:w="849"/>
        <w:gridCol w:w="781"/>
        <w:gridCol w:w="928"/>
        <w:gridCol w:w="1429"/>
        <w:gridCol w:w="1293"/>
        <w:gridCol w:w="836"/>
      </w:tblGrid>
      <w:tr>
        <w:tblPrEx>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序号</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姓名</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伤亡</w:t>
            </w:r>
          </w:p>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情况</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性别</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年龄</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文化程度</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籍  贯</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工 种</w:t>
            </w:r>
          </w:p>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（职业）</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备注</w:t>
            </w:r>
          </w:p>
        </w:tc>
      </w:tr>
      <w:tr>
        <w:tblPrEx>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1</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稂春姣</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死亡</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34</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初中</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衡东县吴集镇秋波村</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村民</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p>
        </w:tc>
      </w:tr>
      <w:tr>
        <w:tblPrEx>
          <w:tblCellMar>
            <w:top w:w="0" w:type="dxa"/>
            <w:left w:w="108" w:type="dxa"/>
            <w:bottom w:w="0" w:type="dxa"/>
            <w:right w:w="108" w:type="dxa"/>
          </w:tblCellMar>
        </w:tblPrEx>
        <w:trPr>
          <w:trHeight w:val="1499"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2</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陈怡念</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死亡</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5</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学前</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衡东县吴集镇秋波村</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学前儿童</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p>
        </w:tc>
      </w:tr>
      <w:tr>
        <w:tblPrEx>
          <w:tblCellMar>
            <w:top w:w="0" w:type="dxa"/>
            <w:left w:w="108" w:type="dxa"/>
            <w:bottom w:w="0" w:type="dxa"/>
            <w:right w:w="108" w:type="dxa"/>
          </w:tblCellMar>
        </w:tblPrEx>
        <w:trPr>
          <w:trHeight w:val="1532"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3</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陈怡伊</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受伤</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7</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幼儿园</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衡东县吴集镇秋波村</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学生</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p>
        </w:tc>
      </w:tr>
      <w:tr>
        <w:tblPrEx>
          <w:tblCellMar>
            <w:top w:w="0" w:type="dxa"/>
            <w:left w:w="108" w:type="dxa"/>
            <w:bottom w:w="0" w:type="dxa"/>
            <w:right w:w="108" w:type="dxa"/>
          </w:tblCellMar>
        </w:tblPrEx>
        <w:trPr>
          <w:trHeight w:val="1532" w:hRule="atLeast"/>
          <w:jc w:val="center"/>
        </w:trPr>
        <w:tc>
          <w:tcPr>
            <w:tcW w:w="8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4</w:t>
            </w:r>
          </w:p>
        </w:tc>
        <w:tc>
          <w:tcPr>
            <w:tcW w:w="11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陈怡君</w:t>
            </w:r>
          </w:p>
        </w:tc>
        <w:tc>
          <w:tcPr>
            <w:tcW w:w="11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受伤</w:t>
            </w:r>
          </w:p>
        </w:tc>
        <w:tc>
          <w:tcPr>
            <w:tcW w:w="8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女</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_GB2312" w:hAnsi="仿宋_GB2312" w:eastAsia="仿宋_GB2312" w:cs="仿宋_GB2312"/>
                <w:bCs/>
                <w:sz w:val="24"/>
              </w:rPr>
            </w:pPr>
            <w:r>
              <w:rPr>
                <w:rFonts w:hint="eastAsia" w:ascii="仿宋_GB2312" w:hAnsi="仿宋_GB2312" w:eastAsia="仿宋_GB2312" w:cs="仿宋_GB2312"/>
                <w:bCs/>
                <w:sz w:val="24"/>
              </w:rPr>
              <w:t>8</w:t>
            </w:r>
          </w:p>
        </w:tc>
        <w:tc>
          <w:tcPr>
            <w:tcW w:w="9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小学</w:t>
            </w:r>
          </w:p>
        </w:tc>
        <w:tc>
          <w:tcPr>
            <w:tcW w:w="14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衡东县吴集镇秋波村</w:t>
            </w:r>
          </w:p>
        </w:tc>
        <w:tc>
          <w:tcPr>
            <w:tcW w:w="12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学生</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Cs/>
                <w:sz w:val="24"/>
              </w:rPr>
            </w:pPr>
          </w:p>
        </w:tc>
      </w:tr>
    </w:tbl>
    <w:p>
      <w:pPr>
        <w:widowControl/>
        <w:spacing w:line="500" w:lineRule="exact"/>
        <w:ind w:right="-168" w:rightChars="-80" w:firstLine="3840" w:firstLineChars="1200"/>
        <w:jc w:val="left"/>
        <w:rPr>
          <w:rFonts w:hint="eastAsia" w:ascii="仿宋" w:hAnsi="仿宋" w:eastAsia="仿宋" w:cs="仿宋"/>
          <w:bCs/>
          <w:sz w:val="32"/>
          <w:szCs w:val="32"/>
        </w:rPr>
      </w:pPr>
    </w:p>
    <w:p>
      <w:pPr>
        <w:rPr>
          <w:rFonts w:hint="eastAsia" w:ascii="仿宋" w:hAnsi="仿宋" w:eastAsia="仿宋" w:cs="仿宋"/>
          <w:sz w:val="32"/>
          <w:szCs w:val="32"/>
        </w:rPr>
      </w:pPr>
    </w:p>
    <w:p>
      <w:pPr>
        <w:pStyle w:val="2"/>
        <w:rPr>
          <w:rFonts w:hint="eastAsia" w:ascii="仿宋" w:hAnsi="仿宋" w:eastAsia="仿宋" w:cs="仿宋"/>
          <w:szCs w:val="32"/>
        </w:rPr>
      </w:pPr>
    </w:p>
    <w:p/>
    <w:sectPr>
      <w:footerReference r:id="rId3" w:type="default"/>
      <w:pgSz w:w="11906" w:h="16838"/>
      <w:pgMar w:top="1440" w:right="1474" w:bottom="1440" w:left="158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altName w:val="楷体"/>
    <w:panose1 w:val="02010609030101010101"/>
    <w:charset w:val="00"/>
    <w:family w:val="modern"/>
    <w:pitch w:val="default"/>
    <w:sig w:usb0="00000000" w:usb1="00000000" w:usb2="00000010" w:usb3="00000000" w:csb0="00040000" w:csb1="00000000"/>
  </w:font>
  <w:font w:name="汉仪大宋简">
    <w:altName w:val="宋体"/>
    <w:panose1 w:val="02010600000101010101"/>
    <w:charset w:val="00"/>
    <w:family w:val="auto"/>
    <w:pitch w:val="default"/>
    <w:sig w:usb0="00000000" w:usb1="00000000" w:usb2="00000002" w:usb3="00000000" w:csb0="00040000" w:csb1="00000000"/>
  </w:font>
  <w:font w:name="华文楷体">
    <w:altName w:val="宋体"/>
    <w:panose1 w:val="02010600040101010101"/>
    <w:charset w:val="00"/>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18</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sF/fc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DieMWB37++eP86/H88J0s&#10;sz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wX99yQEAAJkDAAAOAAAAAAAAAAEAIAAAAB4BAABkcnMvZTJvRG9j&#10;LnhtbFBLBQYAAAAABgAGAFkBAABZ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footnotePr>
    <w:numFmt w:val="decimalEnclosedCircleChinese"/>
  </w:footnotePr>
  <w:compat>
    <w:spaceForUL/>
    <w:balanceSingleByteDoubleByteWidth/>
    <w:doNotLeaveBackslashAlone/>
    <w:ulTrailSpace/>
    <w:doNotExpandShiftReturn/>
    <w:adjustLineHeightInTable/>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lNGIwZmI4ZTFmN2U2MzBlYTUxMzQyY2VkMWEwOWQifQ=="/>
  </w:docVars>
  <w:rsids>
    <w:rsidRoot w:val="007E01AE"/>
    <w:rsid w:val="00000CC8"/>
    <w:rsid w:val="00006C07"/>
    <w:rsid w:val="00066D71"/>
    <w:rsid w:val="000735E2"/>
    <w:rsid w:val="000C3CD1"/>
    <w:rsid w:val="00107ED5"/>
    <w:rsid w:val="00133E50"/>
    <w:rsid w:val="00180338"/>
    <w:rsid w:val="00190E1E"/>
    <w:rsid w:val="001A18B9"/>
    <w:rsid w:val="001D34FD"/>
    <w:rsid w:val="001D380B"/>
    <w:rsid w:val="001D6F3F"/>
    <w:rsid w:val="00231C24"/>
    <w:rsid w:val="00254F00"/>
    <w:rsid w:val="002912A5"/>
    <w:rsid w:val="002F5BBE"/>
    <w:rsid w:val="003B7113"/>
    <w:rsid w:val="00463A83"/>
    <w:rsid w:val="0048541A"/>
    <w:rsid w:val="00487CDA"/>
    <w:rsid w:val="004A3667"/>
    <w:rsid w:val="004C7361"/>
    <w:rsid w:val="00501525"/>
    <w:rsid w:val="005F2A86"/>
    <w:rsid w:val="005F3EC3"/>
    <w:rsid w:val="006221DD"/>
    <w:rsid w:val="00632716"/>
    <w:rsid w:val="00637DD6"/>
    <w:rsid w:val="00672E68"/>
    <w:rsid w:val="007378C7"/>
    <w:rsid w:val="007B4B6D"/>
    <w:rsid w:val="007E01AE"/>
    <w:rsid w:val="0085066F"/>
    <w:rsid w:val="008921A0"/>
    <w:rsid w:val="00894C4D"/>
    <w:rsid w:val="008E308E"/>
    <w:rsid w:val="00901166"/>
    <w:rsid w:val="00947A65"/>
    <w:rsid w:val="009A3DF5"/>
    <w:rsid w:val="009A4A75"/>
    <w:rsid w:val="009D323D"/>
    <w:rsid w:val="00A33A91"/>
    <w:rsid w:val="00A75792"/>
    <w:rsid w:val="00A82EC2"/>
    <w:rsid w:val="00AC70BE"/>
    <w:rsid w:val="00AE0CDE"/>
    <w:rsid w:val="00B1095F"/>
    <w:rsid w:val="00B62766"/>
    <w:rsid w:val="00BE088E"/>
    <w:rsid w:val="00BE1A13"/>
    <w:rsid w:val="00BE1B60"/>
    <w:rsid w:val="00BF1620"/>
    <w:rsid w:val="00C65FAE"/>
    <w:rsid w:val="00C75C17"/>
    <w:rsid w:val="00CE7074"/>
    <w:rsid w:val="00CF681C"/>
    <w:rsid w:val="00D23D5C"/>
    <w:rsid w:val="00DB5C55"/>
    <w:rsid w:val="00E05531"/>
    <w:rsid w:val="00EB2C63"/>
    <w:rsid w:val="00ED4AFE"/>
    <w:rsid w:val="00F14F97"/>
    <w:rsid w:val="00F63F23"/>
    <w:rsid w:val="06D8655C"/>
    <w:rsid w:val="07AF3A2D"/>
    <w:rsid w:val="0F1ACA86"/>
    <w:rsid w:val="0F2FE6CA"/>
    <w:rsid w:val="0F5BD179"/>
    <w:rsid w:val="0FAFBFA0"/>
    <w:rsid w:val="0FEB15D4"/>
    <w:rsid w:val="157DE996"/>
    <w:rsid w:val="19FF78B2"/>
    <w:rsid w:val="1AF7A187"/>
    <w:rsid w:val="1AF86F51"/>
    <w:rsid w:val="1B3A322B"/>
    <w:rsid w:val="1B685E33"/>
    <w:rsid w:val="1BFBBC5D"/>
    <w:rsid w:val="1DEC37C0"/>
    <w:rsid w:val="1FCB759A"/>
    <w:rsid w:val="1FDF8FB7"/>
    <w:rsid w:val="1FF7FCB5"/>
    <w:rsid w:val="1FFB0324"/>
    <w:rsid w:val="1FFF0166"/>
    <w:rsid w:val="20433F30"/>
    <w:rsid w:val="21B730A5"/>
    <w:rsid w:val="23F45196"/>
    <w:rsid w:val="26DF5A88"/>
    <w:rsid w:val="273E80C3"/>
    <w:rsid w:val="277CF4E0"/>
    <w:rsid w:val="27D30DB0"/>
    <w:rsid w:val="27F3298E"/>
    <w:rsid w:val="2A95C76D"/>
    <w:rsid w:val="2AD73728"/>
    <w:rsid w:val="2D1EA461"/>
    <w:rsid w:val="2DFF9661"/>
    <w:rsid w:val="2FC4C310"/>
    <w:rsid w:val="2FDF08CD"/>
    <w:rsid w:val="2FE7259B"/>
    <w:rsid w:val="2FF7C19C"/>
    <w:rsid w:val="2FFDAF4A"/>
    <w:rsid w:val="33FD580B"/>
    <w:rsid w:val="33FF02EB"/>
    <w:rsid w:val="349F9F95"/>
    <w:rsid w:val="34DD6954"/>
    <w:rsid w:val="35CC75D4"/>
    <w:rsid w:val="377817C6"/>
    <w:rsid w:val="377F2B5E"/>
    <w:rsid w:val="37AFBDD5"/>
    <w:rsid w:val="37E5B318"/>
    <w:rsid w:val="37F0C1D9"/>
    <w:rsid w:val="37FF8A53"/>
    <w:rsid w:val="39F17436"/>
    <w:rsid w:val="3A9D0F70"/>
    <w:rsid w:val="3AFDF468"/>
    <w:rsid w:val="3B8EBFE4"/>
    <w:rsid w:val="3BCF9B6F"/>
    <w:rsid w:val="3BFA1DAE"/>
    <w:rsid w:val="3D2F29E5"/>
    <w:rsid w:val="3DBB0601"/>
    <w:rsid w:val="3DDA8DA5"/>
    <w:rsid w:val="3DDD8F1D"/>
    <w:rsid w:val="3E7EB7D3"/>
    <w:rsid w:val="3ECF8AB2"/>
    <w:rsid w:val="3EDE1960"/>
    <w:rsid w:val="3EFF4619"/>
    <w:rsid w:val="3F2B1213"/>
    <w:rsid w:val="3F7DE27E"/>
    <w:rsid w:val="3F7FC665"/>
    <w:rsid w:val="3F9F4C7F"/>
    <w:rsid w:val="3FB504A5"/>
    <w:rsid w:val="3FBD8EB6"/>
    <w:rsid w:val="3FBFE68E"/>
    <w:rsid w:val="3FDF3185"/>
    <w:rsid w:val="3FEF46DF"/>
    <w:rsid w:val="3FF711BC"/>
    <w:rsid w:val="3FFB4E75"/>
    <w:rsid w:val="3FFC20B1"/>
    <w:rsid w:val="3FFD0561"/>
    <w:rsid w:val="3FFDF980"/>
    <w:rsid w:val="3FFF5FAC"/>
    <w:rsid w:val="4280525E"/>
    <w:rsid w:val="447FE5CA"/>
    <w:rsid w:val="474E98B1"/>
    <w:rsid w:val="476FBF23"/>
    <w:rsid w:val="47F667D1"/>
    <w:rsid w:val="48FEF433"/>
    <w:rsid w:val="4BFDCCB7"/>
    <w:rsid w:val="4E7DF25D"/>
    <w:rsid w:val="4EF1BA7D"/>
    <w:rsid w:val="4F6E482B"/>
    <w:rsid w:val="4F7D2C9D"/>
    <w:rsid w:val="4F7FDFC0"/>
    <w:rsid w:val="4FBF30F5"/>
    <w:rsid w:val="4FEFBCCE"/>
    <w:rsid w:val="538743CA"/>
    <w:rsid w:val="53BF1987"/>
    <w:rsid w:val="544F6C1E"/>
    <w:rsid w:val="55FF6759"/>
    <w:rsid w:val="567514BA"/>
    <w:rsid w:val="567BB9F5"/>
    <w:rsid w:val="56EF3B12"/>
    <w:rsid w:val="56FA8808"/>
    <w:rsid w:val="577F8D23"/>
    <w:rsid w:val="57BFE6B2"/>
    <w:rsid w:val="57EC768D"/>
    <w:rsid w:val="57F65D82"/>
    <w:rsid w:val="57F88971"/>
    <w:rsid w:val="59BD224A"/>
    <w:rsid w:val="59DD9D52"/>
    <w:rsid w:val="59F5101C"/>
    <w:rsid w:val="5A8B2DE7"/>
    <w:rsid w:val="5AFB4748"/>
    <w:rsid w:val="5B37E460"/>
    <w:rsid w:val="5B9FE120"/>
    <w:rsid w:val="5BB7852B"/>
    <w:rsid w:val="5BBFDEDB"/>
    <w:rsid w:val="5BF2DFCC"/>
    <w:rsid w:val="5BFF3F75"/>
    <w:rsid w:val="5CB5FB7D"/>
    <w:rsid w:val="5CBF0A5E"/>
    <w:rsid w:val="5CFF18BB"/>
    <w:rsid w:val="5D8F3B63"/>
    <w:rsid w:val="5DDB283E"/>
    <w:rsid w:val="5DFCB523"/>
    <w:rsid w:val="5E77699E"/>
    <w:rsid w:val="5EBCBBA9"/>
    <w:rsid w:val="5ED3F9AA"/>
    <w:rsid w:val="5F6B1F6A"/>
    <w:rsid w:val="5F6F5BE3"/>
    <w:rsid w:val="5F9F20AA"/>
    <w:rsid w:val="5FAF3AF8"/>
    <w:rsid w:val="5FB7BD00"/>
    <w:rsid w:val="5FC8B81D"/>
    <w:rsid w:val="5FFD3C58"/>
    <w:rsid w:val="5FFF3D0A"/>
    <w:rsid w:val="5FFFAE04"/>
    <w:rsid w:val="63ED8B6A"/>
    <w:rsid w:val="65743474"/>
    <w:rsid w:val="65B798DE"/>
    <w:rsid w:val="65CEE78C"/>
    <w:rsid w:val="65FB4C2A"/>
    <w:rsid w:val="66D7B8CB"/>
    <w:rsid w:val="67778D23"/>
    <w:rsid w:val="67EFF5F4"/>
    <w:rsid w:val="67F79B0A"/>
    <w:rsid w:val="67FF1039"/>
    <w:rsid w:val="69B76E3D"/>
    <w:rsid w:val="69ED38CC"/>
    <w:rsid w:val="6A3F0F0E"/>
    <w:rsid w:val="6ADF2460"/>
    <w:rsid w:val="6B5F3D23"/>
    <w:rsid w:val="6BDE6545"/>
    <w:rsid w:val="6BEF8560"/>
    <w:rsid w:val="6D6DC11F"/>
    <w:rsid w:val="6D7864D0"/>
    <w:rsid w:val="6DAE09B7"/>
    <w:rsid w:val="6DDB4B8B"/>
    <w:rsid w:val="6DEBF06B"/>
    <w:rsid w:val="6DFA4003"/>
    <w:rsid w:val="6DFF7B22"/>
    <w:rsid w:val="6DFFF554"/>
    <w:rsid w:val="6E2EF30B"/>
    <w:rsid w:val="6E7F81C2"/>
    <w:rsid w:val="6EDF7F78"/>
    <w:rsid w:val="6EFB269A"/>
    <w:rsid w:val="6EFCF60D"/>
    <w:rsid w:val="6F56EDBE"/>
    <w:rsid w:val="6F5F6082"/>
    <w:rsid w:val="6FAEC089"/>
    <w:rsid w:val="6FB51C4A"/>
    <w:rsid w:val="6FB6F234"/>
    <w:rsid w:val="6FBAAFE7"/>
    <w:rsid w:val="6FBD8A15"/>
    <w:rsid w:val="6FBF40D5"/>
    <w:rsid w:val="6FC6537C"/>
    <w:rsid w:val="6FDF174D"/>
    <w:rsid w:val="6FDFB331"/>
    <w:rsid w:val="6FE9D2D4"/>
    <w:rsid w:val="6FFFA9A5"/>
    <w:rsid w:val="6FFFCFD6"/>
    <w:rsid w:val="70AFAD9E"/>
    <w:rsid w:val="71CF7EA7"/>
    <w:rsid w:val="71EF44A0"/>
    <w:rsid w:val="72FF30E8"/>
    <w:rsid w:val="7355D713"/>
    <w:rsid w:val="736BE50A"/>
    <w:rsid w:val="73B3E791"/>
    <w:rsid w:val="73CB2D47"/>
    <w:rsid w:val="73DD73B4"/>
    <w:rsid w:val="73F62FF4"/>
    <w:rsid w:val="73F6ACEA"/>
    <w:rsid w:val="73FFC1D0"/>
    <w:rsid w:val="74BBBA28"/>
    <w:rsid w:val="757CABD5"/>
    <w:rsid w:val="75AD5A5C"/>
    <w:rsid w:val="75DF76E2"/>
    <w:rsid w:val="75EF31B3"/>
    <w:rsid w:val="75F65754"/>
    <w:rsid w:val="76FFF411"/>
    <w:rsid w:val="776E9280"/>
    <w:rsid w:val="777F0845"/>
    <w:rsid w:val="77976D41"/>
    <w:rsid w:val="77C3543F"/>
    <w:rsid w:val="77DD2526"/>
    <w:rsid w:val="77DE1D98"/>
    <w:rsid w:val="77DE34F3"/>
    <w:rsid w:val="77EFE8B7"/>
    <w:rsid w:val="77FDF7A6"/>
    <w:rsid w:val="77FF11B1"/>
    <w:rsid w:val="78DDABE6"/>
    <w:rsid w:val="78FFC109"/>
    <w:rsid w:val="79562578"/>
    <w:rsid w:val="7973C352"/>
    <w:rsid w:val="79BF9407"/>
    <w:rsid w:val="79C701AA"/>
    <w:rsid w:val="79F7E318"/>
    <w:rsid w:val="79FDDB5F"/>
    <w:rsid w:val="7A2AD334"/>
    <w:rsid w:val="7ABDBF03"/>
    <w:rsid w:val="7ABFC32D"/>
    <w:rsid w:val="7ADFF480"/>
    <w:rsid w:val="7AE3D2F4"/>
    <w:rsid w:val="7AEF61BD"/>
    <w:rsid w:val="7AF7CA50"/>
    <w:rsid w:val="7AFEB354"/>
    <w:rsid w:val="7B1DDE27"/>
    <w:rsid w:val="7B2EB7CC"/>
    <w:rsid w:val="7B2F1B7A"/>
    <w:rsid w:val="7B4F90E5"/>
    <w:rsid w:val="7B9EC449"/>
    <w:rsid w:val="7B9F29D1"/>
    <w:rsid w:val="7BBF66A7"/>
    <w:rsid w:val="7BDB8416"/>
    <w:rsid w:val="7BE7318D"/>
    <w:rsid w:val="7BF79434"/>
    <w:rsid w:val="7BFA9A4B"/>
    <w:rsid w:val="7BFC0F04"/>
    <w:rsid w:val="7BFF1519"/>
    <w:rsid w:val="7BFF45BD"/>
    <w:rsid w:val="7C4FB59C"/>
    <w:rsid w:val="7CAF7113"/>
    <w:rsid w:val="7CCF78D0"/>
    <w:rsid w:val="7CDFA4FE"/>
    <w:rsid w:val="7CEF63A4"/>
    <w:rsid w:val="7CFE7091"/>
    <w:rsid w:val="7CFF46F0"/>
    <w:rsid w:val="7D9B61E1"/>
    <w:rsid w:val="7DBA07F5"/>
    <w:rsid w:val="7DCB5421"/>
    <w:rsid w:val="7DCFAA50"/>
    <w:rsid w:val="7DDEA536"/>
    <w:rsid w:val="7DF063C3"/>
    <w:rsid w:val="7DF26D6C"/>
    <w:rsid w:val="7DFBC8A1"/>
    <w:rsid w:val="7DFD0784"/>
    <w:rsid w:val="7DFF0847"/>
    <w:rsid w:val="7DFF3D67"/>
    <w:rsid w:val="7DFFE974"/>
    <w:rsid w:val="7E3ED28E"/>
    <w:rsid w:val="7E7794ED"/>
    <w:rsid w:val="7E77B331"/>
    <w:rsid w:val="7E7B47D4"/>
    <w:rsid w:val="7E7F02D6"/>
    <w:rsid w:val="7E7FBDD2"/>
    <w:rsid w:val="7E7FC8F6"/>
    <w:rsid w:val="7EB7068D"/>
    <w:rsid w:val="7EBD31A1"/>
    <w:rsid w:val="7EBF75E3"/>
    <w:rsid w:val="7ECFEE19"/>
    <w:rsid w:val="7EDD2B67"/>
    <w:rsid w:val="7EF5C47A"/>
    <w:rsid w:val="7EF5FA13"/>
    <w:rsid w:val="7F3CE7B5"/>
    <w:rsid w:val="7F3FDE5A"/>
    <w:rsid w:val="7F47B40E"/>
    <w:rsid w:val="7F4A4444"/>
    <w:rsid w:val="7F67BCBE"/>
    <w:rsid w:val="7F787B71"/>
    <w:rsid w:val="7F7B9CD4"/>
    <w:rsid w:val="7F7C745C"/>
    <w:rsid w:val="7F7D593C"/>
    <w:rsid w:val="7F7F0DB2"/>
    <w:rsid w:val="7F93F1E1"/>
    <w:rsid w:val="7F9FE91D"/>
    <w:rsid w:val="7FAED0B4"/>
    <w:rsid w:val="7FB79084"/>
    <w:rsid w:val="7FBAE38C"/>
    <w:rsid w:val="7FBCC310"/>
    <w:rsid w:val="7FBD8350"/>
    <w:rsid w:val="7FBEF3EE"/>
    <w:rsid w:val="7FBF26F9"/>
    <w:rsid w:val="7FBF63FA"/>
    <w:rsid w:val="7FBF74E7"/>
    <w:rsid w:val="7FBFC22D"/>
    <w:rsid w:val="7FC97193"/>
    <w:rsid w:val="7FDB61A5"/>
    <w:rsid w:val="7FDD970C"/>
    <w:rsid w:val="7FDEE150"/>
    <w:rsid w:val="7FDEFC17"/>
    <w:rsid w:val="7FDFE938"/>
    <w:rsid w:val="7FE36474"/>
    <w:rsid w:val="7FEBF59E"/>
    <w:rsid w:val="7FEF947D"/>
    <w:rsid w:val="7FF304AD"/>
    <w:rsid w:val="7FF7973C"/>
    <w:rsid w:val="7FF7BEF2"/>
    <w:rsid w:val="7FF94A9B"/>
    <w:rsid w:val="7FFA388C"/>
    <w:rsid w:val="7FFAB666"/>
    <w:rsid w:val="7FFB29E2"/>
    <w:rsid w:val="7FFC6A88"/>
    <w:rsid w:val="7FFD5B12"/>
    <w:rsid w:val="7FFDCE29"/>
    <w:rsid w:val="7FFE0B0C"/>
    <w:rsid w:val="7FFE5EDD"/>
    <w:rsid w:val="7FFEDAC2"/>
    <w:rsid w:val="7FFEF940"/>
    <w:rsid w:val="7FFF5132"/>
    <w:rsid w:val="7FFF7F7D"/>
    <w:rsid w:val="7FFF8C79"/>
    <w:rsid w:val="7FFFE59B"/>
    <w:rsid w:val="84291CB0"/>
    <w:rsid w:val="86FAC378"/>
    <w:rsid w:val="890F41CD"/>
    <w:rsid w:val="8D7D9114"/>
    <w:rsid w:val="8DCA5F97"/>
    <w:rsid w:val="8EE5A2F8"/>
    <w:rsid w:val="8FDF7D13"/>
    <w:rsid w:val="93ADD14E"/>
    <w:rsid w:val="96AF3B4A"/>
    <w:rsid w:val="97F79DD9"/>
    <w:rsid w:val="98763F37"/>
    <w:rsid w:val="9AFBF5CF"/>
    <w:rsid w:val="9B6F6FA8"/>
    <w:rsid w:val="9BBF1F46"/>
    <w:rsid w:val="9BDB14AD"/>
    <w:rsid w:val="9C689750"/>
    <w:rsid w:val="9DEFAB6D"/>
    <w:rsid w:val="9E9FADCF"/>
    <w:rsid w:val="9F195336"/>
    <w:rsid w:val="9FBD5F91"/>
    <w:rsid w:val="9FDB3F41"/>
    <w:rsid w:val="A0FB35C1"/>
    <w:rsid w:val="A59D5C6E"/>
    <w:rsid w:val="A7E7C872"/>
    <w:rsid w:val="AD5EB29B"/>
    <w:rsid w:val="AEAB7DEB"/>
    <w:rsid w:val="AFBE07BD"/>
    <w:rsid w:val="AFC75B6E"/>
    <w:rsid w:val="AFD3C742"/>
    <w:rsid w:val="B04C5CD4"/>
    <w:rsid w:val="B1FFFEE9"/>
    <w:rsid w:val="B3BB1D26"/>
    <w:rsid w:val="B3EF2828"/>
    <w:rsid w:val="B6EFDDEB"/>
    <w:rsid w:val="B6F86F49"/>
    <w:rsid w:val="B74F0989"/>
    <w:rsid w:val="B7EB6C30"/>
    <w:rsid w:val="B7FDAA0A"/>
    <w:rsid w:val="B98FEDE8"/>
    <w:rsid w:val="B9DC3455"/>
    <w:rsid w:val="BAAFF92B"/>
    <w:rsid w:val="BBFFAD5F"/>
    <w:rsid w:val="BC7D9F5D"/>
    <w:rsid w:val="BDDCC3A0"/>
    <w:rsid w:val="BDFDD9C8"/>
    <w:rsid w:val="BE8F33A7"/>
    <w:rsid w:val="BEF75E14"/>
    <w:rsid w:val="BEFD1759"/>
    <w:rsid w:val="BF6ED239"/>
    <w:rsid w:val="BF6FD426"/>
    <w:rsid w:val="BF7EDE25"/>
    <w:rsid w:val="BFBD3D04"/>
    <w:rsid w:val="BFCD8032"/>
    <w:rsid w:val="BFCF7FA7"/>
    <w:rsid w:val="BFDB6769"/>
    <w:rsid w:val="BFF68E2A"/>
    <w:rsid w:val="BFF79168"/>
    <w:rsid w:val="BFFB2D9C"/>
    <w:rsid w:val="BFFEEB84"/>
    <w:rsid w:val="BFFF1AF4"/>
    <w:rsid w:val="BFFF3724"/>
    <w:rsid w:val="BFFF9ED1"/>
    <w:rsid w:val="BFFFEEFD"/>
    <w:rsid w:val="C3D7DB61"/>
    <w:rsid w:val="C5F2CE1F"/>
    <w:rsid w:val="C5F7C21A"/>
    <w:rsid w:val="C67FF10A"/>
    <w:rsid w:val="C6FE201E"/>
    <w:rsid w:val="C75FD3B8"/>
    <w:rsid w:val="C77FFA94"/>
    <w:rsid w:val="C8FE0CAE"/>
    <w:rsid w:val="CAEF9E77"/>
    <w:rsid w:val="CC17C670"/>
    <w:rsid w:val="CCEF7A56"/>
    <w:rsid w:val="CD7FF5E2"/>
    <w:rsid w:val="CD8B3BD9"/>
    <w:rsid w:val="CDAFF8AF"/>
    <w:rsid w:val="CDB5B922"/>
    <w:rsid w:val="CDD9BCC1"/>
    <w:rsid w:val="CDDFD830"/>
    <w:rsid w:val="CF5F6BE2"/>
    <w:rsid w:val="CFB6C933"/>
    <w:rsid w:val="CFC9FE14"/>
    <w:rsid w:val="CFFE5524"/>
    <w:rsid w:val="CFFF3678"/>
    <w:rsid w:val="CFFF66CF"/>
    <w:rsid w:val="D1F4B1B2"/>
    <w:rsid w:val="D2BB118B"/>
    <w:rsid w:val="D33A7F32"/>
    <w:rsid w:val="D3EFBF1A"/>
    <w:rsid w:val="D3FACA93"/>
    <w:rsid w:val="D57838D0"/>
    <w:rsid w:val="D5FB5CC0"/>
    <w:rsid w:val="D5FE8E0F"/>
    <w:rsid w:val="D637ECDE"/>
    <w:rsid w:val="D66F1F97"/>
    <w:rsid w:val="D6FDB5E4"/>
    <w:rsid w:val="D6FDF41D"/>
    <w:rsid w:val="D733A508"/>
    <w:rsid w:val="D739CD08"/>
    <w:rsid w:val="D77B67F5"/>
    <w:rsid w:val="D77F7535"/>
    <w:rsid w:val="D77FCF35"/>
    <w:rsid w:val="D7EB1811"/>
    <w:rsid w:val="D7EBA8B4"/>
    <w:rsid w:val="D7FF8865"/>
    <w:rsid w:val="D9FE0BF7"/>
    <w:rsid w:val="DACFB255"/>
    <w:rsid w:val="DAEDCC31"/>
    <w:rsid w:val="DAFFCF43"/>
    <w:rsid w:val="DB7F7460"/>
    <w:rsid w:val="DB7FE957"/>
    <w:rsid w:val="DBE6CC5C"/>
    <w:rsid w:val="DBF82486"/>
    <w:rsid w:val="DBFF75E0"/>
    <w:rsid w:val="DC6B3F83"/>
    <w:rsid w:val="DCBEA202"/>
    <w:rsid w:val="DDB7596B"/>
    <w:rsid w:val="DDBE5BF5"/>
    <w:rsid w:val="DDBF08E3"/>
    <w:rsid w:val="DDCD94C0"/>
    <w:rsid w:val="DDEFE639"/>
    <w:rsid w:val="DDFDDAA6"/>
    <w:rsid w:val="DDFF4450"/>
    <w:rsid w:val="DDFFF66F"/>
    <w:rsid w:val="DEAF7F50"/>
    <w:rsid w:val="DEB56DC9"/>
    <w:rsid w:val="DEBE68E6"/>
    <w:rsid w:val="DEDE6D5A"/>
    <w:rsid w:val="DEEE4904"/>
    <w:rsid w:val="DEEF0287"/>
    <w:rsid w:val="DEF0F892"/>
    <w:rsid w:val="DEF79D83"/>
    <w:rsid w:val="DEFA03D9"/>
    <w:rsid w:val="DEFB11C8"/>
    <w:rsid w:val="DF5C5907"/>
    <w:rsid w:val="DF6DD6D7"/>
    <w:rsid w:val="DF7F8E47"/>
    <w:rsid w:val="DF8F3333"/>
    <w:rsid w:val="DF9B8AF5"/>
    <w:rsid w:val="DFBF812B"/>
    <w:rsid w:val="DFD348F0"/>
    <w:rsid w:val="DFD9A529"/>
    <w:rsid w:val="DFE7BA1B"/>
    <w:rsid w:val="DFED4F4F"/>
    <w:rsid w:val="DFF70491"/>
    <w:rsid w:val="DFFB23A3"/>
    <w:rsid w:val="DFFE5706"/>
    <w:rsid w:val="E09F82FE"/>
    <w:rsid w:val="E3CA3C85"/>
    <w:rsid w:val="E4EFA3EA"/>
    <w:rsid w:val="E4FF5712"/>
    <w:rsid w:val="E5F520EF"/>
    <w:rsid w:val="E74B7664"/>
    <w:rsid w:val="E74D91A0"/>
    <w:rsid w:val="E7FDB5D9"/>
    <w:rsid w:val="E9FF556C"/>
    <w:rsid w:val="EAEF55DA"/>
    <w:rsid w:val="EB687398"/>
    <w:rsid w:val="EBB546DC"/>
    <w:rsid w:val="EBDFDB18"/>
    <w:rsid w:val="EBF38DEF"/>
    <w:rsid w:val="EBFF0A42"/>
    <w:rsid w:val="ECAE26D0"/>
    <w:rsid w:val="ECFB03A7"/>
    <w:rsid w:val="ED7ED4A2"/>
    <w:rsid w:val="EDD3F3D5"/>
    <w:rsid w:val="EE7B482C"/>
    <w:rsid w:val="EEFBE9A6"/>
    <w:rsid w:val="EEFF0242"/>
    <w:rsid w:val="EF1ADEE3"/>
    <w:rsid w:val="EF3E02E9"/>
    <w:rsid w:val="EF654631"/>
    <w:rsid w:val="EF6F4FE3"/>
    <w:rsid w:val="EF7AACF4"/>
    <w:rsid w:val="EF7EBE3D"/>
    <w:rsid w:val="EF7F1932"/>
    <w:rsid w:val="EFA7C4F0"/>
    <w:rsid w:val="EFAF1D65"/>
    <w:rsid w:val="EFE6A0DE"/>
    <w:rsid w:val="EFEF7024"/>
    <w:rsid w:val="EFF6EB80"/>
    <w:rsid w:val="EFFD765A"/>
    <w:rsid w:val="EFFD91D4"/>
    <w:rsid w:val="EFFDE4FE"/>
    <w:rsid w:val="EFFFB266"/>
    <w:rsid w:val="EFFFDE34"/>
    <w:rsid w:val="EFFFFFE5"/>
    <w:rsid w:val="F1BB43A9"/>
    <w:rsid w:val="F3AA07EF"/>
    <w:rsid w:val="F3FD3B71"/>
    <w:rsid w:val="F4B38F0E"/>
    <w:rsid w:val="F4DD0F8D"/>
    <w:rsid w:val="F4FBE7F5"/>
    <w:rsid w:val="F577E679"/>
    <w:rsid w:val="F5ED6BBC"/>
    <w:rsid w:val="F5F36EB7"/>
    <w:rsid w:val="F5FF4F0A"/>
    <w:rsid w:val="F5FF77EA"/>
    <w:rsid w:val="F5FFB992"/>
    <w:rsid w:val="F65FEACB"/>
    <w:rsid w:val="F67BA968"/>
    <w:rsid w:val="F6E76F4D"/>
    <w:rsid w:val="F6FFAA52"/>
    <w:rsid w:val="F75B2B00"/>
    <w:rsid w:val="F76BC40D"/>
    <w:rsid w:val="F76ECF67"/>
    <w:rsid w:val="F7777419"/>
    <w:rsid w:val="F77D800F"/>
    <w:rsid w:val="F77FE09D"/>
    <w:rsid w:val="F78E23AB"/>
    <w:rsid w:val="F7AAE817"/>
    <w:rsid w:val="F7B07E71"/>
    <w:rsid w:val="F7BD226E"/>
    <w:rsid w:val="F7BD31E8"/>
    <w:rsid w:val="F7DB58BD"/>
    <w:rsid w:val="F7DDD4AD"/>
    <w:rsid w:val="F7DE3325"/>
    <w:rsid w:val="F7DF85CC"/>
    <w:rsid w:val="F7E977FB"/>
    <w:rsid w:val="F7EE1930"/>
    <w:rsid w:val="F7F1F7AC"/>
    <w:rsid w:val="F7F25703"/>
    <w:rsid w:val="F7F90C41"/>
    <w:rsid w:val="F7FB8429"/>
    <w:rsid w:val="F7FCA5AA"/>
    <w:rsid w:val="F7FE1DBE"/>
    <w:rsid w:val="F7FF2E58"/>
    <w:rsid w:val="F7FF5E76"/>
    <w:rsid w:val="F7FF63C6"/>
    <w:rsid w:val="F8EF1646"/>
    <w:rsid w:val="F9DE2982"/>
    <w:rsid w:val="F9FD7BCA"/>
    <w:rsid w:val="F9FF6A75"/>
    <w:rsid w:val="FADE8EBA"/>
    <w:rsid w:val="FAE780A7"/>
    <w:rsid w:val="FAF51E8E"/>
    <w:rsid w:val="FAFE6140"/>
    <w:rsid w:val="FAFFB631"/>
    <w:rsid w:val="FB7F4796"/>
    <w:rsid w:val="FB7F4B48"/>
    <w:rsid w:val="FB83C51C"/>
    <w:rsid w:val="FB8F5A7F"/>
    <w:rsid w:val="FB9FBDFA"/>
    <w:rsid w:val="FBBDFC09"/>
    <w:rsid w:val="FBD9CA50"/>
    <w:rsid w:val="FBEFCB63"/>
    <w:rsid w:val="FBF1108A"/>
    <w:rsid w:val="FBF35401"/>
    <w:rsid w:val="FBF69E1E"/>
    <w:rsid w:val="FBF9BF41"/>
    <w:rsid w:val="FBFA0F44"/>
    <w:rsid w:val="FBFD1A0A"/>
    <w:rsid w:val="FBFD2298"/>
    <w:rsid w:val="FBFE1988"/>
    <w:rsid w:val="FBFEC247"/>
    <w:rsid w:val="FBFF229D"/>
    <w:rsid w:val="FBFF2947"/>
    <w:rsid w:val="FBFF7642"/>
    <w:rsid w:val="FC3FD6F3"/>
    <w:rsid w:val="FCFDACF1"/>
    <w:rsid w:val="FCFF9252"/>
    <w:rsid w:val="FD13C75B"/>
    <w:rsid w:val="FD3F4512"/>
    <w:rsid w:val="FD53FE30"/>
    <w:rsid w:val="FD8DB4B4"/>
    <w:rsid w:val="FDB3406C"/>
    <w:rsid w:val="FDBCAC88"/>
    <w:rsid w:val="FDDEF7D2"/>
    <w:rsid w:val="FDEB6314"/>
    <w:rsid w:val="FDEBD833"/>
    <w:rsid w:val="FDF7935E"/>
    <w:rsid w:val="FDFF73AD"/>
    <w:rsid w:val="FE4D80C6"/>
    <w:rsid w:val="FE4F4AB3"/>
    <w:rsid w:val="FE4FA242"/>
    <w:rsid w:val="FE5DC500"/>
    <w:rsid w:val="FE6F61D9"/>
    <w:rsid w:val="FE7B9776"/>
    <w:rsid w:val="FE7E1CAF"/>
    <w:rsid w:val="FE7F81CA"/>
    <w:rsid w:val="FE8FF15E"/>
    <w:rsid w:val="FED56962"/>
    <w:rsid w:val="FEDD28CD"/>
    <w:rsid w:val="FEEDE344"/>
    <w:rsid w:val="FEF33C1D"/>
    <w:rsid w:val="FEFAED27"/>
    <w:rsid w:val="FEFBFA30"/>
    <w:rsid w:val="FEFDF084"/>
    <w:rsid w:val="FF0B2444"/>
    <w:rsid w:val="FF2F448F"/>
    <w:rsid w:val="FF3508C3"/>
    <w:rsid w:val="FF4F2665"/>
    <w:rsid w:val="FF5E642B"/>
    <w:rsid w:val="FF6968ED"/>
    <w:rsid w:val="FF6D89C1"/>
    <w:rsid w:val="FF73496C"/>
    <w:rsid w:val="FF775931"/>
    <w:rsid w:val="FF7F608E"/>
    <w:rsid w:val="FFA8FF56"/>
    <w:rsid w:val="FFAF2252"/>
    <w:rsid w:val="FFB79AC7"/>
    <w:rsid w:val="FFB8D317"/>
    <w:rsid w:val="FFBF1DAC"/>
    <w:rsid w:val="FFBF3070"/>
    <w:rsid w:val="FFC7F3E6"/>
    <w:rsid w:val="FFCFCA1E"/>
    <w:rsid w:val="FFD93274"/>
    <w:rsid w:val="FFDB9290"/>
    <w:rsid w:val="FFDD3B63"/>
    <w:rsid w:val="FFDF0C6D"/>
    <w:rsid w:val="FFDF2241"/>
    <w:rsid w:val="FFDF338E"/>
    <w:rsid w:val="FFDF64D2"/>
    <w:rsid w:val="FFDFA737"/>
    <w:rsid w:val="FFE184FD"/>
    <w:rsid w:val="FFE79B88"/>
    <w:rsid w:val="FFEDD495"/>
    <w:rsid w:val="FFEE50F1"/>
    <w:rsid w:val="FFEF4C87"/>
    <w:rsid w:val="FFF369D5"/>
    <w:rsid w:val="FFF54D98"/>
    <w:rsid w:val="FFF5C63F"/>
    <w:rsid w:val="FFF6D1C7"/>
    <w:rsid w:val="FFFB5355"/>
    <w:rsid w:val="FFFD4E39"/>
    <w:rsid w:val="FFFE6294"/>
    <w:rsid w:val="FFFEA99D"/>
    <w:rsid w:val="FFFF049C"/>
    <w:rsid w:val="FFFF220E"/>
    <w:rsid w:val="FFFFB32B"/>
    <w:rsid w:val="FFFFFF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unhideWhenUsed/>
    <w:uiPriority w:val="0"/>
  </w:style>
  <w:style w:type="table" w:default="1" w:styleId="12">
    <w:name w:val="Normal Table"/>
    <w:semiHidden/>
    <w:uiPriority w:val="0"/>
    <w:tblPr>
      <w:tblCellMar>
        <w:top w:w="0" w:type="dxa"/>
        <w:left w:w="108" w:type="dxa"/>
        <w:bottom w:w="0" w:type="dxa"/>
        <w:right w:w="108" w:type="dxa"/>
      </w:tblCellMar>
    </w:tblPr>
  </w:style>
  <w:style w:type="paragraph" w:styleId="3">
    <w:name w:val="Body Text"/>
    <w:basedOn w:val="1"/>
    <w:qFormat/>
    <w:uiPriority w:val="0"/>
    <w:pPr>
      <w:spacing w:after="120"/>
    </w:pPr>
    <w:rPr>
      <w:kern w:val="0"/>
      <w:sz w:val="20"/>
    </w:rPr>
  </w:style>
  <w:style w:type="paragraph" w:styleId="4">
    <w:name w:val="Body Text Indent"/>
    <w:basedOn w:val="1"/>
    <w:qFormat/>
    <w:uiPriority w:val="0"/>
    <w:pPr>
      <w:spacing w:after="120"/>
      <w:ind w:left="420" w:leftChars="200"/>
    </w:pPr>
    <w:rPr>
      <w:szCs w:val="22"/>
    </w:rPr>
  </w:style>
  <w:style w:type="paragraph" w:styleId="5">
    <w:name w:val="Body Text Indent 2"/>
    <w:basedOn w:val="1"/>
    <w:next w:val="1"/>
    <w:qFormat/>
    <w:uiPriority w:val="99"/>
    <w:pPr>
      <w:spacing w:beforeAutospacing="1" w:after="120" w:line="480" w:lineRule="auto"/>
      <w:ind w:left="420"/>
    </w:pPr>
    <w:rPr>
      <w:rFonts w:ascii="Calibri" w:hAnsi="Calibri"/>
      <w:szCs w:val="21"/>
    </w:rPr>
  </w:style>
  <w:style w:type="paragraph" w:styleId="6">
    <w:name w:val="footer"/>
    <w:basedOn w:val="1"/>
    <w:unhideWhenUsed/>
    <w:uiPriority w:val="0"/>
    <w:pPr>
      <w:tabs>
        <w:tab w:val="center" w:pos="4153"/>
        <w:tab w:val="right" w:pos="8306"/>
      </w:tabs>
      <w:snapToGrid w:val="0"/>
      <w:jc w:val="left"/>
    </w:pPr>
    <w:rPr>
      <w:sz w:val="18"/>
      <w:szCs w:val="18"/>
    </w:rPr>
  </w:style>
  <w:style w:type="paragraph" w:styleId="7">
    <w:name w:val="header"/>
    <w:basedOn w:val="1"/>
    <w:unhideWhenUsed/>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pPr>
      <w:spacing w:before="100" w:beforeAutospacing="1" w:after="100" w:afterAutospacing="1"/>
      <w:jc w:val="left"/>
    </w:pPr>
    <w:rPr>
      <w:rFonts w:cs="Times New Roman"/>
      <w:kern w:val="0"/>
      <w:sz w:val="24"/>
    </w:rPr>
  </w:style>
  <w:style w:type="paragraph" w:styleId="11">
    <w:name w:val="Body Text First Indent 2"/>
    <w:basedOn w:val="4"/>
    <w:qFormat/>
    <w:uiPriority w:val="0"/>
    <w:pPr>
      <w:ind w:firstLine="420" w:firstLineChars="200"/>
    </w:pPr>
  </w:style>
  <w:style w:type="table" w:styleId="13">
    <w:name w:val="Table Grid"/>
    <w:basedOn w:val="12"/>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000FF"/>
      <w:u w:val="single"/>
    </w:rPr>
  </w:style>
  <w:style w:type="paragraph" w:customStyle="1" w:styleId="16">
    <w:name w:val="Default"/>
    <w:qFormat/>
    <w:uiPriority w:val="0"/>
    <w:pPr>
      <w:widowControl w:val="0"/>
      <w:autoSpaceDE w:val="0"/>
      <w:autoSpaceDN w:val="0"/>
      <w:adjustRightInd w:val="0"/>
    </w:pPr>
    <w:rPr>
      <w:rFonts w:ascii="Calibri" w:hAnsi="Calibri" w:eastAsia="仿宋_GB2312" w:cs="Times New Roman"/>
      <w:color w:val="000000"/>
      <w:sz w:val="24"/>
      <w:szCs w:val="32"/>
      <w:lang w:val="en-US" w:eastAsia="zh-CN" w:bidi="ar-SA"/>
    </w:rPr>
  </w:style>
  <w:style w:type="character" w:customStyle="1" w:styleId="17">
    <w:name w:val="页眉 Char"/>
    <w:semiHidden/>
    <w:uiPriority w:val="0"/>
    <w:rPr>
      <w:rFonts w:ascii="Times New Roman" w:hAnsi="Times New Roman" w:eastAsia="宋体" w:cs="Times New Roman"/>
      <w:sz w:val="18"/>
      <w:szCs w:val="18"/>
    </w:rPr>
  </w:style>
  <w:style w:type="character" w:customStyle="1" w:styleId="18">
    <w:name w:val="页脚 Char"/>
    <w:semiHidden/>
    <w:uiPriority w:val="0"/>
    <w:rPr>
      <w:rFonts w:ascii="Times New Roman" w:hAnsi="Times New Roman" w:eastAsia="宋体" w:cs="Times New Roman"/>
      <w:sz w:val="18"/>
      <w:szCs w:val="18"/>
    </w:rPr>
  </w:style>
  <w:style w:type="character" w:customStyle="1" w:styleId="19">
    <w:name w:val="ca-22"/>
    <w:uiPriority w:val="0"/>
  </w:style>
  <w:style w:type="character" w:customStyle="1" w:styleId="20">
    <w:name w:val="font21"/>
    <w:qFormat/>
    <w:uiPriority w:val="0"/>
    <w:rPr>
      <w:rFonts w:hint="eastAsia" w:ascii="方正小标宋简体" w:hAnsi="方正小标宋简体" w:eastAsia="方正小标宋简体" w:cs="方正小标宋简体"/>
      <w:color w:val="000000"/>
      <w:sz w:val="36"/>
      <w:szCs w:val="36"/>
      <w:u w:val="none"/>
    </w:rPr>
  </w:style>
  <w:style w:type="paragraph" w:customStyle="1" w:styleId="21">
    <w:name w:val="BodyText"/>
    <w:basedOn w:val="1"/>
    <w:qFormat/>
    <w:uiPriority w:val="0"/>
    <w:pPr>
      <w:spacing w:after="120"/>
      <w:textAlignment w:val="baseline"/>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1313</Words>
  <Characters>7488</Characters>
  <Lines>62</Lines>
  <Paragraphs>17</Paragraphs>
  <TotalTime>4</TotalTime>
  <ScaleCrop>false</ScaleCrop>
  <LinksUpToDate>false</LinksUpToDate>
  <CharactersWithSpaces>8784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2022-01-06T17:10:00Z</dcterms:created>
  <dc:creator>admin</dc:creator>
  <cp:lastModifiedBy>刘宸希</cp:lastModifiedBy>
  <cp:lastPrinted>2023-11-02T16:09:00Z</cp:lastPrinted>
  <dcterms:modified xsi:type="dcterms:W3CDTF">2024-04-16T01:08:41Z</dcterms:modified>
  <dc:title>湖南省安全生产监督管理局发文稿纸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EFA0A81B3C4B4A9FBCE2302A80AC58C1</vt:lpwstr>
  </property>
  <property fmtid="{D5CDD505-2E9C-101B-9397-08002B2CF9AE}" pid="3" name="KSOProductBuildVer">
    <vt:lpwstr>2052-12.1.0.16729</vt:lpwstr>
  </property>
</Properties>
</file>